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drawings/drawing1.xml" ContentType="application/vnd.openxmlformats-officedocument.drawingml.chartshapes+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drawings/drawing2.xml" ContentType="application/vnd.openxmlformats-officedocument.drawingml.chartshapes+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5.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drawings/drawing3.xml" ContentType="application/vnd.openxmlformats-officedocument.drawingml.chartshapes+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6.xml" ContentType="application/vnd.openxmlformats-officedocument.themeOverride+xml"/>
  <Override PartName="/word/drawings/drawing4.xml" ContentType="application/vnd.openxmlformats-officedocument.drawingml.chartshapes+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drawings/drawing5.xml" ContentType="application/vnd.openxmlformats-officedocument.drawingml.chartshapes+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7.xml" ContentType="application/vnd.openxmlformats-officedocument.themeOverrid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theme/themeOverride8.xml" ContentType="application/vnd.openxmlformats-officedocument.themeOverrid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theme/themeOverride9.xml" ContentType="application/vnd.openxmlformats-officedocument.themeOverrid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theme/themeOverride10.xml" ContentType="application/vnd.openxmlformats-officedocument.themeOverride+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0690C06" w14:textId="450B4BD1" w:rsidR="00BA64EC" w:rsidRDefault="00A41398" w:rsidP="009C5290">
      <w:pPr>
        <w:pStyle w:val="odesaniedoza"/>
      </w:pPr>
      <w:r>
        <w:t xml:space="preserve"> </w:t>
      </w:r>
      <w:r w:rsidR="00DE0CED">
        <w:rPr>
          <w:noProof/>
        </w:rPr>
        <mc:AlternateContent>
          <mc:Choice Requires="wps">
            <w:drawing>
              <wp:anchor distT="0" distB="0" distL="114300" distR="114300" simplePos="0" relativeHeight="251689984" behindDoc="0" locked="0" layoutInCell="1" allowOverlap="1" wp14:anchorId="24B08741" wp14:editId="1E0B600C">
                <wp:simplePos x="0" y="0"/>
                <wp:positionH relativeFrom="margin">
                  <wp:align>right</wp:align>
                </wp:positionH>
                <wp:positionV relativeFrom="paragraph">
                  <wp:posOffset>93345</wp:posOffset>
                </wp:positionV>
                <wp:extent cx="1955165" cy="930275"/>
                <wp:effectExtent l="0" t="0" r="6985" b="3175"/>
                <wp:wrapNone/>
                <wp:docPr id="6224250" name="Prostokąt 9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955165" cy="930275"/>
                        </a:xfrm>
                        <a:prstGeom prst="rect">
                          <a:avLst/>
                        </a:prstGeom>
                        <a:solidFill>
                          <a:srgbClr val="920000"/>
                        </a:solidFill>
                      </wps:spPr>
                      <wps:style>
                        <a:lnRef idx="2">
                          <a:schemeClr val="accent1">
                            <a:shade val="15000"/>
                          </a:schemeClr>
                        </a:lnRef>
                        <a:fillRef idx="1">
                          <a:schemeClr val="accent1"/>
                        </a:fillRef>
                        <a:effectRef idx="0">
                          <a:schemeClr val="accent1"/>
                        </a:effectRef>
                        <a:fontRef idx="minor">
                          <a:schemeClr val="lt1"/>
                        </a:fontRef>
                      </wps:style>
                      <wps:txbx>
                        <w:txbxContent>
                          <w:p w14:paraId="73EFBA45" w14:textId="720C7C9E" w:rsidR="00BA64EC" w:rsidRPr="003D525D" w:rsidRDefault="00363592" w:rsidP="00BA64EC">
                            <w:pPr>
                              <w:spacing w:after="0"/>
                              <w:jc w:val="center"/>
                              <w:rPr>
                                <w:rFonts w:ascii="Bahnschrift" w:hAnsi="Bahnschrift"/>
                                <w:sz w:val="40"/>
                                <w:szCs w:val="40"/>
                              </w:rPr>
                            </w:pPr>
                            <w:r>
                              <w:rPr>
                                <w:rFonts w:ascii="Bahnschrift" w:hAnsi="Bahnschrift"/>
                                <w:sz w:val="40"/>
                                <w:szCs w:val="40"/>
                              </w:rPr>
                              <w:t>PROJEKT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4B08741" id="Prostokąt 92" o:spid="_x0000_s1026" style="position:absolute;left:0;text-align:left;margin-left:102.75pt;margin-top:7.35pt;width:153.95pt;height:73.25pt;z-index:25168998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" fillcolor="#920000" strokecolor="#09101d [484]" strokeweight="1pt">
                <v:path arrowok="t"/>
                <v:textbox>
                  <w:txbxContent>
                    <w:p w14:paraId="73EFBA45" w14:textId="720C7C9E" w:rsidR="00BA64EC" w:rsidRPr="003D525D" w:rsidRDefault="00363592" w:rsidP="00BA64EC">
                      <w:pPr>
                        <w:spacing w:after="0"/>
                        <w:jc w:val="center"/>
                        <w:rPr>
                          <w:rFonts w:ascii="Bahnschrift" w:hAnsi="Bahnschrift"/>
                          <w:sz w:val="40"/>
                          <w:szCs w:val="40"/>
                        </w:rPr>
                      </w:pPr>
                      <w:r>
                        <w:rPr>
                          <w:rFonts w:ascii="Bahnschrift" w:hAnsi="Bahnschrift"/>
                          <w:sz w:val="40"/>
                          <w:szCs w:val="40"/>
                        </w:rPr>
                        <w:t>PROJEKT</w:t>
                      </w:r>
                    </w:p>
                  </w:txbxContent>
                </v:textbox>
                <w10:wrap anchorx="margin"/>
              </v:rect>
            </w:pict>
          </mc:Fallback>
        </mc:AlternateContent>
      </w:r>
      <w:r w:rsidR="00BA64EC">
        <w:rPr>
          <w:noProof/>
        </w:rPr>
        <w:drawing>
          <wp:anchor distT="0" distB="0" distL="114300" distR="114300" simplePos="0" relativeHeight="251596800" behindDoc="1" locked="0" layoutInCell="1" allowOverlap="1" wp14:anchorId="4A77C4E6" wp14:editId="584E25CA">
            <wp:simplePos x="0" y="0"/>
            <wp:positionH relativeFrom="margin">
              <wp:posOffset>-174516</wp:posOffset>
            </wp:positionH>
            <wp:positionV relativeFrom="paragraph">
              <wp:posOffset>0</wp:posOffset>
            </wp:positionV>
            <wp:extent cx="2534285" cy="850900"/>
            <wp:effectExtent l="0" t="0" r="0" b="0"/>
            <wp:wrapTight wrapText="bothSides">
              <wp:wrapPolygon edited="0">
                <wp:start x="2598" y="2418"/>
                <wp:lineTo x="1137" y="4352"/>
                <wp:lineTo x="812" y="9672"/>
                <wp:lineTo x="974" y="15958"/>
                <wp:lineTo x="2760" y="18376"/>
                <wp:lineTo x="6008" y="19343"/>
                <wp:lineTo x="20458" y="19343"/>
                <wp:lineTo x="20620" y="8221"/>
                <wp:lineTo x="14451" y="5319"/>
                <wp:lineTo x="4221" y="2418"/>
                <wp:lineTo x="2598" y="2418"/>
              </wp:wrapPolygon>
            </wp:wrapTight>
            <wp:docPr id="1207440670" name="Obraz 6" descr="Obraz zawierający tekst, Czcionka, logo, symbol&#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440670" name="Obraz 6" descr="Obraz zawierający tekst, Czcionka, logo, symbol&#10;&#10;Opis wygenerowany automatyczni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534285" cy="850900"/>
                    </a:xfrm>
                    <a:prstGeom prst="rect">
                      <a:avLst/>
                    </a:prstGeom>
                    <a:noFill/>
                    <a:ln>
                      <a:noFill/>
                    </a:ln>
                  </pic:spPr>
                </pic:pic>
              </a:graphicData>
            </a:graphic>
            <wp14:sizeRelH relativeFrom="page">
              <wp14:pctWidth>0</wp14:pctWidth>
            </wp14:sizeRelH>
            <wp14:sizeRelV relativeFrom="page">
              <wp14:pctHeight>0</wp14:pctHeight>
            </wp14:sizeRelV>
          </wp:anchor>
        </w:drawing>
      </w:r>
      <w:r w:rsidR="00DE0CED">
        <w:rPr>
          <w:noProof/>
        </w:rPr>
        <mc:AlternateContent>
          <mc:Choice Requires="wps">
            <w:drawing>
              <wp:anchor distT="0" distB="0" distL="114300" distR="114300" simplePos="0" relativeHeight="251688960" behindDoc="1" locked="0" layoutInCell="1" allowOverlap="1" wp14:anchorId="1B20A474" wp14:editId="2B679233">
                <wp:simplePos x="0" y="0"/>
                <wp:positionH relativeFrom="page">
                  <wp:posOffset>-15875</wp:posOffset>
                </wp:positionH>
                <wp:positionV relativeFrom="paragraph">
                  <wp:posOffset>-899795</wp:posOffset>
                </wp:positionV>
                <wp:extent cx="7583170" cy="10815320"/>
                <wp:effectExtent l="0" t="0" r="0" b="0"/>
                <wp:wrapNone/>
                <wp:docPr id="1452145905" name="Prostokąt 9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83170" cy="10815320"/>
                        </a:xfrm>
                        <a:prstGeom prst="rect">
                          <a:avLst/>
                        </a:prstGeom>
                        <a:solidFill>
                          <a:srgbClr val="002060"/>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4EC9D7CF" w14:textId="77777777" w:rsidR="00BA64EC" w:rsidRDefault="00BA64EC" w:rsidP="00BA64E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B20A474" id="Prostokąt 91" o:spid="_x0000_s1027" style="position:absolute;left:0;text-align:left;margin-left:-1.25pt;margin-top:-70.85pt;width:597.1pt;height:851.6pt;z-index:-2516275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" fillcolor="#002060" stroked="f" strokeweight="1pt">
                <v:textbox>
                  <w:txbxContent>
                    <w:p w14:paraId="4EC9D7CF" w14:textId="77777777" w:rsidR="00BA64EC" w:rsidRDefault="00BA64EC" w:rsidP="00BA64EC">
                      <w:pPr>
                        <w:jc w:val="center"/>
                      </w:pPr>
                    </w:p>
                  </w:txbxContent>
                </v:textbox>
                <w10:wrap anchorx="page"/>
              </v:rect>
            </w:pict>
          </mc:Fallback>
        </mc:AlternateContent>
      </w:r>
      <w:r w:rsidR="00BA64EC">
        <w:t xml:space="preserve"> </w:t>
      </w:r>
    </w:p>
    <w:p w14:paraId="48FF0444" w14:textId="77777777" w:rsidR="00BA64EC" w:rsidRDefault="00BA64EC" w:rsidP="00BA64EC">
      <w:pPr>
        <w:pStyle w:val="Tytu"/>
        <w:rPr>
          <w:rFonts w:eastAsiaTheme="minorHAnsi"/>
        </w:rPr>
      </w:pPr>
    </w:p>
    <w:p w14:paraId="7A53867B" w14:textId="77777777" w:rsidR="00BA64EC" w:rsidRDefault="00BA64EC" w:rsidP="00BA64EC">
      <w:pPr>
        <w:pStyle w:val="Tytu"/>
        <w:rPr>
          <w:rFonts w:eastAsiaTheme="minorHAnsi"/>
        </w:rPr>
      </w:pPr>
    </w:p>
    <w:p w14:paraId="4FAC5F6C" w14:textId="45305CD7" w:rsidR="00BA64EC" w:rsidRPr="001144FC" w:rsidRDefault="00BA64EC" w:rsidP="00BA64EC">
      <w:pPr>
        <w:pStyle w:val="Tytu"/>
        <w:rPr>
          <w:rFonts w:eastAsiaTheme="minorHAnsi"/>
          <w:b/>
          <w:bCs/>
          <w:sz w:val="68"/>
          <w:szCs w:val="68"/>
        </w:rPr>
      </w:pPr>
      <w:r w:rsidRPr="001144FC">
        <w:rPr>
          <w:rFonts w:eastAsiaTheme="minorHAnsi"/>
          <w:b/>
          <w:bCs/>
          <w:sz w:val="68"/>
          <w:szCs w:val="68"/>
        </w:rPr>
        <w:t>Krajow</w:t>
      </w:r>
      <w:r w:rsidR="001144FC" w:rsidRPr="001144FC">
        <w:rPr>
          <w:rFonts w:eastAsiaTheme="minorHAnsi"/>
          <w:b/>
          <w:bCs/>
          <w:sz w:val="68"/>
          <w:szCs w:val="68"/>
        </w:rPr>
        <w:t>y</w:t>
      </w:r>
      <w:r w:rsidRPr="001144FC">
        <w:rPr>
          <w:rFonts w:eastAsiaTheme="minorHAnsi"/>
          <w:b/>
          <w:bCs/>
          <w:sz w:val="68"/>
          <w:szCs w:val="68"/>
        </w:rPr>
        <w:t xml:space="preserve"> </w:t>
      </w:r>
      <w:r w:rsidR="00583F68" w:rsidRPr="001144FC">
        <w:rPr>
          <w:rFonts w:eastAsiaTheme="minorHAnsi"/>
          <w:b/>
          <w:bCs/>
          <w:sz w:val="68"/>
          <w:szCs w:val="68"/>
        </w:rPr>
        <w:t>P</w:t>
      </w:r>
      <w:r w:rsidRPr="001144FC">
        <w:rPr>
          <w:rFonts w:eastAsiaTheme="minorHAnsi"/>
          <w:b/>
          <w:bCs/>
          <w:sz w:val="68"/>
          <w:szCs w:val="68"/>
        </w:rPr>
        <w:t xml:space="preserve">lan </w:t>
      </w:r>
    </w:p>
    <w:p w14:paraId="6327870F" w14:textId="77777777" w:rsidR="001144FC" w:rsidRDefault="001144FC" w:rsidP="001144FC">
      <w:pPr>
        <w:pStyle w:val="Tytu"/>
        <w:spacing w:after="360"/>
        <w:contextualSpacing w:val="0"/>
        <w:rPr>
          <w:rFonts w:eastAsiaTheme="minorHAnsi"/>
          <w:b/>
          <w:bCs/>
          <w:sz w:val="68"/>
          <w:szCs w:val="68"/>
        </w:rPr>
      </w:pPr>
      <w:r w:rsidRPr="001144FC">
        <w:rPr>
          <w:rFonts w:eastAsiaTheme="minorHAnsi"/>
          <w:b/>
          <w:bCs/>
          <w:sz w:val="68"/>
          <w:szCs w:val="68"/>
        </w:rPr>
        <w:t>w dziedzinie</w:t>
      </w:r>
      <w:r w:rsidR="00BA64EC" w:rsidRPr="001144FC">
        <w:rPr>
          <w:rFonts w:eastAsiaTheme="minorHAnsi"/>
          <w:b/>
          <w:bCs/>
          <w:sz w:val="68"/>
          <w:szCs w:val="68"/>
        </w:rPr>
        <w:t xml:space="preserve"> </w:t>
      </w:r>
      <w:r w:rsidRPr="001144FC">
        <w:rPr>
          <w:rFonts w:eastAsiaTheme="minorHAnsi"/>
          <w:b/>
          <w:bCs/>
          <w:sz w:val="68"/>
          <w:szCs w:val="68"/>
        </w:rPr>
        <w:t>E</w:t>
      </w:r>
      <w:r w:rsidR="00BA64EC" w:rsidRPr="001144FC">
        <w:rPr>
          <w:rFonts w:eastAsiaTheme="minorHAnsi"/>
          <w:b/>
          <w:bCs/>
          <w:sz w:val="68"/>
          <w:szCs w:val="68"/>
        </w:rPr>
        <w:t xml:space="preserve">nergii i </w:t>
      </w:r>
      <w:r w:rsidRPr="001144FC">
        <w:rPr>
          <w:rFonts w:eastAsiaTheme="minorHAnsi"/>
          <w:b/>
          <w:bCs/>
          <w:sz w:val="68"/>
          <w:szCs w:val="68"/>
        </w:rPr>
        <w:t>K</w:t>
      </w:r>
      <w:r w:rsidR="00BA64EC" w:rsidRPr="001144FC">
        <w:rPr>
          <w:rFonts w:eastAsiaTheme="minorHAnsi"/>
          <w:b/>
          <w:bCs/>
          <w:sz w:val="68"/>
          <w:szCs w:val="68"/>
        </w:rPr>
        <w:t xml:space="preserve">limatu </w:t>
      </w:r>
      <w:r w:rsidR="00BA64EC" w:rsidRPr="001144FC">
        <w:rPr>
          <w:rFonts w:eastAsiaTheme="minorHAnsi"/>
          <w:b/>
          <w:bCs/>
          <w:sz w:val="68"/>
          <w:szCs w:val="68"/>
        </w:rPr>
        <w:br/>
      </w:r>
      <w:r w:rsidRPr="001144FC">
        <w:rPr>
          <w:rFonts w:eastAsiaTheme="minorHAnsi"/>
          <w:b/>
          <w:bCs/>
          <w:sz w:val="68"/>
          <w:szCs w:val="68"/>
        </w:rPr>
        <w:t xml:space="preserve">do </w:t>
      </w:r>
      <w:r w:rsidR="00BA64EC" w:rsidRPr="001144FC">
        <w:rPr>
          <w:rFonts w:eastAsiaTheme="minorHAnsi"/>
          <w:b/>
          <w:bCs/>
          <w:sz w:val="68"/>
          <w:szCs w:val="68"/>
        </w:rPr>
        <w:t xml:space="preserve">2030 </w:t>
      </w:r>
      <w:r w:rsidRPr="001144FC">
        <w:rPr>
          <w:rFonts w:eastAsiaTheme="minorHAnsi"/>
          <w:b/>
          <w:bCs/>
          <w:sz w:val="68"/>
          <w:szCs w:val="68"/>
        </w:rPr>
        <w:t>r.</w:t>
      </w:r>
      <w:r>
        <w:rPr>
          <w:rFonts w:eastAsiaTheme="minorHAnsi"/>
          <w:b/>
          <w:bCs/>
          <w:sz w:val="68"/>
          <w:szCs w:val="68"/>
        </w:rPr>
        <w:t xml:space="preserve"> </w:t>
      </w:r>
    </w:p>
    <w:p w14:paraId="22D581E3" w14:textId="0AC27A4D" w:rsidR="00BA64EC" w:rsidRPr="001144FC" w:rsidRDefault="001144FC" w:rsidP="001144FC">
      <w:pPr>
        <w:pStyle w:val="Tytu"/>
        <w:contextualSpacing w:val="0"/>
        <w:rPr>
          <w:rFonts w:eastAsiaTheme="minorHAnsi"/>
          <w:b/>
          <w:bCs/>
          <w:sz w:val="68"/>
          <w:szCs w:val="68"/>
        </w:rPr>
      </w:pPr>
      <w:r w:rsidRPr="001144FC">
        <w:rPr>
          <w:rFonts w:eastAsiaTheme="minorHAnsi"/>
          <w:b/>
          <w:bCs/>
          <w:sz w:val="44"/>
          <w:szCs w:val="44"/>
        </w:rPr>
        <w:t>(akt</w:t>
      </w:r>
      <w:r>
        <w:rPr>
          <w:rFonts w:eastAsiaTheme="minorHAnsi"/>
          <w:b/>
          <w:bCs/>
          <w:sz w:val="44"/>
          <w:szCs w:val="44"/>
        </w:rPr>
        <w:t>u</w:t>
      </w:r>
      <w:r w:rsidRPr="001144FC">
        <w:rPr>
          <w:rFonts w:eastAsiaTheme="minorHAnsi"/>
          <w:b/>
          <w:bCs/>
          <w:sz w:val="44"/>
          <w:szCs w:val="44"/>
        </w:rPr>
        <w:t>alizacja K</w:t>
      </w:r>
      <w:r w:rsidR="00DD5F88">
        <w:rPr>
          <w:rFonts w:eastAsiaTheme="minorHAnsi"/>
          <w:b/>
          <w:bCs/>
          <w:sz w:val="44"/>
          <w:szCs w:val="44"/>
        </w:rPr>
        <w:t>PEi</w:t>
      </w:r>
      <w:r>
        <w:rPr>
          <w:rFonts w:eastAsiaTheme="minorHAnsi"/>
          <w:b/>
          <w:bCs/>
          <w:sz w:val="44"/>
          <w:szCs w:val="44"/>
        </w:rPr>
        <w:t>K z 2019 r.</w:t>
      </w:r>
      <w:r w:rsidRPr="001144FC">
        <w:rPr>
          <w:rFonts w:eastAsiaTheme="minorHAnsi"/>
          <w:b/>
          <w:bCs/>
          <w:sz w:val="44"/>
          <w:szCs w:val="44"/>
        </w:rPr>
        <w:t>)</w:t>
      </w:r>
    </w:p>
    <w:p w14:paraId="365F7DF0" w14:textId="73E49829" w:rsidR="00A41398" w:rsidRDefault="00A41398" w:rsidP="001144FC">
      <w:pPr>
        <w:pStyle w:val="Nagwekspisutreci"/>
        <w:numPr>
          <w:ilvl w:val="0"/>
          <w:numId w:val="0"/>
        </w:numPr>
        <w:spacing w:before="0" w:after="360"/>
        <w:ind w:left="432" w:hanging="432"/>
        <w:rPr>
          <w:rFonts w:ascii="Lato" w:eastAsiaTheme="minorHAnsi" w:hAnsi="Lato" w:cstheme="minorBidi"/>
          <w:kern w:val="2"/>
          <w:sz w:val="22"/>
          <w:szCs w:val="22"/>
          <w:lang w:eastAsia="en-US"/>
        </w:rPr>
      </w:pPr>
    </w:p>
    <w:p w14:paraId="328110CD" w14:textId="6507F8DA" w:rsidR="00BA64EC" w:rsidRDefault="00BA64EC" w:rsidP="00BA64EC">
      <w:pPr>
        <w:jc w:val="center"/>
      </w:pPr>
    </w:p>
    <w:p w14:paraId="337B9218" w14:textId="66ABB207" w:rsidR="00BA64EC" w:rsidRDefault="00DE0CED" w:rsidP="00BA64EC">
      <w:pPr>
        <w:sectPr w:rsidR="00BA64EC" w:rsidSect="005209BA">
          <w:headerReference w:type="default" r:id="rId9"/>
          <w:footerReference w:type="default" r:id="rId10"/>
          <w:pgSz w:w="11906" w:h="16838"/>
          <w:pgMar w:top="1417" w:right="1417" w:bottom="1417" w:left="1417" w:header="708" w:footer="708" w:gutter="0"/>
          <w:cols w:space="708"/>
          <w:docGrid w:linePitch="360"/>
        </w:sectPr>
      </w:pPr>
      <w:r>
        <w:rPr>
          <w:noProof/>
        </w:rPr>
        <mc:AlternateContent>
          <mc:Choice Requires="wps">
            <w:drawing>
              <wp:anchor distT="0" distB="0" distL="114300" distR="114300" simplePos="0" relativeHeight="251691008" behindDoc="0" locked="0" layoutInCell="1" allowOverlap="1" wp14:anchorId="1AA812B2" wp14:editId="23D001DC">
                <wp:simplePos x="0" y="0"/>
                <wp:positionH relativeFrom="margin">
                  <wp:align>left</wp:align>
                </wp:positionH>
                <wp:positionV relativeFrom="paragraph">
                  <wp:posOffset>4406900</wp:posOffset>
                </wp:positionV>
                <wp:extent cx="2114550" cy="403860"/>
                <wp:effectExtent l="0" t="0" r="0" b="15240"/>
                <wp:wrapNone/>
                <wp:docPr id="2084546109" name="Pole tekstowe 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14550" cy="403860"/>
                        </a:xfrm>
                        <a:prstGeom prst="rect">
                          <a:avLst/>
                        </a:prstGeom>
                        <a:noFill/>
                        <a:ln w="6350">
                          <a:noFill/>
                        </a:ln>
                      </wps:spPr>
                      <wps:txbx>
                        <w:txbxContent>
                          <w:p w14:paraId="120D6C9E" w14:textId="0919E3E6" w:rsidR="00BA64EC" w:rsidRPr="003D525D" w:rsidRDefault="00BA64EC" w:rsidP="00BA64EC">
                            <w:pPr>
                              <w:rPr>
                                <w:rFonts w:ascii="Bahnschrift" w:hAnsi="Bahnschrift"/>
                                <w:color w:val="FFFFFF" w:themeColor="background1"/>
                                <w:sz w:val="24"/>
                                <w:szCs w:val="28"/>
                              </w:rPr>
                            </w:pPr>
                            <w:r w:rsidRPr="003D525D">
                              <w:rPr>
                                <w:rFonts w:ascii="Bahnschrift" w:hAnsi="Bahnschrift"/>
                                <w:color w:val="FFFFFF" w:themeColor="background1"/>
                                <w:sz w:val="24"/>
                                <w:szCs w:val="28"/>
                              </w:rPr>
                              <w:t>Warszawa</w:t>
                            </w:r>
                            <w:r w:rsidR="001C2C2F">
                              <w:rPr>
                                <w:rFonts w:ascii="Bahnschrift" w:hAnsi="Bahnschrift"/>
                                <w:color w:val="FFFFFF" w:themeColor="background1"/>
                                <w:sz w:val="24"/>
                                <w:szCs w:val="28"/>
                              </w:rPr>
                              <w:t xml:space="preserve">, </w:t>
                            </w:r>
                            <w:r w:rsidR="007812FC">
                              <w:rPr>
                                <w:rFonts w:ascii="Bahnschrift" w:hAnsi="Bahnschrift"/>
                                <w:color w:val="FFFFFF" w:themeColor="background1"/>
                                <w:sz w:val="24"/>
                                <w:szCs w:val="28"/>
                              </w:rPr>
                              <w:t>październik</w:t>
                            </w:r>
                            <w:r w:rsidRPr="003D525D">
                              <w:rPr>
                                <w:rFonts w:ascii="Bahnschrift" w:hAnsi="Bahnschrift"/>
                                <w:color w:val="FFFFFF" w:themeColor="background1"/>
                                <w:sz w:val="24"/>
                                <w:szCs w:val="28"/>
                              </w:rPr>
                              <w:t xml:space="preserve"> 2024</w:t>
                            </w:r>
                            <w:r w:rsidR="007812FC">
                              <w:rPr>
                                <w:rFonts w:ascii="Bahnschrift" w:hAnsi="Bahnschrift"/>
                                <w:color w:val="FFFFFF" w:themeColor="background1"/>
                                <w:sz w:val="24"/>
                                <w:szCs w:val="28"/>
                              </w:rPr>
                              <w:t xml:space="preserve"> r.</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1AA812B2" id="_x0000_t202" coordsize="21600,21600" o:spt="202" path="m,l,21600r21600,l21600,xe">
                <v:stroke joinstyle="miter"/>
                <v:path gradientshapeok="t" o:connecttype="rect"/>
              </v:shapetype>
              <v:shape id="Pole tekstowe 90" o:spid="_x0000_s1028" type="#_x0000_t202" style="position:absolute;left:0;text-align:left;margin-left:0;margin-top:347pt;width:166.5pt;height:31.8pt;z-index:25169100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" filled="f" stroked="f" strokeweight=".5pt">
                <v:textbox inset="0,0,0,0">
                  <w:txbxContent>
                    <w:p w14:paraId="120D6C9E" w14:textId="0919E3E6" w:rsidR="00BA64EC" w:rsidRPr="003D525D" w:rsidRDefault="00BA64EC" w:rsidP="00BA64EC">
                      <w:pPr>
                        <w:rPr>
                          <w:rFonts w:ascii="Bahnschrift" w:hAnsi="Bahnschrift"/>
                          <w:color w:val="FFFFFF" w:themeColor="background1"/>
                          <w:sz w:val="24"/>
                          <w:szCs w:val="28"/>
                        </w:rPr>
                      </w:pPr>
                      <w:r w:rsidRPr="003D525D">
                        <w:rPr>
                          <w:rFonts w:ascii="Bahnschrift" w:hAnsi="Bahnschrift"/>
                          <w:color w:val="FFFFFF" w:themeColor="background1"/>
                          <w:sz w:val="24"/>
                          <w:szCs w:val="28"/>
                        </w:rPr>
                        <w:t>Warszawa</w:t>
                      </w:r>
                      <w:r w:rsidR="001C2C2F">
                        <w:rPr>
                          <w:rFonts w:ascii="Bahnschrift" w:hAnsi="Bahnschrift"/>
                          <w:color w:val="FFFFFF" w:themeColor="background1"/>
                          <w:sz w:val="24"/>
                          <w:szCs w:val="28"/>
                        </w:rPr>
                        <w:t xml:space="preserve">, </w:t>
                      </w:r>
                      <w:r w:rsidR="007812FC">
                        <w:rPr>
                          <w:rFonts w:ascii="Bahnschrift" w:hAnsi="Bahnschrift"/>
                          <w:color w:val="FFFFFF" w:themeColor="background1"/>
                          <w:sz w:val="24"/>
                          <w:szCs w:val="28"/>
                        </w:rPr>
                        <w:t>październik</w:t>
                      </w:r>
                      <w:r w:rsidRPr="003D525D">
                        <w:rPr>
                          <w:rFonts w:ascii="Bahnschrift" w:hAnsi="Bahnschrift"/>
                          <w:color w:val="FFFFFF" w:themeColor="background1"/>
                          <w:sz w:val="24"/>
                          <w:szCs w:val="28"/>
                        </w:rPr>
                        <w:t xml:space="preserve"> 2024</w:t>
                      </w:r>
                      <w:r w:rsidR="007812FC">
                        <w:rPr>
                          <w:rFonts w:ascii="Bahnschrift" w:hAnsi="Bahnschrift"/>
                          <w:color w:val="FFFFFF" w:themeColor="background1"/>
                          <w:sz w:val="24"/>
                          <w:szCs w:val="28"/>
                        </w:rPr>
                        <w:t xml:space="preserve"> r.</w:t>
                      </w:r>
                    </w:p>
                  </w:txbxContent>
                </v:textbox>
                <w10:wrap anchorx="margin"/>
              </v:shape>
            </w:pict>
          </mc:Fallback>
        </mc:AlternateContent>
      </w:r>
      <w:r w:rsidR="00BA64EC">
        <w:rPr>
          <w:noProof/>
        </w:rPr>
        <w:drawing>
          <wp:anchor distT="0" distB="0" distL="114300" distR="114300" simplePos="0" relativeHeight="251597824" behindDoc="1" locked="0" layoutInCell="1" allowOverlap="1" wp14:anchorId="3D312FF3" wp14:editId="490C886E">
            <wp:simplePos x="0" y="0"/>
            <wp:positionH relativeFrom="page">
              <wp:posOffset>0</wp:posOffset>
            </wp:positionH>
            <wp:positionV relativeFrom="paragraph">
              <wp:posOffset>6350</wp:posOffset>
            </wp:positionV>
            <wp:extent cx="7569200" cy="4098290"/>
            <wp:effectExtent l="0" t="0" r="0" b="0"/>
            <wp:wrapTight wrapText="bothSides">
              <wp:wrapPolygon edited="0">
                <wp:start x="0" y="0"/>
                <wp:lineTo x="0" y="21486"/>
                <wp:lineTo x="21528" y="21486"/>
                <wp:lineTo x="21528" y="0"/>
                <wp:lineTo x="0" y="0"/>
              </wp:wrapPolygon>
            </wp:wrapTight>
            <wp:docPr id="472045995" name="Obraz 1" descr="Obraz zawierający na wolnym powietrzu, natura, trawa, lotnicz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045995" name="Obraz 1" descr="Obraz zawierający na wolnym powietrzu, natura, trawa, lotnicze&#10;&#10;Opis wygenerowany automatycznie"/>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a:stretch/>
                  </pic:blipFill>
                  <pic:spPr bwMode="auto">
                    <a:xfrm>
                      <a:off x="0" y="0"/>
                      <a:ext cx="7569200" cy="40982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sdt>
      <w:sdtPr>
        <w:rPr>
          <w:rFonts w:ascii="Lato" w:eastAsiaTheme="minorHAnsi" w:hAnsi="Lato" w:cstheme="minorBidi"/>
          <w:kern w:val="2"/>
          <w:sz w:val="22"/>
          <w:szCs w:val="22"/>
          <w:lang w:eastAsia="en-US"/>
        </w:rPr>
        <w:id w:val="-956637696"/>
        <w:docPartObj>
          <w:docPartGallery w:val="Table of Contents"/>
          <w:docPartUnique/>
        </w:docPartObj>
      </w:sdtPr>
      <w:sdtEndPr>
        <w:rPr>
          <w:b/>
          <w:bCs/>
          <w:sz w:val="20"/>
        </w:rPr>
      </w:sdtEndPr>
      <w:sdtContent>
        <w:sdt>
          <w:sdtPr>
            <w:rPr>
              <w:rFonts w:ascii="Lato" w:eastAsiaTheme="minorHAnsi" w:hAnsi="Lato" w:cstheme="minorBidi"/>
              <w:kern w:val="2"/>
              <w:sz w:val="22"/>
              <w:szCs w:val="22"/>
              <w:lang w:eastAsia="en-US"/>
            </w:rPr>
            <w:id w:val="347611243"/>
            <w:docPartObj>
              <w:docPartGallery w:val="Table of Contents"/>
              <w:docPartUnique/>
            </w:docPartObj>
          </w:sdtPr>
          <w:sdtEndPr>
            <w:rPr>
              <w:rFonts w:asciiTheme="majorHAnsi" w:eastAsiaTheme="majorEastAsia" w:hAnsiTheme="majorHAnsi" w:cstheme="majorBidi"/>
              <w:kern w:val="0"/>
              <w:sz w:val="32"/>
              <w:szCs w:val="32"/>
              <w:lang w:eastAsia="pl-PL"/>
            </w:rPr>
          </w:sdtEndPr>
          <w:sdtContent>
            <w:p w14:paraId="371CE8F4" w14:textId="781FB111" w:rsidR="00955EE6" w:rsidRPr="001D4BA5" w:rsidRDefault="00BA46AC" w:rsidP="001D4BA5">
              <w:pPr>
                <w:pStyle w:val="Nagwekspisutreci"/>
                <w:numPr>
                  <w:ilvl w:val="0"/>
                  <w:numId w:val="0"/>
                </w:numPr>
                <w:spacing w:before="120" w:after="240"/>
                <w:ind w:left="432" w:hanging="432"/>
                <w:rPr>
                  <w:rFonts w:ascii="Bahnschrift" w:hAnsi="Bahnschrift"/>
                  <w:b/>
                  <w:bCs/>
                  <w:sz w:val="48"/>
                  <w:szCs w:val="48"/>
                </w:rPr>
              </w:pPr>
              <w:r w:rsidRPr="00BA64EC">
                <w:rPr>
                  <w:rFonts w:ascii="Bahnschrift" w:hAnsi="Bahnschrift"/>
                  <w:b/>
                  <w:bCs/>
                  <w:sz w:val="48"/>
                  <w:szCs w:val="48"/>
                </w:rPr>
                <w:t>Spis treści</w:t>
              </w:r>
            </w:p>
          </w:sdtContent>
        </w:sdt>
        <w:p w14:paraId="32D89D86" w14:textId="70A9638F" w:rsidR="00DD3929" w:rsidRDefault="00955EE6">
          <w:pPr>
            <w:pStyle w:val="Spistreci1"/>
            <w:rPr>
              <w:rFonts w:asciiTheme="minorHAnsi" w:eastAsiaTheme="minorEastAsia" w:hAnsiTheme="minorHAnsi"/>
              <w:noProof/>
              <w:sz w:val="24"/>
              <w:szCs w:val="24"/>
              <w:lang w:eastAsia="pl-PL"/>
            </w:rPr>
          </w:pPr>
          <w:r>
            <w:fldChar w:fldCharType="begin"/>
          </w:r>
          <w:r>
            <w:instrText xml:space="preserve"> TOC \o "1-4" \h \z \u </w:instrText>
          </w:r>
          <w:r>
            <w:fldChar w:fldCharType="separate"/>
          </w:r>
          <w:hyperlink w:anchor="_Toc179536925" w:history="1">
            <w:r w:rsidR="00DD3929" w:rsidRPr="009D3A92">
              <w:rPr>
                <w:rStyle w:val="Hipercze"/>
                <w:noProof/>
              </w:rPr>
              <w:t>Słowo wstępu</w:t>
            </w:r>
            <w:r w:rsidR="00DD3929">
              <w:rPr>
                <w:noProof/>
                <w:webHidden/>
              </w:rPr>
              <w:tab/>
            </w:r>
            <w:r w:rsidR="00DD3929">
              <w:rPr>
                <w:noProof/>
                <w:webHidden/>
              </w:rPr>
              <w:fldChar w:fldCharType="begin"/>
            </w:r>
            <w:r w:rsidR="00DD3929">
              <w:rPr>
                <w:noProof/>
                <w:webHidden/>
              </w:rPr>
              <w:instrText xml:space="preserve"> PAGEREF _Toc179536925 \h </w:instrText>
            </w:r>
            <w:r w:rsidR="00DD3929">
              <w:rPr>
                <w:noProof/>
                <w:webHidden/>
              </w:rPr>
            </w:r>
            <w:r w:rsidR="00DD3929">
              <w:rPr>
                <w:noProof/>
                <w:webHidden/>
              </w:rPr>
              <w:fldChar w:fldCharType="separate"/>
            </w:r>
            <w:r w:rsidR="00103318">
              <w:rPr>
                <w:noProof/>
                <w:webHidden/>
              </w:rPr>
              <w:t>5</w:t>
            </w:r>
            <w:r w:rsidR="00DD3929">
              <w:rPr>
                <w:noProof/>
                <w:webHidden/>
              </w:rPr>
              <w:fldChar w:fldCharType="end"/>
            </w:r>
          </w:hyperlink>
        </w:p>
        <w:p w14:paraId="3B1FFAAB" w14:textId="617AA92C" w:rsidR="00DD3929" w:rsidRDefault="00000000">
          <w:pPr>
            <w:pStyle w:val="Spistreci1"/>
            <w:rPr>
              <w:rFonts w:asciiTheme="minorHAnsi" w:eastAsiaTheme="minorEastAsia" w:hAnsiTheme="minorHAnsi"/>
              <w:noProof/>
              <w:sz w:val="24"/>
              <w:szCs w:val="24"/>
              <w:lang w:eastAsia="pl-PL"/>
            </w:rPr>
          </w:pPr>
          <w:hyperlink w:anchor="_Toc179536926" w:history="1">
            <w:r w:rsidR="00DD3929" w:rsidRPr="009D3A92">
              <w:rPr>
                <w:rStyle w:val="Hipercze"/>
                <w:rFonts w:ascii="Lato" w:hAnsi="Lato"/>
                <w:noProof/>
              </w:rPr>
              <w:t>I.</w:t>
            </w:r>
            <w:r w:rsidR="00DD3929">
              <w:rPr>
                <w:rFonts w:asciiTheme="minorHAnsi" w:eastAsiaTheme="minorEastAsia" w:hAnsiTheme="minorHAnsi"/>
                <w:noProof/>
                <w:sz w:val="24"/>
                <w:szCs w:val="24"/>
                <w:lang w:eastAsia="pl-PL"/>
              </w:rPr>
              <w:tab/>
            </w:r>
            <w:r w:rsidR="00DD3929" w:rsidRPr="009D3A92">
              <w:rPr>
                <w:rStyle w:val="Hipercze"/>
                <w:noProof/>
              </w:rPr>
              <w:t>WPROWADZENIE</w:t>
            </w:r>
            <w:r w:rsidR="00DD3929">
              <w:rPr>
                <w:noProof/>
                <w:webHidden/>
              </w:rPr>
              <w:tab/>
            </w:r>
            <w:r w:rsidR="00DD3929">
              <w:rPr>
                <w:noProof/>
                <w:webHidden/>
              </w:rPr>
              <w:fldChar w:fldCharType="begin"/>
            </w:r>
            <w:r w:rsidR="00DD3929">
              <w:rPr>
                <w:noProof/>
                <w:webHidden/>
              </w:rPr>
              <w:instrText xml:space="preserve"> PAGEREF _Toc179536926 \h </w:instrText>
            </w:r>
            <w:r w:rsidR="00DD3929">
              <w:rPr>
                <w:noProof/>
                <w:webHidden/>
              </w:rPr>
            </w:r>
            <w:r w:rsidR="00DD3929">
              <w:rPr>
                <w:noProof/>
                <w:webHidden/>
              </w:rPr>
              <w:fldChar w:fldCharType="separate"/>
            </w:r>
            <w:r w:rsidR="00103318">
              <w:rPr>
                <w:noProof/>
                <w:webHidden/>
              </w:rPr>
              <w:t>6</w:t>
            </w:r>
            <w:r w:rsidR="00DD3929">
              <w:rPr>
                <w:noProof/>
                <w:webHidden/>
              </w:rPr>
              <w:fldChar w:fldCharType="end"/>
            </w:r>
          </w:hyperlink>
        </w:p>
        <w:p w14:paraId="54E0358E" w14:textId="68FD3F3C" w:rsidR="00DD3929" w:rsidRDefault="00000000">
          <w:pPr>
            <w:pStyle w:val="Spistreci2"/>
            <w:rPr>
              <w:rFonts w:asciiTheme="minorHAnsi" w:eastAsiaTheme="minorEastAsia" w:hAnsiTheme="minorHAnsi"/>
              <w:noProof/>
              <w:sz w:val="24"/>
              <w:szCs w:val="24"/>
              <w:lang w:eastAsia="pl-PL"/>
            </w:rPr>
          </w:pPr>
          <w:hyperlink w:anchor="_Toc179536927" w:history="1">
            <w:r w:rsidR="00DD3929" w:rsidRPr="009D3A92">
              <w:rPr>
                <w:rStyle w:val="Hipercze"/>
                <w:noProof/>
              </w:rPr>
              <w:t>A)</w:t>
            </w:r>
            <w:r w:rsidR="00DD3929">
              <w:rPr>
                <w:rFonts w:asciiTheme="minorHAnsi" w:eastAsiaTheme="minorEastAsia" w:hAnsiTheme="minorHAnsi"/>
                <w:noProof/>
                <w:sz w:val="24"/>
                <w:szCs w:val="24"/>
                <w:lang w:eastAsia="pl-PL"/>
              </w:rPr>
              <w:tab/>
            </w:r>
            <w:r w:rsidR="00DD3929" w:rsidRPr="009D3A92">
              <w:rPr>
                <w:rStyle w:val="Hipercze"/>
                <w:noProof/>
              </w:rPr>
              <w:t>Czym jest KPEiK i w jakim celu został opracowany</w:t>
            </w:r>
            <w:r w:rsidR="00DD3929">
              <w:rPr>
                <w:noProof/>
                <w:webHidden/>
              </w:rPr>
              <w:tab/>
            </w:r>
            <w:r w:rsidR="00DD3929">
              <w:rPr>
                <w:noProof/>
                <w:webHidden/>
              </w:rPr>
              <w:fldChar w:fldCharType="begin"/>
            </w:r>
            <w:r w:rsidR="00DD3929">
              <w:rPr>
                <w:noProof/>
                <w:webHidden/>
              </w:rPr>
              <w:instrText xml:space="preserve"> PAGEREF _Toc179536927 \h </w:instrText>
            </w:r>
            <w:r w:rsidR="00DD3929">
              <w:rPr>
                <w:noProof/>
                <w:webHidden/>
              </w:rPr>
            </w:r>
            <w:r w:rsidR="00DD3929">
              <w:rPr>
                <w:noProof/>
                <w:webHidden/>
              </w:rPr>
              <w:fldChar w:fldCharType="separate"/>
            </w:r>
            <w:r w:rsidR="00103318">
              <w:rPr>
                <w:noProof/>
                <w:webHidden/>
              </w:rPr>
              <w:t>6</w:t>
            </w:r>
            <w:r w:rsidR="00DD3929">
              <w:rPr>
                <w:noProof/>
                <w:webHidden/>
              </w:rPr>
              <w:fldChar w:fldCharType="end"/>
            </w:r>
          </w:hyperlink>
        </w:p>
        <w:p w14:paraId="387374B5" w14:textId="67737A6C" w:rsidR="00DD3929" w:rsidRDefault="00000000">
          <w:pPr>
            <w:pStyle w:val="Spistreci2"/>
            <w:rPr>
              <w:rFonts w:asciiTheme="minorHAnsi" w:eastAsiaTheme="minorEastAsia" w:hAnsiTheme="minorHAnsi"/>
              <w:noProof/>
              <w:sz w:val="24"/>
              <w:szCs w:val="24"/>
              <w:lang w:eastAsia="pl-PL"/>
            </w:rPr>
          </w:pPr>
          <w:hyperlink w:anchor="_Toc179536928" w:history="1">
            <w:r w:rsidR="00DD3929" w:rsidRPr="009D3A92">
              <w:rPr>
                <w:rStyle w:val="Hipercze"/>
                <w:noProof/>
              </w:rPr>
              <w:t>B)</w:t>
            </w:r>
            <w:r w:rsidR="00DD3929">
              <w:rPr>
                <w:rFonts w:asciiTheme="minorHAnsi" w:eastAsiaTheme="minorEastAsia" w:hAnsiTheme="minorHAnsi"/>
                <w:noProof/>
                <w:sz w:val="24"/>
                <w:szCs w:val="24"/>
                <w:lang w:eastAsia="pl-PL"/>
              </w:rPr>
              <w:tab/>
            </w:r>
            <w:r w:rsidR="00DD3929" w:rsidRPr="009D3A92">
              <w:rPr>
                <w:rStyle w:val="Hipercze"/>
                <w:noProof/>
              </w:rPr>
              <w:t>Jak zbudowany jest KPEiK</w:t>
            </w:r>
            <w:r w:rsidR="00DD3929">
              <w:rPr>
                <w:noProof/>
                <w:webHidden/>
              </w:rPr>
              <w:tab/>
            </w:r>
            <w:r w:rsidR="00DD3929">
              <w:rPr>
                <w:noProof/>
                <w:webHidden/>
              </w:rPr>
              <w:fldChar w:fldCharType="begin"/>
            </w:r>
            <w:r w:rsidR="00DD3929">
              <w:rPr>
                <w:noProof/>
                <w:webHidden/>
              </w:rPr>
              <w:instrText xml:space="preserve"> PAGEREF _Toc179536928 \h </w:instrText>
            </w:r>
            <w:r w:rsidR="00DD3929">
              <w:rPr>
                <w:noProof/>
                <w:webHidden/>
              </w:rPr>
            </w:r>
            <w:r w:rsidR="00DD3929">
              <w:rPr>
                <w:noProof/>
                <w:webHidden/>
              </w:rPr>
              <w:fldChar w:fldCharType="separate"/>
            </w:r>
            <w:r w:rsidR="00103318">
              <w:rPr>
                <w:noProof/>
                <w:webHidden/>
              </w:rPr>
              <w:t>7</w:t>
            </w:r>
            <w:r w:rsidR="00DD3929">
              <w:rPr>
                <w:noProof/>
                <w:webHidden/>
              </w:rPr>
              <w:fldChar w:fldCharType="end"/>
            </w:r>
          </w:hyperlink>
        </w:p>
        <w:p w14:paraId="405121B7" w14:textId="5A868E16" w:rsidR="00DD3929" w:rsidRDefault="00000000">
          <w:pPr>
            <w:pStyle w:val="Spistreci2"/>
            <w:rPr>
              <w:rFonts w:asciiTheme="minorHAnsi" w:eastAsiaTheme="minorEastAsia" w:hAnsiTheme="minorHAnsi"/>
              <w:noProof/>
              <w:sz w:val="24"/>
              <w:szCs w:val="24"/>
              <w:lang w:eastAsia="pl-PL"/>
            </w:rPr>
          </w:pPr>
          <w:hyperlink w:anchor="_Toc179536929" w:history="1">
            <w:r w:rsidR="00DD3929" w:rsidRPr="009D3A92">
              <w:rPr>
                <w:rStyle w:val="Hipercze"/>
                <w:noProof/>
              </w:rPr>
              <w:t>C)</w:t>
            </w:r>
            <w:r w:rsidR="00DD3929">
              <w:rPr>
                <w:rFonts w:asciiTheme="minorHAnsi" w:eastAsiaTheme="minorEastAsia" w:hAnsiTheme="minorHAnsi"/>
                <w:noProof/>
                <w:sz w:val="24"/>
                <w:szCs w:val="24"/>
                <w:lang w:eastAsia="pl-PL"/>
              </w:rPr>
              <w:tab/>
            </w:r>
            <w:r w:rsidR="00DD3929" w:rsidRPr="009D3A92">
              <w:rPr>
                <w:rStyle w:val="Hipercze"/>
                <w:noProof/>
              </w:rPr>
              <w:t>Scenariusz WEM i WAM</w:t>
            </w:r>
            <w:r w:rsidR="00DD3929">
              <w:rPr>
                <w:noProof/>
                <w:webHidden/>
              </w:rPr>
              <w:tab/>
            </w:r>
            <w:r w:rsidR="00DD3929">
              <w:rPr>
                <w:noProof/>
                <w:webHidden/>
              </w:rPr>
              <w:fldChar w:fldCharType="begin"/>
            </w:r>
            <w:r w:rsidR="00DD3929">
              <w:rPr>
                <w:noProof/>
                <w:webHidden/>
              </w:rPr>
              <w:instrText xml:space="preserve"> PAGEREF _Toc179536929 \h </w:instrText>
            </w:r>
            <w:r w:rsidR="00DD3929">
              <w:rPr>
                <w:noProof/>
                <w:webHidden/>
              </w:rPr>
            </w:r>
            <w:r w:rsidR="00DD3929">
              <w:rPr>
                <w:noProof/>
                <w:webHidden/>
              </w:rPr>
              <w:fldChar w:fldCharType="separate"/>
            </w:r>
            <w:r w:rsidR="00103318">
              <w:rPr>
                <w:noProof/>
                <w:webHidden/>
              </w:rPr>
              <w:t>10</w:t>
            </w:r>
            <w:r w:rsidR="00DD3929">
              <w:rPr>
                <w:noProof/>
                <w:webHidden/>
              </w:rPr>
              <w:fldChar w:fldCharType="end"/>
            </w:r>
          </w:hyperlink>
        </w:p>
        <w:p w14:paraId="03873AC8" w14:textId="1375F863" w:rsidR="00DD3929" w:rsidRDefault="00000000">
          <w:pPr>
            <w:pStyle w:val="Spistreci1"/>
            <w:rPr>
              <w:rFonts w:asciiTheme="minorHAnsi" w:eastAsiaTheme="minorEastAsia" w:hAnsiTheme="minorHAnsi"/>
              <w:noProof/>
              <w:sz w:val="24"/>
              <w:szCs w:val="24"/>
              <w:lang w:eastAsia="pl-PL"/>
            </w:rPr>
          </w:pPr>
          <w:hyperlink w:anchor="_Toc179536930" w:history="1">
            <w:r w:rsidR="00DD3929" w:rsidRPr="009D3A92">
              <w:rPr>
                <w:rStyle w:val="Hipercze"/>
                <w:rFonts w:ascii="Lato" w:hAnsi="Lato"/>
                <w:noProof/>
              </w:rPr>
              <w:t>II.</w:t>
            </w:r>
            <w:r w:rsidR="00DD3929">
              <w:rPr>
                <w:rFonts w:asciiTheme="minorHAnsi" w:eastAsiaTheme="minorEastAsia" w:hAnsiTheme="minorHAnsi"/>
                <w:noProof/>
                <w:sz w:val="24"/>
                <w:szCs w:val="24"/>
                <w:lang w:eastAsia="pl-PL"/>
              </w:rPr>
              <w:tab/>
            </w:r>
            <w:r w:rsidR="00DD3929" w:rsidRPr="009D3A92">
              <w:rPr>
                <w:rStyle w:val="Hipercze"/>
                <w:noProof/>
              </w:rPr>
              <w:t>ZAŁOŻENIA I CELE ORAZ POLITYKI OBSZAROWE</w:t>
            </w:r>
            <w:r w:rsidR="00DD3929">
              <w:rPr>
                <w:noProof/>
                <w:webHidden/>
              </w:rPr>
              <w:tab/>
            </w:r>
            <w:r w:rsidR="00DD3929">
              <w:rPr>
                <w:noProof/>
                <w:webHidden/>
              </w:rPr>
              <w:fldChar w:fldCharType="begin"/>
            </w:r>
            <w:r w:rsidR="00DD3929">
              <w:rPr>
                <w:noProof/>
                <w:webHidden/>
              </w:rPr>
              <w:instrText xml:space="preserve"> PAGEREF _Toc179536930 \h </w:instrText>
            </w:r>
            <w:r w:rsidR="00DD3929">
              <w:rPr>
                <w:noProof/>
                <w:webHidden/>
              </w:rPr>
            </w:r>
            <w:r w:rsidR="00DD3929">
              <w:rPr>
                <w:noProof/>
                <w:webHidden/>
              </w:rPr>
              <w:fldChar w:fldCharType="separate"/>
            </w:r>
            <w:r w:rsidR="00103318">
              <w:rPr>
                <w:noProof/>
                <w:webHidden/>
              </w:rPr>
              <w:t>11</w:t>
            </w:r>
            <w:r w:rsidR="00DD3929">
              <w:rPr>
                <w:noProof/>
                <w:webHidden/>
              </w:rPr>
              <w:fldChar w:fldCharType="end"/>
            </w:r>
          </w:hyperlink>
        </w:p>
        <w:p w14:paraId="75E6C133" w14:textId="6F0C5D17" w:rsidR="00DD3929" w:rsidRDefault="00000000">
          <w:pPr>
            <w:pStyle w:val="Spistreci2"/>
            <w:rPr>
              <w:rFonts w:asciiTheme="minorHAnsi" w:eastAsiaTheme="minorEastAsia" w:hAnsiTheme="minorHAnsi"/>
              <w:noProof/>
              <w:sz w:val="24"/>
              <w:szCs w:val="24"/>
              <w:lang w:eastAsia="pl-PL"/>
            </w:rPr>
          </w:pPr>
          <w:hyperlink w:anchor="_Toc179536931" w:history="1">
            <w:r w:rsidR="00DD3929" w:rsidRPr="009D3A92">
              <w:rPr>
                <w:rStyle w:val="Hipercze"/>
                <w:noProof/>
              </w:rPr>
              <w:t>1. Obniżenie emisyjności</w:t>
            </w:r>
            <w:r w:rsidR="00DD3929">
              <w:rPr>
                <w:noProof/>
                <w:webHidden/>
              </w:rPr>
              <w:tab/>
            </w:r>
            <w:r w:rsidR="00DD3929">
              <w:rPr>
                <w:noProof/>
                <w:webHidden/>
              </w:rPr>
              <w:fldChar w:fldCharType="begin"/>
            </w:r>
            <w:r w:rsidR="00DD3929">
              <w:rPr>
                <w:noProof/>
                <w:webHidden/>
              </w:rPr>
              <w:instrText xml:space="preserve"> PAGEREF _Toc179536931 \h </w:instrText>
            </w:r>
            <w:r w:rsidR="00DD3929">
              <w:rPr>
                <w:noProof/>
                <w:webHidden/>
              </w:rPr>
            </w:r>
            <w:r w:rsidR="00DD3929">
              <w:rPr>
                <w:noProof/>
                <w:webHidden/>
              </w:rPr>
              <w:fldChar w:fldCharType="separate"/>
            </w:r>
            <w:r w:rsidR="00103318">
              <w:rPr>
                <w:noProof/>
                <w:webHidden/>
              </w:rPr>
              <w:t>12</w:t>
            </w:r>
            <w:r w:rsidR="00DD3929">
              <w:rPr>
                <w:noProof/>
                <w:webHidden/>
              </w:rPr>
              <w:fldChar w:fldCharType="end"/>
            </w:r>
          </w:hyperlink>
        </w:p>
        <w:p w14:paraId="308ECAB9" w14:textId="79043345" w:rsidR="00DD3929" w:rsidRDefault="00000000">
          <w:pPr>
            <w:pStyle w:val="Spistreci3"/>
            <w:rPr>
              <w:rFonts w:asciiTheme="minorHAnsi" w:eastAsiaTheme="minorEastAsia" w:hAnsiTheme="minorHAnsi"/>
              <w:noProof/>
              <w:sz w:val="24"/>
              <w:szCs w:val="24"/>
              <w:lang w:eastAsia="pl-PL"/>
            </w:rPr>
          </w:pPr>
          <w:hyperlink w:anchor="_Toc179536932" w:history="1">
            <w:r w:rsidR="00DD3929" w:rsidRPr="009D3A92">
              <w:rPr>
                <w:rStyle w:val="Hipercze"/>
                <w:noProof/>
              </w:rPr>
              <w:t>Obszar 1.1.</w:t>
            </w:r>
            <w:r w:rsidR="00DD3929">
              <w:rPr>
                <w:rFonts w:asciiTheme="minorHAnsi" w:eastAsiaTheme="minorEastAsia" w:hAnsiTheme="minorHAnsi"/>
                <w:noProof/>
                <w:sz w:val="24"/>
                <w:szCs w:val="24"/>
                <w:lang w:eastAsia="pl-PL"/>
              </w:rPr>
              <w:tab/>
            </w:r>
            <w:r w:rsidR="00DD3929" w:rsidRPr="009D3A92">
              <w:rPr>
                <w:rStyle w:val="Hipercze"/>
                <w:noProof/>
              </w:rPr>
              <w:t>Redukcja emisji gazów cieplarnianych i wzrost wykorzystania odnawialnych źródeł energii (cele ogólne)</w:t>
            </w:r>
            <w:r w:rsidR="00DD3929">
              <w:rPr>
                <w:noProof/>
                <w:webHidden/>
              </w:rPr>
              <w:tab/>
            </w:r>
            <w:r w:rsidR="00DD3929">
              <w:rPr>
                <w:noProof/>
                <w:webHidden/>
              </w:rPr>
              <w:fldChar w:fldCharType="begin"/>
            </w:r>
            <w:r w:rsidR="00DD3929">
              <w:rPr>
                <w:noProof/>
                <w:webHidden/>
              </w:rPr>
              <w:instrText xml:space="preserve"> PAGEREF _Toc179536932 \h </w:instrText>
            </w:r>
            <w:r w:rsidR="00DD3929">
              <w:rPr>
                <w:noProof/>
                <w:webHidden/>
              </w:rPr>
            </w:r>
            <w:r w:rsidR="00DD3929">
              <w:rPr>
                <w:noProof/>
                <w:webHidden/>
              </w:rPr>
              <w:fldChar w:fldCharType="separate"/>
            </w:r>
            <w:r w:rsidR="00103318">
              <w:rPr>
                <w:noProof/>
                <w:webHidden/>
              </w:rPr>
              <w:t>13</w:t>
            </w:r>
            <w:r w:rsidR="00DD3929">
              <w:rPr>
                <w:noProof/>
                <w:webHidden/>
              </w:rPr>
              <w:fldChar w:fldCharType="end"/>
            </w:r>
          </w:hyperlink>
        </w:p>
        <w:p w14:paraId="7103E529" w14:textId="60BB8200" w:rsidR="00DD3929" w:rsidRDefault="00000000">
          <w:pPr>
            <w:pStyle w:val="Spistreci4"/>
            <w:rPr>
              <w:rFonts w:asciiTheme="minorHAnsi" w:eastAsiaTheme="minorEastAsia" w:hAnsiTheme="minorHAnsi"/>
              <w:noProof/>
              <w:sz w:val="24"/>
              <w:szCs w:val="24"/>
              <w:lang w:eastAsia="pl-PL"/>
            </w:rPr>
          </w:pPr>
          <w:hyperlink w:anchor="_Toc179536933" w:history="1">
            <w:r w:rsidR="00DD3929" w:rsidRPr="009D3A92">
              <w:rPr>
                <w:rStyle w:val="Hipercze"/>
                <w:noProof/>
              </w:rPr>
              <w:t>Cel. 1.1.1.</w:t>
            </w:r>
            <w:r w:rsidR="00DD3929">
              <w:rPr>
                <w:rFonts w:asciiTheme="minorHAnsi" w:eastAsiaTheme="minorEastAsia" w:hAnsiTheme="minorHAnsi"/>
                <w:noProof/>
                <w:sz w:val="24"/>
                <w:szCs w:val="24"/>
                <w:lang w:eastAsia="pl-PL"/>
              </w:rPr>
              <w:tab/>
            </w:r>
            <w:r w:rsidR="00DD3929" w:rsidRPr="009D3A92">
              <w:rPr>
                <w:rStyle w:val="Hipercze"/>
                <w:noProof/>
              </w:rPr>
              <w:t>Ograniczanie emisji gazów cieplarnianych z gospodarki (cel ogólny)</w:t>
            </w:r>
            <w:r w:rsidR="00DD3929">
              <w:rPr>
                <w:noProof/>
                <w:webHidden/>
              </w:rPr>
              <w:tab/>
            </w:r>
            <w:r w:rsidR="00DD3929">
              <w:rPr>
                <w:noProof/>
                <w:webHidden/>
              </w:rPr>
              <w:fldChar w:fldCharType="begin"/>
            </w:r>
            <w:r w:rsidR="00DD3929">
              <w:rPr>
                <w:noProof/>
                <w:webHidden/>
              </w:rPr>
              <w:instrText xml:space="preserve"> PAGEREF _Toc179536933 \h </w:instrText>
            </w:r>
            <w:r w:rsidR="00DD3929">
              <w:rPr>
                <w:noProof/>
                <w:webHidden/>
              </w:rPr>
            </w:r>
            <w:r w:rsidR="00DD3929">
              <w:rPr>
                <w:noProof/>
                <w:webHidden/>
              </w:rPr>
              <w:fldChar w:fldCharType="separate"/>
            </w:r>
            <w:r w:rsidR="00103318">
              <w:rPr>
                <w:noProof/>
                <w:webHidden/>
              </w:rPr>
              <w:t>14</w:t>
            </w:r>
            <w:r w:rsidR="00DD3929">
              <w:rPr>
                <w:noProof/>
                <w:webHidden/>
              </w:rPr>
              <w:fldChar w:fldCharType="end"/>
            </w:r>
          </w:hyperlink>
        </w:p>
        <w:p w14:paraId="3D7B3A73" w14:textId="3B7A4F80" w:rsidR="00DD3929" w:rsidRDefault="00000000">
          <w:pPr>
            <w:pStyle w:val="Spistreci4"/>
            <w:rPr>
              <w:rFonts w:asciiTheme="minorHAnsi" w:eastAsiaTheme="minorEastAsia" w:hAnsiTheme="minorHAnsi"/>
              <w:noProof/>
              <w:sz w:val="24"/>
              <w:szCs w:val="24"/>
              <w:lang w:eastAsia="pl-PL"/>
            </w:rPr>
          </w:pPr>
          <w:hyperlink w:anchor="_Toc179536934" w:history="1">
            <w:r w:rsidR="00DD3929" w:rsidRPr="009D3A92">
              <w:rPr>
                <w:rStyle w:val="Hipercze"/>
                <w:noProof/>
              </w:rPr>
              <w:t>Cel. 1.1.2.</w:t>
            </w:r>
            <w:r w:rsidR="00DD3929">
              <w:rPr>
                <w:rFonts w:asciiTheme="minorHAnsi" w:eastAsiaTheme="minorEastAsia" w:hAnsiTheme="minorHAnsi"/>
                <w:noProof/>
                <w:sz w:val="24"/>
                <w:szCs w:val="24"/>
                <w:lang w:eastAsia="pl-PL"/>
              </w:rPr>
              <w:tab/>
            </w:r>
            <w:r w:rsidR="00DD3929" w:rsidRPr="009D3A92">
              <w:rPr>
                <w:rStyle w:val="Hipercze"/>
                <w:noProof/>
              </w:rPr>
              <w:t>Ograniczanie emisji gazów cieplarnianych w sektorach non-ETS (ESR) i szacowana redukcja w sektorach ETS</w:t>
            </w:r>
            <w:r w:rsidR="00DD3929">
              <w:rPr>
                <w:noProof/>
                <w:webHidden/>
              </w:rPr>
              <w:tab/>
            </w:r>
            <w:r w:rsidR="00DD3929">
              <w:rPr>
                <w:noProof/>
                <w:webHidden/>
              </w:rPr>
              <w:fldChar w:fldCharType="begin"/>
            </w:r>
            <w:r w:rsidR="00DD3929">
              <w:rPr>
                <w:noProof/>
                <w:webHidden/>
              </w:rPr>
              <w:instrText xml:space="preserve"> PAGEREF _Toc179536934 \h </w:instrText>
            </w:r>
            <w:r w:rsidR="00DD3929">
              <w:rPr>
                <w:noProof/>
                <w:webHidden/>
              </w:rPr>
            </w:r>
            <w:r w:rsidR="00DD3929">
              <w:rPr>
                <w:noProof/>
                <w:webHidden/>
              </w:rPr>
              <w:fldChar w:fldCharType="separate"/>
            </w:r>
            <w:r w:rsidR="00103318">
              <w:rPr>
                <w:noProof/>
                <w:webHidden/>
              </w:rPr>
              <w:t>16</w:t>
            </w:r>
            <w:r w:rsidR="00DD3929">
              <w:rPr>
                <w:noProof/>
                <w:webHidden/>
              </w:rPr>
              <w:fldChar w:fldCharType="end"/>
            </w:r>
          </w:hyperlink>
        </w:p>
        <w:p w14:paraId="3B7E1EA0" w14:textId="131FD5D0" w:rsidR="00DD3929" w:rsidRDefault="00000000">
          <w:pPr>
            <w:pStyle w:val="Spistreci4"/>
            <w:rPr>
              <w:rFonts w:asciiTheme="minorHAnsi" w:eastAsiaTheme="minorEastAsia" w:hAnsiTheme="minorHAnsi"/>
              <w:noProof/>
              <w:sz w:val="24"/>
              <w:szCs w:val="24"/>
              <w:lang w:eastAsia="pl-PL"/>
            </w:rPr>
          </w:pPr>
          <w:hyperlink w:anchor="_Toc179536935" w:history="1">
            <w:r w:rsidR="00DD3929" w:rsidRPr="009D3A92">
              <w:rPr>
                <w:rStyle w:val="Hipercze"/>
                <w:noProof/>
              </w:rPr>
              <w:t>Cel. 1.1.3.</w:t>
            </w:r>
            <w:r w:rsidR="00DD3929">
              <w:rPr>
                <w:rFonts w:asciiTheme="minorHAnsi" w:eastAsiaTheme="minorEastAsia" w:hAnsiTheme="minorHAnsi"/>
                <w:noProof/>
                <w:sz w:val="24"/>
                <w:szCs w:val="24"/>
                <w:lang w:eastAsia="pl-PL"/>
              </w:rPr>
              <w:tab/>
            </w:r>
            <w:r w:rsidR="00DD3929" w:rsidRPr="009D3A92">
              <w:rPr>
                <w:rStyle w:val="Hipercze"/>
                <w:noProof/>
              </w:rPr>
              <w:t>Wzrost udziału OZE w finalnym zużyciu energii brutto ogółem (cel ogólny)</w:t>
            </w:r>
            <w:r w:rsidR="00DD3929">
              <w:rPr>
                <w:noProof/>
                <w:webHidden/>
              </w:rPr>
              <w:tab/>
            </w:r>
            <w:r w:rsidR="00DD3929">
              <w:rPr>
                <w:noProof/>
                <w:webHidden/>
              </w:rPr>
              <w:fldChar w:fldCharType="begin"/>
            </w:r>
            <w:r w:rsidR="00DD3929">
              <w:rPr>
                <w:noProof/>
                <w:webHidden/>
              </w:rPr>
              <w:instrText xml:space="preserve"> PAGEREF _Toc179536935 \h </w:instrText>
            </w:r>
            <w:r w:rsidR="00DD3929">
              <w:rPr>
                <w:noProof/>
                <w:webHidden/>
              </w:rPr>
            </w:r>
            <w:r w:rsidR="00DD3929">
              <w:rPr>
                <w:noProof/>
                <w:webHidden/>
              </w:rPr>
              <w:fldChar w:fldCharType="separate"/>
            </w:r>
            <w:r w:rsidR="00103318">
              <w:rPr>
                <w:noProof/>
                <w:webHidden/>
              </w:rPr>
              <w:t>18</w:t>
            </w:r>
            <w:r w:rsidR="00DD3929">
              <w:rPr>
                <w:noProof/>
                <w:webHidden/>
              </w:rPr>
              <w:fldChar w:fldCharType="end"/>
            </w:r>
          </w:hyperlink>
        </w:p>
        <w:p w14:paraId="7069B996" w14:textId="4041C714" w:rsidR="00DD3929" w:rsidRDefault="00000000">
          <w:pPr>
            <w:pStyle w:val="Spistreci3"/>
            <w:rPr>
              <w:rFonts w:asciiTheme="minorHAnsi" w:eastAsiaTheme="minorEastAsia" w:hAnsiTheme="minorHAnsi"/>
              <w:noProof/>
              <w:sz w:val="24"/>
              <w:szCs w:val="24"/>
              <w:lang w:eastAsia="pl-PL"/>
            </w:rPr>
          </w:pPr>
          <w:hyperlink w:anchor="_Toc179536936" w:history="1">
            <w:r w:rsidR="00DD3929" w:rsidRPr="009D3A92">
              <w:rPr>
                <w:rStyle w:val="Hipercze"/>
                <w:noProof/>
              </w:rPr>
              <w:t>Obszar 1.2.</w:t>
            </w:r>
            <w:r w:rsidR="00DD3929">
              <w:rPr>
                <w:rFonts w:asciiTheme="minorHAnsi" w:eastAsiaTheme="minorEastAsia" w:hAnsiTheme="minorHAnsi"/>
                <w:noProof/>
                <w:sz w:val="24"/>
                <w:szCs w:val="24"/>
                <w:lang w:eastAsia="pl-PL"/>
              </w:rPr>
              <w:tab/>
            </w:r>
            <w:r w:rsidR="00DD3929" w:rsidRPr="009D3A92">
              <w:rPr>
                <w:rStyle w:val="Hipercze"/>
                <w:noProof/>
              </w:rPr>
              <w:t>Dekarbonizacja i rozwój OZE według sektorów</w:t>
            </w:r>
            <w:r w:rsidR="00DD3929">
              <w:rPr>
                <w:noProof/>
                <w:webHidden/>
              </w:rPr>
              <w:tab/>
            </w:r>
            <w:r w:rsidR="00DD3929">
              <w:rPr>
                <w:noProof/>
                <w:webHidden/>
              </w:rPr>
              <w:fldChar w:fldCharType="begin"/>
            </w:r>
            <w:r w:rsidR="00DD3929">
              <w:rPr>
                <w:noProof/>
                <w:webHidden/>
              </w:rPr>
              <w:instrText xml:space="preserve"> PAGEREF _Toc179536936 \h </w:instrText>
            </w:r>
            <w:r w:rsidR="00DD3929">
              <w:rPr>
                <w:noProof/>
                <w:webHidden/>
              </w:rPr>
            </w:r>
            <w:r w:rsidR="00DD3929">
              <w:rPr>
                <w:noProof/>
                <w:webHidden/>
              </w:rPr>
              <w:fldChar w:fldCharType="separate"/>
            </w:r>
            <w:r w:rsidR="00103318">
              <w:rPr>
                <w:noProof/>
                <w:webHidden/>
              </w:rPr>
              <w:t>20</w:t>
            </w:r>
            <w:r w:rsidR="00DD3929">
              <w:rPr>
                <w:noProof/>
                <w:webHidden/>
              </w:rPr>
              <w:fldChar w:fldCharType="end"/>
            </w:r>
          </w:hyperlink>
        </w:p>
        <w:p w14:paraId="2301AB0D" w14:textId="519C9924" w:rsidR="00DD3929" w:rsidRDefault="00000000">
          <w:pPr>
            <w:pStyle w:val="Spistreci4"/>
            <w:rPr>
              <w:rFonts w:asciiTheme="minorHAnsi" w:eastAsiaTheme="minorEastAsia" w:hAnsiTheme="minorHAnsi"/>
              <w:noProof/>
              <w:sz w:val="24"/>
              <w:szCs w:val="24"/>
              <w:lang w:eastAsia="pl-PL"/>
            </w:rPr>
          </w:pPr>
          <w:hyperlink w:anchor="_Toc179536937" w:history="1">
            <w:r w:rsidR="00DD3929" w:rsidRPr="009D3A92">
              <w:rPr>
                <w:rStyle w:val="Hipercze"/>
                <w:noProof/>
              </w:rPr>
              <w:t>Cel. 1.2.1.</w:t>
            </w:r>
            <w:r w:rsidR="00DD3929">
              <w:rPr>
                <w:rFonts w:asciiTheme="minorHAnsi" w:eastAsiaTheme="minorEastAsia" w:hAnsiTheme="minorHAnsi"/>
                <w:noProof/>
                <w:sz w:val="24"/>
                <w:szCs w:val="24"/>
                <w:lang w:eastAsia="pl-PL"/>
              </w:rPr>
              <w:tab/>
            </w:r>
            <w:r w:rsidR="00DD3929" w:rsidRPr="009D3A92">
              <w:rPr>
                <w:rStyle w:val="Hipercze"/>
                <w:noProof/>
              </w:rPr>
              <w:t>Redukcja emisji GC w sektorze elektroenergetycznym, w tym rozwój OZE</w:t>
            </w:r>
            <w:r w:rsidR="00DD3929">
              <w:rPr>
                <w:noProof/>
                <w:webHidden/>
              </w:rPr>
              <w:tab/>
            </w:r>
            <w:r w:rsidR="00DD3929">
              <w:rPr>
                <w:noProof/>
                <w:webHidden/>
              </w:rPr>
              <w:fldChar w:fldCharType="begin"/>
            </w:r>
            <w:r w:rsidR="00DD3929">
              <w:rPr>
                <w:noProof/>
                <w:webHidden/>
              </w:rPr>
              <w:instrText xml:space="preserve"> PAGEREF _Toc179536937 \h </w:instrText>
            </w:r>
            <w:r w:rsidR="00DD3929">
              <w:rPr>
                <w:noProof/>
                <w:webHidden/>
              </w:rPr>
            </w:r>
            <w:r w:rsidR="00DD3929">
              <w:rPr>
                <w:noProof/>
                <w:webHidden/>
              </w:rPr>
              <w:fldChar w:fldCharType="separate"/>
            </w:r>
            <w:r w:rsidR="00103318">
              <w:rPr>
                <w:noProof/>
                <w:webHidden/>
              </w:rPr>
              <w:t>21</w:t>
            </w:r>
            <w:r w:rsidR="00DD3929">
              <w:rPr>
                <w:noProof/>
                <w:webHidden/>
              </w:rPr>
              <w:fldChar w:fldCharType="end"/>
            </w:r>
          </w:hyperlink>
        </w:p>
        <w:p w14:paraId="120BD96F" w14:textId="6653B92E" w:rsidR="00DD3929" w:rsidRDefault="00000000">
          <w:pPr>
            <w:pStyle w:val="Spistreci4"/>
            <w:rPr>
              <w:rFonts w:asciiTheme="minorHAnsi" w:eastAsiaTheme="minorEastAsia" w:hAnsiTheme="minorHAnsi"/>
              <w:noProof/>
              <w:sz w:val="24"/>
              <w:szCs w:val="24"/>
              <w:lang w:eastAsia="pl-PL"/>
            </w:rPr>
          </w:pPr>
          <w:hyperlink w:anchor="_Toc179536938" w:history="1">
            <w:r w:rsidR="00DD3929" w:rsidRPr="009D3A92">
              <w:rPr>
                <w:rStyle w:val="Hipercze"/>
                <w:noProof/>
              </w:rPr>
              <w:t>Cel. 1.2.2.</w:t>
            </w:r>
            <w:r w:rsidR="00DD3929">
              <w:rPr>
                <w:rFonts w:asciiTheme="minorHAnsi" w:eastAsiaTheme="minorEastAsia" w:hAnsiTheme="minorHAnsi"/>
                <w:noProof/>
                <w:sz w:val="24"/>
                <w:szCs w:val="24"/>
                <w:lang w:eastAsia="pl-PL"/>
              </w:rPr>
              <w:tab/>
            </w:r>
            <w:r w:rsidR="00DD3929" w:rsidRPr="009D3A92">
              <w:rPr>
                <w:rStyle w:val="Hipercze"/>
                <w:noProof/>
              </w:rPr>
              <w:t>Redukcja emisji GC z ciepłownictwa, w tym rozwój OZE</w:t>
            </w:r>
            <w:r w:rsidR="00DD3929">
              <w:rPr>
                <w:noProof/>
                <w:webHidden/>
              </w:rPr>
              <w:tab/>
            </w:r>
            <w:r w:rsidR="00DD3929">
              <w:rPr>
                <w:noProof/>
                <w:webHidden/>
              </w:rPr>
              <w:fldChar w:fldCharType="begin"/>
            </w:r>
            <w:r w:rsidR="00DD3929">
              <w:rPr>
                <w:noProof/>
                <w:webHidden/>
              </w:rPr>
              <w:instrText xml:space="preserve"> PAGEREF _Toc179536938 \h </w:instrText>
            </w:r>
            <w:r w:rsidR="00DD3929">
              <w:rPr>
                <w:noProof/>
                <w:webHidden/>
              </w:rPr>
            </w:r>
            <w:r w:rsidR="00DD3929">
              <w:rPr>
                <w:noProof/>
                <w:webHidden/>
              </w:rPr>
              <w:fldChar w:fldCharType="separate"/>
            </w:r>
            <w:r w:rsidR="00103318">
              <w:rPr>
                <w:noProof/>
                <w:webHidden/>
              </w:rPr>
              <w:t>25</w:t>
            </w:r>
            <w:r w:rsidR="00DD3929">
              <w:rPr>
                <w:noProof/>
                <w:webHidden/>
              </w:rPr>
              <w:fldChar w:fldCharType="end"/>
            </w:r>
          </w:hyperlink>
        </w:p>
        <w:p w14:paraId="6BA12447" w14:textId="5CB49D51" w:rsidR="00DD3929" w:rsidRDefault="00000000">
          <w:pPr>
            <w:pStyle w:val="Spistreci4"/>
            <w:rPr>
              <w:rFonts w:asciiTheme="minorHAnsi" w:eastAsiaTheme="minorEastAsia" w:hAnsiTheme="minorHAnsi"/>
              <w:noProof/>
              <w:sz w:val="24"/>
              <w:szCs w:val="24"/>
              <w:lang w:eastAsia="pl-PL"/>
            </w:rPr>
          </w:pPr>
          <w:hyperlink w:anchor="_Toc179536939" w:history="1">
            <w:r w:rsidR="00DD3929" w:rsidRPr="009D3A92">
              <w:rPr>
                <w:rStyle w:val="Hipercze"/>
                <w:noProof/>
              </w:rPr>
              <w:t>Cel. 1.2.3.</w:t>
            </w:r>
            <w:r w:rsidR="00DD3929">
              <w:rPr>
                <w:rFonts w:asciiTheme="minorHAnsi" w:eastAsiaTheme="minorEastAsia" w:hAnsiTheme="minorHAnsi"/>
                <w:noProof/>
                <w:sz w:val="24"/>
                <w:szCs w:val="24"/>
                <w:lang w:eastAsia="pl-PL"/>
              </w:rPr>
              <w:tab/>
            </w:r>
            <w:r w:rsidR="00DD3929" w:rsidRPr="009D3A92">
              <w:rPr>
                <w:rStyle w:val="Hipercze"/>
                <w:noProof/>
              </w:rPr>
              <w:t>Redukcja emisji GC z transportu, w tym rozwój OZE i elektromobilności</w:t>
            </w:r>
            <w:r w:rsidR="00DD3929">
              <w:rPr>
                <w:noProof/>
                <w:webHidden/>
              </w:rPr>
              <w:tab/>
            </w:r>
            <w:r w:rsidR="00DD3929">
              <w:rPr>
                <w:noProof/>
                <w:webHidden/>
              </w:rPr>
              <w:fldChar w:fldCharType="begin"/>
            </w:r>
            <w:r w:rsidR="00DD3929">
              <w:rPr>
                <w:noProof/>
                <w:webHidden/>
              </w:rPr>
              <w:instrText xml:space="preserve"> PAGEREF _Toc179536939 \h </w:instrText>
            </w:r>
            <w:r w:rsidR="00DD3929">
              <w:rPr>
                <w:noProof/>
                <w:webHidden/>
              </w:rPr>
            </w:r>
            <w:r w:rsidR="00DD3929">
              <w:rPr>
                <w:noProof/>
                <w:webHidden/>
              </w:rPr>
              <w:fldChar w:fldCharType="separate"/>
            </w:r>
            <w:r w:rsidR="00103318">
              <w:rPr>
                <w:noProof/>
                <w:webHidden/>
              </w:rPr>
              <w:t>29</w:t>
            </w:r>
            <w:r w:rsidR="00DD3929">
              <w:rPr>
                <w:noProof/>
                <w:webHidden/>
              </w:rPr>
              <w:fldChar w:fldCharType="end"/>
            </w:r>
          </w:hyperlink>
        </w:p>
        <w:p w14:paraId="1FF9B766" w14:textId="428219D3" w:rsidR="00DD3929" w:rsidRDefault="00000000">
          <w:pPr>
            <w:pStyle w:val="Spistreci4"/>
            <w:rPr>
              <w:rFonts w:asciiTheme="minorHAnsi" w:eastAsiaTheme="minorEastAsia" w:hAnsiTheme="minorHAnsi"/>
              <w:noProof/>
              <w:sz w:val="24"/>
              <w:szCs w:val="24"/>
              <w:lang w:eastAsia="pl-PL"/>
            </w:rPr>
          </w:pPr>
          <w:hyperlink w:anchor="_Toc179536940" w:history="1">
            <w:r w:rsidR="00DD3929" w:rsidRPr="009D3A92">
              <w:rPr>
                <w:rStyle w:val="Hipercze"/>
                <w:noProof/>
              </w:rPr>
              <w:t>Cel. 1.2.4.</w:t>
            </w:r>
            <w:r w:rsidR="00DD3929">
              <w:rPr>
                <w:rFonts w:asciiTheme="minorHAnsi" w:eastAsiaTheme="minorEastAsia" w:hAnsiTheme="minorHAnsi"/>
                <w:noProof/>
                <w:sz w:val="24"/>
                <w:szCs w:val="24"/>
                <w:lang w:eastAsia="pl-PL"/>
              </w:rPr>
              <w:tab/>
            </w:r>
            <w:r w:rsidR="00DD3929" w:rsidRPr="009D3A92">
              <w:rPr>
                <w:rStyle w:val="Hipercze"/>
                <w:noProof/>
              </w:rPr>
              <w:t>Redukcja emisji GC w przemyśle</w:t>
            </w:r>
            <w:r w:rsidR="00DD3929">
              <w:rPr>
                <w:noProof/>
                <w:webHidden/>
              </w:rPr>
              <w:tab/>
            </w:r>
            <w:r w:rsidR="00DD3929">
              <w:rPr>
                <w:noProof/>
                <w:webHidden/>
              </w:rPr>
              <w:fldChar w:fldCharType="begin"/>
            </w:r>
            <w:r w:rsidR="00DD3929">
              <w:rPr>
                <w:noProof/>
                <w:webHidden/>
              </w:rPr>
              <w:instrText xml:space="preserve"> PAGEREF _Toc179536940 \h </w:instrText>
            </w:r>
            <w:r w:rsidR="00DD3929">
              <w:rPr>
                <w:noProof/>
                <w:webHidden/>
              </w:rPr>
            </w:r>
            <w:r w:rsidR="00DD3929">
              <w:rPr>
                <w:noProof/>
                <w:webHidden/>
              </w:rPr>
              <w:fldChar w:fldCharType="separate"/>
            </w:r>
            <w:r w:rsidR="00103318">
              <w:rPr>
                <w:noProof/>
                <w:webHidden/>
              </w:rPr>
              <w:t>39</w:t>
            </w:r>
            <w:r w:rsidR="00DD3929">
              <w:rPr>
                <w:noProof/>
                <w:webHidden/>
              </w:rPr>
              <w:fldChar w:fldCharType="end"/>
            </w:r>
          </w:hyperlink>
        </w:p>
        <w:p w14:paraId="49FD846B" w14:textId="2E2330D1" w:rsidR="00DD3929" w:rsidRDefault="00000000">
          <w:pPr>
            <w:pStyle w:val="Spistreci4"/>
            <w:rPr>
              <w:rFonts w:asciiTheme="minorHAnsi" w:eastAsiaTheme="minorEastAsia" w:hAnsiTheme="minorHAnsi"/>
              <w:noProof/>
              <w:sz w:val="24"/>
              <w:szCs w:val="24"/>
              <w:lang w:eastAsia="pl-PL"/>
            </w:rPr>
          </w:pPr>
          <w:hyperlink w:anchor="_Toc179536941" w:history="1">
            <w:r w:rsidR="00DD3929" w:rsidRPr="009D3A92">
              <w:rPr>
                <w:rStyle w:val="Hipercze"/>
                <w:noProof/>
              </w:rPr>
              <w:t>Cel. 1.2.5.</w:t>
            </w:r>
            <w:r w:rsidR="00DD3929">
              <w:rPr>
                <w:rFonts w:asciiTheme="minorHAnsi" w:eastAsiaTheme="minorEastAsia" w:hAnsiTheme="minorHAnsi"/>
                <w:noProof/>
                <w:sz w:val="24"/>
                <w:szCs w:val="24"/>
                <w:lang w:eastAsia="pl-PL"/>
              </w:rPr>
              <w:tab/>
            </w:r>
            <w:r w:rsidR="00DD3929" w:rsidRPr="009D3A92">
              <w:rPr>
                <w:rStyle w:val="Hipercze"/>
                <w:noProof/>
              </w:rPr>
              <w:t>Redukcja emisji GC w rolnictwie</w:t>
            </w:r>
            <w:r w:rsidR="00DD3929">
              <w:rPr>
                <w:noProof/>
                <w:webHidden/>
              </w:rPr>
              <w:tab/>
            </w:r>
            <w:r w:rsidR="00DD3929">
              <w:rPr>
                <w:noProof/>
                <w:webHidden/>
              </w:rPr>
              <w:fldChar w:fldCharType="begin"/>
            </w:r>
            <w:r w:rsidR="00DD3929">
              <w:rPr>
                <w:noProof/>
                <w:webHidden/>
              </w:rPr>
              <w:instrText xml:space="preserve"> PAGEREF _Toc179536941 \h </w:instrText>
            </w:r>
            <w:r w:rsidR="00DD3929">
              <w:rPr>
                <w:noProof/>
                <w:webHidden/>
              </w:rPr>
            </w:r>
            <w:r w:rsidR="00DD3929">
              <w:rPr>
                <w:noProof/>
                <w:webHidden/>
              </w:rPr>
              <w:fldChar w:fldCharType="separate"/>
            </w:r>
            <w:r w:rsidR="00103318">
              <w:rPr>
                <w:noProof/>
                <w:webHidden/>
              </w:rPr>
              <w:t>44</w:t>
            </w:r>
            <w:r w:rsidR="00DD3929">
              <w:rPr>
                <w:noProof/>
                <w:webHidden/>
              </w:rPr>
              <w:fldChar w:fldCharType="end"/>
            </w:r>
          </w:hyperlink>
        </w:p>
        <w:p w14:paraId="1DCDD7D6" w14:textId="409763F1" w:rsidR="00DD3929" w:rsidRDefault="00000000">
          <w:pPr>
            <w:pStyle w:val="Spistreci3"/>
            <w:rPr>
              <w:rFonts w:asciiTheme="minorHAnsi" w:eastAsiaTheme="minorEastAsia" w:hAnsiTheme="minorHAnsi"/>
              <w:noProof/>
              <w:sz w:val="24"/>
              <w:szCs w:val="24"/>
              <w:lang w:eastAsia="pl-PL"/>
            </w:rPr>
          </w:pPr>
          <w:hyperlink w:anchor="_Toc179536942" w:history="1">
            <w:r w:rsidR="00DD3929" w:rsidRPr="009D3A92">
              <w:rPr>
                <w:rStyle w:val="Hipercze"/>
                <w:noProof/>
              </w:rPr>
              <w:t>Obszar 1.3.</w:t>
            </w:r>
            <w:r w:rsidR="00DD3929">
              <w:rPr>
                <w:rFonts w:asciiTheme="minorHAnsi" w:eastAsiaTheme="minorEastAsia" w:hAnsiTheme="minorHAnsi"/>
                <w:noProof/>
                <w:sz w:val="24"/>
                <w:szCs w:val="24"/>
                <w:lang w:eastAsia="pl-PL"/>
              </w:rPr>
              <w:tab/>
            </w:r>
            <w:r w:rsidR="00DD3929" w:rsidRPr="009D3A92">
              <w:rPr>
                <w:rStyle w:val="Hipercze"/>
                <w:noProof/>
              </w:rPr>
              <w:t>Udział sektora LULUCF w wypełnianiu celów redukcyjnych</w:t>
            </w:r>
            <w:r w:rsidR="00DD3929">
              <w:rPr>
                <w:noProof/>
                <w:webHidden/>
              </w:rPr>
              <w:tab/>
            </w:r>
            <w:r w:rsidR="00DD3929">
              <w:rPr>
                <w:noProof/>
                <w:webHidden/>
              </w:rPr>
              <w:fldChar w:fldCharType="begin"/>
            </w:r>
            <w:r w:rsidR="00DD3929">
              <w:rPr>
                <w:noProof/>
                <w:webHidden/>
              </w:rPr>
              <w:instrText xml:space="preserve"> PAGEREF _Toc179536942 \h </w:instrText>
            </w:r>
            <w:r w:rsidR="00DD3929">
              <w:rPr>
                <w:noProof/>
                <w:webHidden/>
              </w:rPr>
            </w:r>
            <w:r w:rsidR="00DD3929">
              <w:rPr>
                <w:noProof/>
                <w:webHidden/>
              </w:rPr>
              <w:fldChar w:fldCharType="separate"/>
            </w:r>
            <w:r w:rsidR="00103318">
              <w:rPr>
                <w:noProof/>
                <w:webHidden/>
              </w:rPr>
              <w:t>46</w:t>
            </w:r>
            <w:r w:rsidR="00DD3929">
              <w:rPr>
                <w:noProof/>
                <w:webHidden/>
              </w:rPr>
              <w:fldChar w:fldCharType="end"/>
            </w:r>
          </w:hyperlink>
        </w:p>
        <w:p w14:paraId="7CDDF3D9" w14:textId="61BF8ED5" w:rsidR="00DD3929" w:rsidRDefault="00000000">
          <w:pPr>
            <w:pStyle w:val="Spistreci4"/>
            <w:rPr>
              <w:rFonts w:asciiTheme="minorHAnsi" w:eastAsiaTheme="minorEastAsia" w:hAnsiTheme="minorHAnsi"/>
              <w:noProof/>
              <w:sz w:val="24"/>
              <w:szCs w:val="24"/>
              <w:lang w:eastAsia="pl-PL"/>
            </w:rPr>
          </w:pPr>
          <w:hyperlink w:anchor="_Toc179536943" w:history="1">
            <w:r w:rsidR="00DD3929" w:rsidRPr="009D3A92">
              <w:rPr>
                <w:rStyle w:val="Hipercze"/>
                <w:noProof/>
              </w:rPr>
              <w:t>Cel. 1.3.1.</w:t>
            </w:r>
            <w:r w:rsidR="00DD3929">
              <w:rPr>
                <w:rFonts w:asciiTheme="minorHAnsi" w:eastAsiaTheme="minorEastAsia" w:hAnsiTheme="minorHAnsi"/>
                <w:noProof/>
                <w:sz w:val="24"/>
                <w:szCs w:val="24"/>
                <w:lang w:eastAsia="pl-PL"/>
              </w:rPr>
              <w:tab/>
            </w:r>
            <w:r w:rsidR="00DD3929" w:rsidRPr="009D3A92">
              <w:rPr>
                <w:rStyle w:val="Hipercze"/>
                <w:noProof/>
              </w:rPr>
              <w:t>Dążenie do zwiększenia pochłaniania gazów cieplarnianych przez sektor LULUCF</w:t>
            </w:r>
            <w:r w:rsidR="00DD3929">
              <w:rPr>
                <w:noProof/>
                <w:webHidden/>
              </w:rPr>
              <w:tab/>
            </w:r>
            <w:r w:rsidR="00DD3929">
              <w:rPr>
                <w:noProof/>
                <w:webHidden/>
              </w:rPr>
              <w:fldChar w:fldCharType="begin"/>
            </w:r>
            <w:r w:rsidR="00DD3929">
              <w:rPr>
                <w:noProof/>
                <w:webHidden/>
              </w:rPr>
              <w:instrText xml:space="preserve"> PAGEREF _Toc179536943 \h </w:instrText>
            </w:r>
            <w:r w:rsidR="00DD3929">
              <w:rPr>
                <w:noProof/>
                <w:webHidden/>
              </w:rPr>
            </w:r>
            <w:r w:rsidR="00DD3929">
              <w:rPr>
                <w:noProof/>
                <w:webHidden/>
              </w:rPr>
              <w:fldChar w:fldCharType="separate"/>
            </w:r>
            <w:r w:rsidR="00103318">
              <w:rPr>
                <w:noProof/>
                <w:webHidden/>
              </w:rPr>
              <w:t>47</w:t>
            </w:r>
            <w:r w:rsidR="00DD3929">
              <w:rPr>
                <w:noProof/>
                <w:webHidden/>
              </w:rPr>
              <w:fldChar w:fldCharType="end"/>
            </w:r>
          </w:hyperlink>
        </w:p>
        <w:p w14:paraId="69E0B421" w14:textId="711DF799" w:rsidR="00DD3929" w:rsidRDefault="00000000">
          <w:pPr>
            <w:pStyle w:val="Spistreci3"/>
            <w:rPr>
              <w:rFonts w:asciiTheme="minorHAnsi" w:eastAsiaTheme="minorEastAsia" w:hAnsiTheme="minorHAnsi"/>
              <w:noProof/>
              <w:sz w:val="24"/>
              <w:szCs w:val="24"/>
              <w:lang w:eastAsia="pl-PL"/>
            </w:rPr>
          </w:pPr>
          <w:hyperlink w:anchor="_Toc179536944" w:history="1">
            <w:r w:rsidR="00DD3929" w:rsidRPr="009D3A92">
              <w:rPr>
                <w:rStyle w:val="Hipercze"/>
                <w:noProof/>
              </w:rPr>
              <w:t>Obszar 1.4.</w:t>
            </w:r>
            <w:r w:rsidR="00DD3929">
              <w:rPr>
                <w:rFonts w:asciiTheme="minorHAnsi" w:eastAsiaTheme="minorEastAsia" w:hAnsiTheme="minorHAnsi"/>
                <w:noProof/>
                <w:sz w:val="24"/>
                <w:szCs w:val="24"/>
                <w:lang w:eastAsia="pl-PL"/>
              </w:rPr>
              <w:tab/>
            </w:r>
            <w:r w:rsidR="00DD3929" w:rsidRPr="009D3A92">
              <w:rPr>
                <w:rStyle w:val="Hipercze"/>
                <w:noProof/>
              </w:rPr>
              <w:t>Poprawa jakości środowiska, w tym powietrza</w:t>
            </w:r>
            <w:r w:rsidR="00DD3929">
              <w:rPr>
                <w:noProof/>
                <w:webHidden/>
              </w:rPr>
              <w:tab/>
            </w:r>
            <w:r w:rsidR="00DD3929">
              <w:rPr>
                <w:noProof/>
                <w:webHidden/>
              </w:rPr>
              <w:fldChar w:fldCharType="begin"/>
            </w:r>
            <w:r w:rsidR="00DD3929">
              <w:rPr>
                <w:noProof/>
                <w:webHidden/>
              </w:rPr>
              <w:instrText xml:space="preserve"> PAGEREF _Toc179536944 \h </w:instrText>
            </w:r>
            <w:r w:rsidR="00DD3929">
              <w:rPr>
                <w:noProof/>
                <w:webHidden/>
              </w:rPr>
            </w:r>
            <w:r w:rsidR="00DD3929">
              <w:rPr>
                <w:noProof/>
                <w:webHidden/>
              </w:rPr>
              <w:fldChar w:fldCharType="separate"/>
            </w:r>
            <w:r w:rsidR="00103318">
              <w:rPr>
                <w:noProof/>
                <w:webHidden/>
              </w:rPr>
              <w:t>50</w:t>
            </w:r>
            <w:r w:rsidR="00DD3929">
              <w:rPr>
                <w:noProof/>
                <w:webHidden/>
              </w:rPr>
              <w:fldChar w:fldCharType="end"/>
            </w:r>
          </w:hyperlink>
        </w:p>
        <w:p w14:paraId="6C6B5032" w14:textId="6EB44734" w:rsidR="00DD3929" w:rsidRDefault="00000000">
          <w:pPr>
            <w:pStyle w:val="Spistreci4"/>
            <w:rPr>
              <w:rFonts w:asciiTheme="minorHAnsi" w:eastAsiaTheme="minorEastAsia" w:hAnsiTheme="minorHAnsi"/>
              <w:noProof/>
              <w:sz w:val="24"/>
              <w:szCs w:val="24"/>
              <w:lang w:eastAsia="pl-PL"/>
            </w:rPr>
          </w:pPr>
          <w:hyperlink w:anchor="_Toc179536945" w:history="1">
            <w:r w:rsidR="00DD3929" w:rsidRPr="009D3A92">
              <w:rPr>
                <w:rStyle w:val="Hipercze"/>
                <w:noProof/>
              </w:rPr>
              <w:t>Cel. 1.4.1.</w:t>
            </w:r>
            <w:r w:rsidR="00DD3929">
              <w:rPr>
                <w:rFonts w:asciiTheme="minorHAnsi" w:eastAsiaTheme="minorEastAsia" w:hAnsiTheme="minorHAnsi"/>
                <w:noProof/>
                <w:sz w:val="24"/>
                <w:szCs w:val="24"/>
                <w:lang w:eastAsia="pl-PL"/>
              </w:rPr>
              <w:tab/>
            </w:r>
            <w:r w:rsidR="00DD3929" w:rsidRPr="009D3A92">
              <w:rPr>
                <w:rStyle w:val="Hipercze"/>
                <w:noProof/>
              </w:rPr>
              <w:t>Cel w zakresie jakości powietrza</w:t>
            </w:r>
            <w:r w:rsidR="00DD3929">
              <w:rPr>
                <w:noProof/>
                <w:webHidden/>
              </w:rPr>
              <w:tab/>
            </w:r>
            <w:r w:rsidR="00DD3929">
              <w:rPr>
                <w:noProof/>
                <w:webHidden/>
              </w:rPr>
              <w:fldChar w:fldCharType="begin"/>
            </w:r>
            <w:r w:rsidR="00DD3929">
              <w:rPr>
                <w:noProof/>
                <w:webHidden/>
              </w:rPr>
              <w:instrText xml:space="preserve"> PAGEREF _Toc179536945 \h </w:instrText>
            </w:r>
            <w:r w:rsidR="00DD3929">
              <w:rPr>
                <w:noProof/>
                <w:webHidden/>
              </w:rPr>
            </w:r>
            <w:r w:rsidR="00DD3929">
              <w:rPr>
                <w:noProof/>
                <w:webHidden/>
              </w:rPr>
              <w:fldChar w:fldCharType="separate"/>
            </w:r>
            <w:r w:rsidR="00103318">
              <w:rPr>
                <w:noProof/>
                <w:webHidden/>
              </w:rPr>
              <w:t>51</w:t>
            </w:r>
            <w:r w:rsidR="00DD3929">
              <w:rPr>
                <w:noProof/>
                <w:webHidden/>
              </w:rPr>
              <w:fldChar w:fldCharType="end"/>
            </w:r>
          </w:hyperlink>
        </w:p>
        <w:p w14:paraId="6BF071D1" w14:textId="67D575E9" w:rsidR="00DD3929" w:rsidRDefault="00000000">
          <w:pPr>
            <w:pStyle w:val="Spistreci4"/>
            <w:rPr>
              <w:rFonts w:asciiTheme="minorHAnsi" w:eastAsiaTheme="minorEastAsia" w:hAnsiTheme="minorHAnsi"/>
              <w:noProof/>
              <w:sz w:val="24"/>
              <w:szCs w:val="24"/>
              <w:lang w:eastAsia="pl-PL"/>
            </w:rPr>
          </w:pPr>
          <w:hyperlink w:anchor="_Toc179536946" w:history="1">
            <w:r w:rsidR="00DD3929" w:rsidRPr="009D3A92">
              <w:rPr>
                <w:rStyle w:val="Hipercze"/>
                <w:noProof/>
              </w:rPr>
              <w:t>Cel. 1.4.2.</w:t>
            </w:r>
            <w:r w:rsidR="00DD3929">
              <w:rPr>
                <w:rFonts w:asciiTheme="minorHAnsi" w:eastAsiaTheme="minorEastAsia" w:hAnsiTheme="minorHAnsi"/>
                <w:noProof/>
                <w:sz w:val="24"/>
                <w:szCs w:val="24"/>
                <w:lang w:eastAsia="pl-PL"/>
              </w:rPr>
              <w:tab/>
            </w:r>
            <w:r w:rsidR="00DD3929" w:rsidRPr="009D3A92">
              <w:rPr>
                <w:rStyle w:val="Hipercze"/>
                <w:noProof/>
              </w:rPr>
              <w:t>Cel w zakresie stanu wód</w:t>
            </w:r>
            <w:r w:rsidR="00DD3929">
              <w:rPr>
                <w:noProof/>
                <w:webHidden/>
              </w:rPr>
              <w:tab/>
            </w:r>
            <w:r w:rsidR="00DD3929">
              <w:rPr>
                <w:noProof/>
                <w:webHidden/>
              </w:rPr>
              <w:fldChar w:fldCharType="begin"/>
            </w:r>
            <w:r w:rsidR="00DD3929">
              <w:rPr>
                <w:noProof/>
                <w:webHidden/>
              </w:rPr>
              <w:instrText xml:space="preserve"> PAGEREF _Toc179536946 \h </w:instrText>
            </w:r>
            <w:r w:rsidR="00DD3929">
              <w:rPr>
                <w:noProof/>
                <w:webHidden/>
              </w:rPr>
            </w:r>
            <w:r w:rsidR="00DD3929">
              <w:rPr>
                <w:noProof/>
                <w:webHidden/>
              </w:rPr>
              <w:fldChar w:fldCharType="separate"/>
            </w:r>
            <w:r w:rsidR="00103318">
              <w:rPr>
                <w:noProof/>
                <w:webHidden/>
              </w:rPr>
              <w:t>53</w:t>
            </w:r>
            <w:r w:rsidR="00DD3929">
              <w:rPr>
                <w:noProof/>
                <w:webHidden/>
              </w:rPr>
              <w:fldChar w:fldCharType="end"/>
            </w:r>
          </w:hyperlink>
        </w:p>
        <w:p w14:paraId="024B4F3F" w14:textId="1110EC3D" w:rsidR="00DD3929" w:rsidRDefault="00000000">
          <w:pPr>
            <w:pStyle w:val="Spistreci4"/>
            <w:rPr>
              <w:rFonts w:asciiTheme="minorHAnsi" w:eastAsiaTheme="minorEastAsia" w:hAnsiTheme="minorHAnsi"/>
              <w:noProof/>
              <w:sz w:val="24"/>
              <w:szCs w:val="24"/>
              <w:lang w:eastAsia="pl-PL"/>
            </w:rPr>
          </w:pPr>
          <w:hyperlink w:anchor="_Toc179536947" w:history="1">
            <w:r w:rsidR="00DD3929" w:rsidRPr="009D3A92">
              <w:rPr>
                <w:rStyle w:val="Hipercze"/>
                <w:noProof/>
              </w:rPr>
              <w:t>Cel. 1.4.3.</w:t>
            </w:r>
            <w:r w:rsidR="00DD3929">
              <w:rPr>
                <w:rFonts w:asciiTheme="minorHAnsi" w:eastAsiaTheme="minorEastAsia" w:hAnsiTheme="minorHAnsi"/>
                <w:noProof/>
                <w:sz w:val="24"/>
                <w:szCs w:val="24"/>
                <w:lang w:eastAsia="pl-PL"/>
              </w:rPr>
              <w:tab/>
            </w:r>
            <w:r w:rsidR="00DD3929" w:rsidRPr="009D3A92">
              <w:rPr>
                <w:rStyle w:val="Hipercze"/>
                <w:noProof/>
              </w:rPr>
              <w:t>Cel w zakresie stanu gleb</w:t>
            </w:r>
            <w:r w:rsidR="00DD3929">
              <w:rPr>
                <w:noProof/>
                <w:webHidden/>
              </w:rPr>
              <w:tab/>
            </w:r>
            <w:r w:rsidR="00DD3929">
              <w:rPr>
                <w:noProof/>
                <w:webHidden/>
              </w:rPr>
              <w:fldChar w:fldCharType="begin"/>
            </w:r>
            <w:r w:rsidR="00DD3929">
              <w:rPr>
                <w:noProof/>
                <w:webHidden/>
              </w:rPr>
              <w:instrText xml:space="preserve"> PAGEREF _Toc179536947 \h </w:instrText>
            </w:r>
            <w:r w:rsidR="00DD3929">
              <w:rPr>
                <w:noProof/>
                <w:webHidden/>
              </w:rPr>
            </w:r>
            <w:r w:rsidR="00DD3929">
              <w:rPr>
                <w:noProof/>
                <w:webHidden/>
              </w:rPr>
              <w:fldChar w:fldCharType="separate"/>
            </w:r>
            <w:r w:rsidR="00103318">
              <w:rPr>
                <w:noProof/>
                <w:webHidden/>
              </w:rPr>
              <w:t>55</w:t>
            </w:r>
            <w:r w:rsidR="00DD3929">
              <w:rPr>
                <w:noProof/>
                <w:webHidden/>
              </w:rPr>
              <w:fldChar w:fldCharType="end"/>
            </w:r>
          </w:hyperlink>
        </w:p>
        <w:p w14:paraId="1E2BE228" w14:textId="0B043D20" w:rsidR="00DD3929" w:rsidRDefault="00000000">
          <w:pPr>
            <w:pStyle w:val="Spistreci4"/>
            <w:rPr>
              <w:rFonts w:asciiTheme="minorHAnsi" w:eastAsiaTheme="minorEastAsia" w:hAnsiTheme="minorHAnsi"/>
              <w:noProof/>
              <w:sz w:val="24"/>
              <w:szCs w:val="24"/>
              <w:lang w:eastAsia="pl-PL"/>
            </w:rPr>
          </w:pPr>
          <w:hyperlink w:anchor="_Toc179536948" w:history="1">
            <w:r w:rsidR="00DD3929" w:rsidRPr="009D3A92">
              <w:rPr>
                <w:rStyle w:val="Hipercze"/>
                <w:noProof/>
              </w:rPr>
              <w:t>Cel. 1.4.4.</w:t>
            </w:r>
            <w:r w:rsidR="00DD3929">
              <w:rPr>
                <w:rFonts w:asciiTheme="minorHAnsi" w:eastAsiaTheme="minorEastAsia" w:hAnsiTheme="minorHAnsi"/>
                <w:noProof/>
                <w:sz w:val="24"/>
                <w:szCs w:val="24"/>
                <w:lang w:eastAsia="pl-PL"/>
              </w:rPr>
              <w:tab/>
            </w:r>
            <w:r w:rsidR="00DD3929" w:rsidRPr="009D3A92">
              <w:rPr>
                <w:rStyle w:val="Hipercze"/>
                <w:noProof/>
              </w:rPr>
              <w:t>Cel w zakresie odpadów</w:t>
            </w:r>
            <w:r w:rsidR="00DD3929">
              <w:rPr>
                <w:noProof/>
                <w:webHidden/>
              </w:rPr>
              <w:tab/>
            </w:r>
            <w:r w:rsidR="00DD3929">
              <w:rPr>
                <w:noProof/>
                <w:webHidden/>
              </w:rPr>
              <w:fldChar w:fldCharType="begin"/>
            </w:r>
            <w:r w:rsidR="00DD3929">
              <w:rPr>
                <w:noProof/>
                <w:webHidden/>
              </w:rPr>
              <w:instrText xml:space="preserve"> PAGEREF _Toc179536948 \h </w:instrText>
            </w:r>
            <w:r w:rsidR="00DD3929">
              <w:rPr>
                <w:noProof/>
                <w:webHidden/>
              </w:rPr>
            </w:r>
            <w:r w:rsidR="00DD3929">
              <w:rPr>
                <w:noProof/>
                <w:webHidden/>
              </w:rPr>
              <w:fldChar w:fldCharType="separate"/>
            </w:r>
            <w:r w:rsidR="00103318">
              <w:rPr>
                <w:noProof/>
                <w:webHidden/>
              </w:rPr>
              <w:t>57</w:t>
            </w:r>
            <w:r w:rsidR="00DD3929">
              <w:rPr>
                <w:noProof/>
                <w:webHidden/>
              </w:rPr>
              <w:fldChar w:fldCharType="end"/>
            </w:r>
          </w:hyperlink>
        </w:p>
        <w:p w14:paraId="148FC9D7" w14:textId="34044244" w:rsidR="00DD3929" w:rsidRDefault="00000000">
          <w:pPr>
            <w:pStyle w:val="Spistreci3"/>
            <w:rPr>
              <w:rFonts w:asciiTheme="minorHAnsi" w:eastAsiaTheme="minorEastAsia" w:hAnsiTheme="minorHAnsi"/>
              <w:noProof/>
              <w:sz w:val="24"/>
              <w:szCs w:val="24"/>
              <w:lang w:eastAsia="pl-PL"/>
            </w:rPr>
          </w:pPr>
          <w:hyperlink w:anchor="_Toc179536949" w:history="1">
            <w:r w:rsidR="00DD3929" w:rsidRPr="009D3A92">
              <w:rPr>
                <w:rStyle w:val="Hipercze"/>
                <w:noProof/>
              </w:rPr>
              <w:t>Obszar 1.5.</w:t>
            </w:r>
            <w:r w:rsidR="00DD3929">
              <w:rPr>
                <w:rFonts w:asciiTheme="minorHAnsi" w:eastAsiaTheme="minorEastAsia" w:hAnsiTheme="minorHAnsi"/>
                <w:noProof/>
                <w:sz w:val="24"/>
                <w:szCs w:val="24"/>
                <w:lang w:eastAsia="pl-PL"/>
              </w:rPr>
              <w:tab/>
            </w:r>
            <w:r w:rsidR="00DD3929" w:rsidRPr="009D3A92">
              <w:rPr>
                <w:rStyle w:val="Hipercze"/>
                <w:noProof/>
              </w:rPr>
              <w:t>Gospodarka o obiegu zamkniętym</w:t>
            </w:r>
            <w:r w:rsidR="00DD3929">
              <w:rPr>
                <w:noProof/>
                <w:webHidden/>
              </w:rPr>
              <w:tab/>
            </w:r>
            <w:r w:rsidR="00DD3929">
              <w:rPr>
                <w:noProof/>
                <w:webHidden/>
              </w:rPr>
              <w:fldChar w:fldCharType="begin"/>
            </w:r>
            <w:r w:rsidR="00DD3929">
              <w:rPr>
                <w:noProof/>
                <w:webHidden/>
              </w:rPr>
              <w:instrText xml:space="preserve"> PAGEREF _Toc179536949 \h </w:instrText>
            </w:r>
            <w:r w:rsidR="00DD3929">
              <w:rPr>
                <w:noProof/>
                <w:webHidden/>
              </w:rPr>
            </w:r>
            <w:r w:rsidR="00DD3929">
              <w:rPr>
                <w:noProof/>
                <w:webHidden/>
              </w:rPr>
              <w:fldChar w:fldCharType="separate"/>
            </w:r>
            <w:r w:rsidR="00103318">
              <w:rPr>
                <w:noProof/>
                <w:webHidden/>
              </w:rPr>
              <w:t>59</w:t>
            </w:r>
            <w:r w:rsidR="00DD3929">
              <w:rPr>
                <w:noProof/>
                <w:webHidden/>
              </w:rPr>
              <w:fldChar w:fldCharType="end"/>
            </w:r>
          </w:hyperlink>
        </w:p>
        <w:p w14:paraId="6B3EF526" w14:textId="18578C4F" w:rsidR="00DD3929" w:rsidRDefault="00000000">
          <w:pPr>
            <w:pStyle w:val="Spistreci4"/>
            <w:rPr>
              <w:rFonts w:asciiTheme="minorHAnsi" w:eastAsiaTheme="minorEastAsia" w:hAnsiTheme="minorHAnsi"/>
              <w:noProof/>
              <w:sz w:val="24"/>
              <w:szCs w:val="24"/>
              <w:lang w:eastAsia="pl-PL"/>
            </w:rPr>
          </w:pPr>
          <w:hyperlink w:anchor="_Toc179536950" w:history="1">
            <w:r w:rsidR="00DD3929" w:rsidRPr="009D3A92">
              <w:rPr>
                <w:rStyle w:val="Hipercze"/>
                <w:noProof/>
              </w:rPr>
              <w:t>Cel. 1.5.1.</w:t>
            </w:r>
            <w:r w:rsidR="00DD3929">
              <w:rPr>
                <w:rFonts w:asciiTheme="minorHAnsi" w:eastAsiaTheme="minorEastAsia" w:hAnsiTheme="minorHAnsi"/>
                <w:noProof/>
                <w:sz w:val="24"/>
                <w:szCs w:val="24"/>
                <w:lang w:eastAsia="pl-PL"/>
              </w:rPr>
              <w:tab/>
            </w:r>
            <w:r w:rsidR="00DD3929" w:rsidRPr="009D3A92">
              <w:rPr>
                <w:rStyle w:val="Hipercze"/>
                <w:noProof/>
              </w:rPr>
              <w:t>Wspieranie transformacji w kierunku gospodarki o obiegu zamkniętym</w:t>
            </w:r>
            <w:r w:rsidR="00DD3929">
              <w:rPr>
                <w:noProof/>
                <w:webHidden/>
              </w:rPr>
              <w:tab/>
            </w:r>
            <w:r w:rsidR="00DD3929">
              <w:rPr>
                <w:noProof/>
                <w:webHidden/>
              </w:rPr>
              <w:fldChar w:fldCharType="begin"/>
            </w:r>
            <w:r w:rsidR="00DD3929">
              <w:rPr>
                <w:noProof/>
                <w:webHidden/>
              </w:rPr>
              <w:instrText xml:space="preserve"> PAGEREF _Toc179536950 \h </w:instrText>
            </w:r>
            <w:r w:rsidR="00DD3929">
              <w:rPr>
                <w:noProof/>
                <w:webHidden/>
              </w:rPr>
            </w:r>
            <w:r w:rsidR="00DD3929">
              <w:rPr>
                <w:noProof/>
                <w:webHidden/>
              </w:rPr>
              <w:fldChar w:fldCharType="separate"/>
            </w:r>
            <w:r w:rsidR="00103318">
              <w:rPr>
                <w:noProof/>
                <w:webHidden/>
              </w:rPr>
              <w:t>59</w:t>
            </w:r>
            <w:r w:rsidR="00DD3929">
              <w:rPr>
                <w:noProof/>
                <w:webHidden/>
              </w:rPr>
              <w:fldChar w:fldCharType="end"/>
            </w:r>
          </w:hyperlink>
        </w:p>
        <w:p w14:paraId="694FADE9" w14:textId="12E838EF" w:rsidR="00DD3929" w:rsidRDefault="00000000">
          <w:pPr>
            <w:pStyle w:val="Spistreci3"/>
            <w:rPr>
              <w:rFonts w:asciiTheme="minorHAnsi" w:eastAsiaTheme="minorEastAsia" w:hAnsiTheme="minorHAnsi"/>
              <w:noProof/>
              <w:sz w:val="24"/>
              <w:szCs w:val="24"/>
              <w:lang w:eastAsia="pl-PL"/>
            </w:rPr>
          </w:pPr>
          <w:hyperlink w:anchor="_Toc179536951" w:history="1">
            <w:r w:rsidR="00DD3929" w:rsidRPr="009D3A92">
              <w:rPr>
                <w:rStyle w:val="Hipercze"/>
                <w:noProof/>
              </w:rPr>
              <w:t>Obszar 1.6.</w:t>
            </w:r>
            <w:r w:rsidR="00DD3929">
              <w:rPr>
                <w:rFonts w:asciiTheme="minorHAnsi" w:eastAsiaTheme="minorEastAsia" w:hAnsiTheme="minorHAnsi"/>
                <w:noProof/>
                <w:sz w:val="24"/>
                <w:szCs w:val="24"/>
                <w:lang w:eastAsia="pl-PL"/>
              </w:rPr>
              <w:tab/>
            </w:r>
            <w:r w:rsidR="00DD3929" w:rsidRPr="009D3A92">
              <w:rPr>
                <w:rStyle w:val="Hipercze"/>
                <w:noProof/>
              </w:rPr>
              <w:t>Adaptacja do zmian klimatu</w:t>
            </w:r>
            <w:r w:rsidR="00DD3929">
              <w:rPr>
                <w:noProof/>
                <w:webHidden/>
              </w:rPr>
              <w:tab/>
            </w:r>
            <w:r w:rsidR="00DD3929">
              <w:rPr>
                <w:noProof/>
                <w:webHidden/>
              </w:rPr>
              <w:fldChar w:fldCharType="begin"/>
            </w:r>
            <w:r w:rsidR="00DD3929">
              <w:rPr>
                <w:noProof/>
                <w:webHidden/>
              </w:rPr>
              <w:instrText xml:space="preserve"> PAGEREF _Toc179536951 \h </w:instrText>
            </w:r>
            <w:r w:rsidR="00DD3929">
              <w:rPr>
                <w:noProof/>
                <w:webHidden/>
              </w:rPr>
            </w:r>
            <w:r w:rsidR="00DD3929">
              <w:rPr>
                <w:noProof/>
                <w:webHidden/>
              </w:rPr>
              <w:fldChar w:fldCharType="separate"/>
            </w:r>
            <w:r w:rsidR="00103318">
              <w:rPr>
                <w:noProof/>
                <w:webHidden/>
              </w:rPr>
              <w:t>61</w:t>
            </w:r>
            <w:r w:rsidR="00DD3929">
              <w:rPr>
                <w:noProof/>
                <w:webHidden/>
              </w:rPr>
              <w:fldChar w:fldCharType="end"/>
            </w:r>
          </w:hyperlink>
        </w:p>
        <w:p w14:paraId="30CFAE45" w14:textId="31EE9F4D" w:rsidR="00DD3929" w:rsidRDefault="00000000">
          <w:pPr>
            <w:pStyle w:val="Spistreci4"/>
            <w:rPr>
              <w:rFonts w:asciiTheme="minorHAnsi" w:eastAsiaTheme="minorEastAsia" w:hAnsiTheme="minorHAnsi"/>
              <w:noProof/>
              <w:sz w:val="24"/>
              <w:szCs w:val="24"/>
              <w:lang w:eastAsia="pl-PL"/>
            </w:rPr>
          </w:pPr>
          <w:hyperlink w:anchor="_Toc179536952" w:history="1">
            <w:r w:rsidR="00DD3929" w:rsidRPr="009D3A92">
              <w:rPr>
                <w:rStyle w:val="Hipercze"/>
                <w:noProof/>
              </w:rPr>
              <w:t>Cel. 1.6.1.</w:t>
            </w:r>
            <w:r w:rsidR="00DD3929">
              <w:rPr>
                <w:rFonts w:asciiTheme="minorHAnsi" w:eastAsiaTheme="minorEastAsia" w:hAnsiTheme="minorHAnsi"/>
                <w:noProof/>
                <w:sz w:val="24"/>
                <w:szCs w:val="24"/>
                <w:lang w:eastAsia="pl-PL"/>
              </w:rPr>
              <w:tab/>
            </w:r>
            <w:r w:rsidR="00DD3929" w:rsidRPr="009D3A92">
              <w:rPr>
                <w:rStyle w:val="Hipercze"/>
                <w:noProof/>
              </w:rPr>
              <w:t>Dążenie do adaptacji do zmian klimatu</w:t>
            </w:r>
            <w:r w:rsidR="00DD3929">
              <w:rPr>
                <w:noProof/>
                <w:webHidden/>
              </w:rPr>
              <w:tab/>
            </w:r>
            <w:r w:rsidR="00DD3929">
              <w:rPr>
                <w:noProof/>
                <w:webHidden/>
              </w:rPr>
              <w:fldChar w:fldCharType="begin"/>
            </w:r>
            <w:r w:rsidR="00DD3929">
              <w:rPr>
                <w:noProof/>
                <w:webHidden/>
              </w:rPr>
              <w:instrText xml:space="preserve"> PAGEREF _Toc179536952 \h </w:instrText>
            </w:r>
            <w:r w:rsidR="00DD3929">
              <w:rPr>
                <w:noProof/>
                <w:webHidden/>
              </w:rPr>
            </w:r>
            <w:r w:rsidR="00DD3929">
              <w:rPr>
                <w:noProof/>
                <w:webHidden/>
              </w:rPr>
              <w:fldChar w:fldCharType="separate"/>
            </w:r>
            <w:r w:rsidR="00103318">
              <w:rPr>
                <w:noProof/>
                <w:webHidden/>
              </w:rPr>
              <w:t>61</w:t>
            </w:r>
            <w:r w:rsidR="00DD3929">
              <w:rPr>
                <w:noProof/>
                <w:webHidden/>
              </w:rPr>
              <w:fldChar w:fldCharType="end"/>
            </w:r>
          </w:hyperlink>
        </w:p>
        <w:p w14:paraId="2A5D52C0" w14:textId="5AD34B57" w:rsidR="00DD3929" w:rsidRDefault="00000000">
          <w:pPr>
            <w:pStyle w:val="Spistreci2"/>
            <w:rPr>
              <w:rFonts w:asciiTheme="minorHAnsi" w:eastAsiaTheme="minorEastAsia" w:hAnsiTheme="minorHAnsi"/>
              <w:noProof/>
              <w:sz w:val="24"/>
              <w:szCs w:val="24"/>
              <w:lang w:eastAsia="pl-PL"/>
            </w:rPr>
          </w:pPr>
          <w:hyperlink w:anchor="_Toc179536953" w:history="1">
            <w:r w:rsidR="00DD3929" w:rsidRPr="009D3A92">
              <w:rPr>
                <w:rStyle w:val="Hipercze"/>
                <w:noProof/>
              </w:rPr>
              <w:t>2. Poprawa efektywności energetycznej</w:t>
            </w:r>
            <w:r w:rsidR="00DD3929">
              <w:rPr>
                <w:noProof/>
                <w:webHidden/>
              </w:rPr>
              <w:tab/>
            </w:r>
            <w:r w:rsidR="00DD3929">
              <w:rPr>
                <w:noProof/>
                <w:webHidden/>
              </w:rPr>
              <w:fldChar w:fldCharType="begin"/>
            </w:r>
            <w:r w:rsidR="00DD3929">
              <w:rPr>
                <w:noProof/>
                <w:webHidden/>
              </w:rPr>
              <w:instrText xml:space="preserve"> PAGEREF _Toc179536953 \h </w:instrText>
            </w:r>
            <w:r w:rsidR="00DD3929">
              <w:rPr>
                <w:noProof/>
                <w:webHidden/>
              </w:rPr>
            </w:r>
            <w:r w:rsidR="00DD3929">
              <w:rPr>
                <w:noProof/>
                <w:webHidden/>
              </w:rPr>
              <w:fldChar w:fldCharType="separate"/>
            </w:r>
            <w:r w:rsidR="00103318">
              <w:rPr>
                <w:noProof/>
                <w:webHidden/>
              </w:rPr>
              <w:t>66</w:t>
            </w:r>
            <w:r w:rsidR="00DD3929">
              <w:rPr>
                <w:noProof/>
                <w:webHidden/>
              </w:rPr>
              <w:fldChar w:fldCharType="end"/>
            </w:r>
          </w:hyperlink>
        </w:p>
        <w:p w14:paraId="593C66BE" w14:textId="4B1B4DB0" w:rsidR="00DD3929" w:rsidRDefault="00000000">
          <w:pPr>
            <w:pStyle w:val="Spistreci3"/>
            <w:rPr>
              <w:rFonts w:asciiTheme="minorHAnsi" w:eastAsiaTheme="minorEastAsia" w:hAnsiTheme="minorHAnsi"/>
              <w:noProof/>
              <w:sz w:val="24"/>
              <w:szCs w:val="24"/>
              <w:lang w:eastAsia="pl-PL"/>
            </w:rPr>
          </w:pPr>
          <w:hyperlink w:anchor="_Toc179536954" w:history="1">
            <w:r w:rsidR="00DD3929" w:rsidRPr="009D3A92">
              <w:rPr>
                <w:rStyle w:val="Hipercze"/>
                <w:noProof/>
              </w:rPr>
              <w:t>Obszar 2.1.</w:t>
            </w:r>
            <w:r w:rsidR="00DD3929">
              <w:rPr>
                <w:rFonts w:asciiTheme="minorHAnsi" w:eastAsiaTheme="minorEastAsia" w:hAnsiTheme="minorHAnsi"/>
                <w:noProof/>
                <w:sz w:val="24"/>
                <w:szCs w:val="24"/>
                <w:lang w:eastAsia="pl-PL"/>
              </w:rPr>
              <w:tab/>
            </w:r>
            <w:r w:rsidR="00DD3929" w:rsidRPr="009D3A92">
              <w:rPr>
                <w:rStyle w:val="Hipercze"/>
                <w:noProof/>
              </w:rPr>
              <w:t>Poprawa efektywności energetycznej w gospodarce</w:t>
            </w:r>
            <w:r w:rsidR="00DD3929">
              <w:rPr>
                <w:noProof/>
                <w:webHidden/>
              </w:rPr>
              <w:tab/>
            </w:r>
            <w:r w:rsidR="00DD3929">
              <w:rPr>
                <w:noProof/>
                <w:webHidden/>
              </w:rPr>
              <w:fldChar w:fldCharType="begin"/>
            </w:r>
            <w:r w:rsidR="00DD3929">
              <w:rPr>
                <w:noProof/>
                <w:webHidden/>
              </w:rPr>
              <w:instrText xml:space="preserve"> PAGEREF _Toc179536954 \h </w:instrText>
            </w:r>
            <w:r w:rsidR="00DD3929">
              <w:rPr>
                <w:noProof/>
                <w:webHidden/>
              </w:rPr>
            </w:r>
            <w:r w:rsidR="00DD3929">
              <w:rPr>
                <w:noProof/>
                <w:webHidden/>
              </w:rPr>
              <w:fldChar w:fldCharType="separate"/>
            </w:r>
            <w:r w:rsidR="00103318">
              <w:rPr>
                <w:noProof/>
                <w:webHidden/>
              </w:rPr>
              <w:t>67</w:t>
            </w:r>
            <w:r w:rsidR="00DD3929">
              <w:rPr>
                <w:noProof/>
                <w:webHidden/>
              </w:rPr>
              <w:fldChar w:fldCharType="end"/>
            </w:r>
          </w:hyperlink>
        </w:p>
        <w:p w14:paraId="7D3E5C70" w14:textId="5B5A689A" w:rsidR="00DD3929" w:rsidRDefault="00000000">
          <w:pPr>
            <w:pStyle w:val="Spistreci4"/>
            <w:rPr>
              <w:rFonts w:asciiTheme="minorHAnsi" w:eastAsiaTheme="minorEastAsia" w:hAnsiTheme="minorHAnsi"/>
              <w:noProof/>
              <w:sz w:val="24"/>
              <w:szCs w:val="24"/>
              <w:lang w:eastAsia="pl-PL"/>
            </w:rPr>
          </w:pPr>
          <w:hyperlink w:anchor="_Toc179536955" w:history="1">
            <w:r w:rsidR="00DD3929" w:rsidRPr="009D3A92">
              <w:rPr>
                <w:rStyle w:val="Hipercze"/>
                <w:noProof/>
              </w:rPr>
              <w:t>Cel. 2.1.1.</w:t>
            </w:r>
            <w:r w:rsidR="00DD3929">
              <w:rPr>
                <w:rFonts w:asciiTheme="minorHAnsi" w:eastAsiaTheme="minorEastAsia" w:hAnsiTheme="minorHAnsi"/>
                <w:noProof/>
                <w:sz w:val="24"/>
                <w:szCs w:val="24"/>
                <w:lang w:eastAsia="pl-PL"/>
              </w:rPr>
              <w:tab/>
            </w:r>
            <w:r w:rsidR="00DD3929" w:rsidRPr="009D3A92">
              <w:rPr>
                <w:rStyle w:val="Hipercze"/>
                <w:noProof/>
              </w:rPr>
              <w:t>Wkład Polski w zakresie zużycia energii pierwotnej</w:t>
            </w:r>
            <w:r w:rsidR="00DD3929">
              <w:rPr>
                <w:noProof/>
                <w:webHidden/>
              </w:rPr>
              <w:tab/>
            </w:r>
            <w:r w:rsidR="00DD3929">
              <w:rPr>
                <w:noProof/>
                <w:webHidden/>
              </w:rPr>
              <w:fldChar w:fldCharType="begin"/>
            </w:r>
            <w:r w:rsidR="00DD3929">
              <w:rPr>
                <w:noProof/>
                <w:webHidden/>
              </w:rPr>
              <w:instrText xml:space="preserve"> PAGEREF _Toc179536955 \h </w:instrText>
            </w:r>
            <w:r w:rsidR="00DD3929">
              <w:rPr>
                <w:noProof/>
                <w:webHidden/>
              </w:rPr>
            </w:r>
            <w:r w:rsidR="00DD3929">
              <w:rPr>
                <w:noProof/>
                <w:webHidden/>
              </w:rPr>
              <w:fldChar w:fldCharType="separate"/>
            </w:r>
            <w:r w:rsidR="00103318">
              <w:rPr>
                <w:noProof/>
                <w:webHidden/>
              </w:rPr>
              <w:t>69</w:t>
            </w:r>
            <w:r w:rsidR="00DD3929">
              <w:rPr>
                <w:noProof/>
                <w:webHidden/>
              </w:rPr>
              <w:fldChar w:fldCharType="end"/>
            </w:r>
          </w:hyperlink>
        </w:p>
        <w:p w14:paraId="5C6D3796" w14:textId="6F33625E" w:rsidR="00DD3929" w:rsidRDefault="00000000">
          <w:pPr>
            <w:pStyle w:val="Spistreci4"/>
            <w:rPr>
              <w:rFonts w:asciiTheme="minorHAnsi" w:eastAsiaTheme="minorEastAsia" w:hAnsiTheme="minorHAnsi"/>
              <w:noProof/>
              <w:sz w:val="24"/>
              <w:szCs w:val="24"/>
              <w:lang w:eastAsia="pl-PL"/>
            </w:rPr>
          </w:pPr>
          <w:hyperlink w:anchor="_Toc179536956" w:history="1">
            <w:r w:rsidR="00DD3929" w:rsidRPr="009D3A92">
              <w:rPr>
                <w:rStyle w:val="Hipercze"/>
                <w:noProof/>
              </w:rPr>
              <w:t>Cel. 2.1.2.</w:t>
            </w:r>
            <w:r w:rsidR="00DD3929">
              <w:rPr>
                <w:rFonts w:asciiTheme="minorHAnsi" w:eastAsiaTheme="minorEastAsia" w:hAnsiTheme="minorHAnsi"/>
                <w:noProof/>
                <w:sz w:val="24"/>
                <w:szCs w:val="24"/>
                <w:lang w:eastAsia="pl-PL"/>
              </w:rPr>
              <w:tab/>
            </w:r>
            <w:r w:rsidR="00DD3929" w:rsidRPr="009D3A92">
              <w:rPr>
                <w:rStyle w:val="Hipercze"/>
                <w:noProof/>
              </w:rPr>
              <w:t>Wkład Polski w zakresie finalnego zużycia energii</w:t>
            </w:r>
            <w:r w:rsidR="00DD3929">
              <w:rPr>
                <w:noProof/>
                <w:webHidden/>
              </w:rPr>
              <w:tab/>
            </w:r>
            <w:r w:rsidR="00DD3929">
              <w:rPr>
                <w:noProof/>
                <w:webHidden/>
              </w:rPr>
              <w:fldChar w:fldCharType="begin"/>
            </w:r>
            <w:r w:rsidR="00DD3929">
              <w:rPr>
                <w:noProof/>
                <w:webHidden/>
              </w:rPr>
              <w:instrText xml:space="preserve"> PAGEREF _Toc179536956 \h </w:instrText>
            </w:r>
            <w:r w:rsidR="00DD3929">
              <w:rPr>
                <w:noProof/>
                <w:webHidden/>
              </w:rPr>
            </w:r>
            <w:r w:rsidR="00DD3929">
              <w:rPr>
                <w:noProof/>
                <w:webHidden/>
              </w:rPr>
              <w:fldChar w:fldCharType="separate"/>
            </w:r>
            <w:r w:rsidR="00103318">
              <w:rPr>
                <w:noProof/>
                <w:webHidden/>
              </w:rPr>
              <w:t>70</w:t>
            </w:r>
            <w:r w:rsidR="00DD3929">
              <w:rPr>
                <w:noProof/>
                <w:webHidden/>
              </w:rPr>
              <w:fldChar w:fldCharType="end"/>
            </w:r>
          </w:hyperlink>
        </w:p>
        <w:p w14:paraId="64FA5BEB" w14:textId="5F08F904" w:rsidR="00DD3929" w:rsidRDefault="00000000">
          <w:pPr>
            <w:pStyle w:val="Spistreci4"/>
            <w:rPr>
              <w:rFonts w:asciiTheme="minorHAnsi" w:eastAsiaTheme="minorEastAsia" w:hAnsiTheme="minorHAnsi"/>
              <w:noProof/>
              <w:sz w:val="24"/>
              <w:szCs w:val="24"/>
              <w:lang w:eastAsia="pl-PL"/>
            </w:rPr>
          </w:pPr>
          <w:hyperlink w:anchor="_Toc179536957" w:history="1">
            <w:r w:rsidR="00DD3929" w:rsidRPr="009D3A92">
              <w:rPr>
                <w:rStyle w:val="Hipercze"/>
                <w:noProof/>
              </w:rPr>
              <w:t>Cel. 2.1.3.</w:t>
            </w:r>
            <w:r w:rsidR="00DD3929">
              <w:rPr>
                <w:rFonts w:asciiTheme="minorHAnsi" w:eastAsiaTheme="minorEastAsia" w:hAnsiTheme="minorHAnsi"/>
                <w:noProof/>
                <w:sz w:val="24"/>
                <w:szCs w:val="24"/>
                <w:lang w:eastAsia="pl-PL"/>
              </w:rPr>
              <w:tab/>
            </w:r>
            <w:r w:rsidR="00DD3929" w:rsidRPr="009D3A92">
              <w:rPr>
                <w:rStyle w:val="Hipercze"/>
                <w:noProof/>
              </w:rPr>
              <w:t>Generowanie oszczędności finalnego zużycia energii</w:t>
            </w:r>
            <w:r w:rsidR="00DD3929">
              <w:rPr>
                <w:noProof/>
                <w:webHidden/>
              </w:rPr>
              <w:tab/>
            </w:r>
            <w:r w:rsidR="00DD3929">
              <w:rPr>
                <w:noProof/>
                <w:webHidden/>
              </w:rPr>
              <w:fldChar w:fldCharType="begin"/>
            </w:r>
            <w:r w:rsidR="00DD3929">
              <w:rPr>
                <w:noProof/>
                <w:webHidden/>
              </w:rPr>
              <w:instrText xml:space="preserve"> PAGEREF _Toc179536957 \h </w:instrText>
            </w:r>
            <w:r w:rsidR="00DD3929">
              <w:rPr>
                <w:noProof/>
                <w:webHidden/>
              </w:rPr>
            </w:r>
            <w:r w:rsidR="00DD3929">
              <w:rPr>
                <w:noProof/>
                <w:webHidden/>
              </w:rPr>
              <w:fldChar w:fldCharType="separate"/>
            </w:r>
            <w:r w:rsidR="00103318">
              <w:rPr>
                <w:noProof/>
                <w:webHidden/>
              </w:rPr>
              <w:t>74</w:t>
            </w:r>
            <w:r w:rsidR="00DD3929">
              <w:rPr>
                <w:noProof/>
                <w:webHidden/>
              </w:rPr>
              <w:fldChar w:fldCharType="end"/>
            </w:r>
          </w:hyperlink>
        </w:p>
        <w:p w14:paraId="73A52BD2" w14:textId="067A78C2" w:rsidR="00DD3929" w:rsidRDefault="00000000">
          <w:pPr>
            <w:pStyle w:val="Spistreci4"/>
            <w:rPr>
              <w:rFonts w:asciiTheme="minorHAnsi" w:eastAsiaTheme="minorEastAsia" w:hAnsiTheme="minorHAnsi"/>
              <w:noProof/>
              <w:sz w:val="24"/>
              <w:szCs w:val="24"/>
              <w:lang w:eastAsia="pl-PL"/>
            </w:rPr>
          </w:pPr>
          <w:hyperlink w:anchor="_Toc179536958" w:history="1">
            <w:r w:rsidR="00DD3929" w:rsidRPr="009D3A92">
              <w:rPr>
                <w:rStyle w:val="Hipercze"/>
                <w:noProof/>
              </w:rPr>
              <w:t>Cel. 2.1.4.</w:t>
            </w:r>
            <w:r w:rsidR="00DD3929">
              <w:rPr>
                <w:rFonts w:asciiTheme="minorHAnsi" w:eastAsiaTheme="minorEastAsia" w:hAnsiTheme="minorHAnsi"/>
                <w:noProof/>
                <w:sz w:val="24"/>
                <w:szCs w:val="24"/>
                <w:lang w:eastAsia="pl-PL"/>
              </w:rPr>
              <w:tab/>
            </w:r>
            <w:r w:rsidR="00DD3929" w:rsidRPr="009D3A92">
              <w:rPr>
                <w:rStyle w:val="Hipercze"/>
                <w:noProof/>
              </w:rPr>
              <w:t>Zmniejszenie finalnego zużycia energii przez instytucje publiczne</w:t>
            </w:r>
            <w:r w:rsidR="00DD3929">
              <w:rPr>
                <w:noProof/>
                <w:webHidden/>
              </w:rPr>
              <w:tab/>
            </w:r>
            <w:r w:rsidR="00DD3929">
              <w:rPr>
                <w:noProof/>
                <w:webHidden/>
              </w:rPr>
              <w:fldChar w:fldCharType="begin"/>
            </w:r>
            <w:r w:rsidR="00DD3929">
              <w:rPr>
                <w:noProof/>
                <w:webHidden/>
              </w:rPr>
              <w:instrText xml:space="preserve"> PAGEREF _Toc179536958 \h </w:instrText>
            </w:r>
            <w:r w:rsidR="00DD3929">
              <w:rPr>
                <w:noProof/>
                <w:webHidden/>
              </w:rPr>
            </w:r>
            <w:r w:rsidR="00DD3929">
              <w:rPr>
                <w:noProof/>
                <w:webHidden/>
              </w:rPr>
              <w:fldChar w:fldCharType="separate"/>
            </w:r>
            <w:r w:rsidR="00103318">
              <w:rPr>
                <w:noProof/>
                <w:webHidden/>
              </w:rPr>
              <w:t>75</w:t>
            </w:r>
            <w:r w:rsidR="00DD3929">
              <w:rPr>
                <w:noProof/>
                <w:webHidden/>
              </w:rPr>
              <w:fldChar w:fldCharType="end"/>
            </w:r>
          </w:hyperlink>
        </w:p>
        <w:p w14:paraId="228F153F" w14:textId="037CCF53" w:rsidR="00DD3929" w:rsidRDefault="00000000">
          <w:pPr>
            <w:pStyle w:val="Spistreci3"/>
            <w:rPr>
              <w:rFonts w:asciiTheme="minorHAnsi" w:eastAsiaTheme="minorEastAsia" w:hAnsiTheme="minorHAnsi"/>
              <w:noProof/>
              <w:sz w:val="24"/>
              <w:szCs w:val="24"/>
              <w:lang w:eastAsia="pl-PL"/>
            </w:rPr>
          </w:pPr>
          <w:hyperlink w:anchor="_Toc179536959" w:history="1">
            <w:r w:rsidR="00DD3929" w:rsidRPr="009D3A92">
              <w:rPr>
                <w:rStyle w:val="Hipercze"/>
                <w:noProof/>
              </w:rPr>
              <w:t>Obszar 2.2.</w:t>
            </w:r>
            <w:r w:rsidR="00DD3929">
              <w:rPr>
                <w:rFonts w:asciiTheme="minorHAnsi" w:eastAsiaTheme="minorEastAsia" w:hAnsiTheme="minorHAnsi"/>
                <w:noProof/>
                <w:sz w:val="24"/>
                <w:szCs w:val="24"/>
                <w:lang w:eastAsia="pl-PL"/>
              </w:rPr>
              <w:tab/>
            </w:r>
            <w:r w:rsidR="00DD3929" w:rsidRPr="009D3A92">
              <w:rPr>
                <w:rStyle w:val="Hipercze"/>
                <w:noProof/>
              </w:rPr>
              <w:t>Niskoemisyjne budownictwo</w:t>
            </w:r>
            <w:r w:rsidR="00DD3929">
              <w:rPr>
                <w:noProof/>
                <w:webHidden/>
              </w:rPr>
              <w:tab/>
            </w:r>
            <w:r w:rsidR="00DD3929">
              <w:rPr>
                <w:noProof/>
                <w:webHidden/>
              </w:rPr>
              <w:fldChar w:fldCharType="begin"/>
            </w:r>
            <w:r w:rsidR="00DD3929">
              <w:rPr>
                <w:noProof/>
                <w:webHidden/>
              </w:rPr>
              <w:instrText xml:space="preserve"> PAGEREF _Toc179536959 \h </w:instrText>
            </w:r>
            <w:r w:rsidR="00DD3929">
              <w:rPr>
                <w:noProof/>
                <w:webHidden/>
              </w:rPr>
            </w:r>
            <w:r w:rsidR="00DD3929">
              <w:rPr>
                <w:noProof/>
                <w:webHidden/>
              </w:rPr>
              <w:fldChar w:fldCharType="separate"/>
            </w:r>
            <w:r w:rsidR="00103318">
              <w:rPr>
                <w:noProof/>
                <w:webHidden/>
              </w:rPr>
              <w:t>77</w:t>
            </w:r>
            <w:r w:rsidR="00DD3929">
              <w:rPr>
                <w:noProof/>
                <w:webHidden/>
              </w:rPr>
              <w:fldChar w:fldCharType="end"/>
            </w:r>
          </w:hyperlink>
        </w:p>
        <w:p w14:paraId="662ED266" w14:textId="0E461045" w:rsidR="00DD3929" w:rsidRDefault="00000000">
          <w:pPr>
            <w:pStyle w:val="Spistreci4"/>
            <w:rPr>
              <w:rFonts w:asciiTheme="minorHAnsi" w:eastAsiaTheme="minorEastAsia" w:hAnsiTheme="minorHAnsi"/>
              <w:noProof/>
              <w:sz w:val="24"/>
              <w:szCs w:val="24"/>
              <w:lang w:eastAsia="pl-PL"/>
            </w:rPr>
          </w:pPr>
          <w:hyperlink w:anchor="_Toc179536960" w:history="1">
            <w:r w:rsidR="00DD3929" w:rsidRPr="009D3A92">
              <w:rPr>
                <w:rStyle w:val="Hipercze"/>
                <w:noProof/>
              </w:rPr>
              <w:t>Cel. 2.2.1.</w:t>
            </w:r>
            <w:r w:rsidR="00DD3929">
              <w:rPr>
                <w:rFonts w:asciiTheme="minorHAnsi" w:eastAsiaTheme="minorEastAsia" w:hAnsiTheme="minorHAnsi"/>
                <w:noProof/>
                <w:sz w:val="24"/>
                <w:szCs w:val="24"/>
                <w:lang w:eastAsia="pl-PL"/>
              </w:rPr>
              <w:tab/>
            </w:r>
            <w:r w:rsidR="00DD3929" w:rsidRPr="009D3A92">
              <w:rPr>
                <w:rStyle w:val="Hipercze"/>
                <w:noProof/>
              </w:rPr>
              <w:t>Redukcja potrzeb energetycznych istniejących budynków</w:t>
            </w:r>
            <w:r w:rsidR="00DD3929">
              <w:rPr>
                <w:noProof/>
                <w:webHidden/>
              </w:rPr>
              <w:tab/>
            </w:r>
            <w:r w:rsidR="00DD3929">
              <w:rPr>
                <w:noProof/>
                <w:webHidden/>
              </w:rPr>
              <w:fldChar w:fldCharType="begin"/>
            </w:r>
            <w:r w:rsidR="00DD3929">
              <w:rPr>
                <w:noProof/>
                <w:webHidden/>
              </w:rPr>
              <w:instrText xml:space="preserve"> PAGEREF _Toc179536960 \h </w:instrText>
            </w:r>
            <w:r w:rsidR="00DD3929">
              <w:rPr>
                <w:noProof/>
                <w:webHidden/>
              </w:rPr>
            </w:r>
            <w:r w:rsidR="00DD3929">
              <w:rPr>
                <w:noProof/>
                <w:webHidden/>
              </w:rPr>
              <w:fldChar w:fldCharType="separate"/>
            </w:r>
            <w:r w:rsidR="00103318">
              <w:rPr>
                <w:noProof/>
                <w:webHidden/>
              </w:rPr>
              <w:t>77</w:t>
            </w:r>
            <w:r w:rsidR="00DD3929">
              <w:rPr>
                <w:noProof/>
                <w:webHidden/>
              </w:rPr>
              <w:fldChar w:fldCharType="end"/>
            </w:r>
          </w:hyperlink>
        </w:p>
        <w:p w14:paraId="2D4A7BF5" w14:textId="20DF893B" w:rsidR="00DD3929" w:rsidRDefault="00000000">
          <w:pPr>
            <w:pStyle w:val="Spistreci4"/>
            <w:rPr>
              <w:rFonts w:asciiTheme="minorHAnsi" w:eastAsiaTheme="minorEastAsia" w:hAnsiTheme="minorHAnsi"/>
              <w:noProof/>
              <w:sz w:val="24"/>
              <w:szCs w:val="24"/>
              <w:lang w:eastAsia="pl-PL"/>
            </w:rPr>
          </w:pPr>
          <w:hyperlink w:anchor="_Toc179536961" w:history="1">
            <w:r w:rsidR="00DD3929" w:rsidRPr="009D3A92">
              <w:rPr>
                <w:rStyle w:val="Hipercze"/>
                <w:noProof/>
              </w:rPr>
              <w:t>Cel. 2.2.2.</w:t>
            </w:r>
            <w:r w:rsidR="00DD3929">
              <w:rPr>
                <w:rFonts w:asciiTheme="minorHAnsi" w:eastAsiaTheme="minorEastAsia" w:hAnsiTheme="minorHAnsi"/>
                <w:noProof/>
                <w:sz w:val="24"/>
                <w:szCs w:val="24"/>
                <w:lang w:eastAsia="pl-PL"/>
              </w:rPr>
              <w:tab/>
            </w:r>
            <w:r w:rsidR="00DD3929" w:rsidRPr="009D3A92">
              <w:rPr>
                <w:rStyle w:val="Hipercze"/>
                <w:noProof/>
              </w:rPr>
              <w:t>Nowe budownictwo bezemisyjne</w:t>
            </w:r>
            <w:r w:rsidR="00DD3929">
              <w:rPr>
                <w:noProof/>
                <w:webHidden/>
              </w:rPr>
              <w:tab/>
            </w:r>
            <w:r w:rsidR="00DD3929">
              <w:rPr>
                <w:noProof/>
                <w:webHidden/>
              </w:rPr>
              <w:fldChar w:fldCharType="begin"/>
            </w:r>
            <w:r w:rsidR="00DD3929">
              <w:rPr>
                <w:noProof/>
                <w:webHidden/>
              </w:rPr>
              <w:instrText xml:space="preserve"> PAGEREF _Toc179536961 \h </w:instrText>
            </w:r>
            <w:r w:rsidR="00DD3929">
              <w:rPr>
                <w:noProof/>
                <w:webHidden/>
              </w:rPr>
            </w:r>
            <w:r w:rsidR="00DD3929">
              <w:rPr>
                <w:noProof/>
                <w:webHidden/>
              </w:rPr>
              <w:fldChar w:fldCharType="separate"/>
            </w:r>
            <w:r w:rsidR="00103318">
              <w:rPr>
                <w:noProof/>
                <w:webHidden/>
              </w:rPr>
              <w:t>79</w:t>
            </w:r>
            <w:r w:rsidR="00DD3929">
              <w:rPr>
                <w:noProof/>
                <w:webHidden/>
              </w:rPr>
              <w:fldChar w:fldCharType="end"/>
            </w:r>
          </w:hyperlink>
        </w:p>
        <w:p w14:paraId="1D8224DF" w14:textId="2C3C3D4F" w:rsidR="00DD3929" w:rsidRDefault="00000000">
          <w:pPr>
            <w:pStyle w:val="Spistreci2"/>
            <w:rPr>
              <w:rFonts w:asciiTheme="minorHAnsi" w:eastAsiaTheme="minorEastAsia" w:hAnsiTheme="minorHAnsi"/>
              <w:noProof/>
              <w:sz w:val="24"/>
              <w:szCs w:val="24"/>
              <w:lang w:eastAsia="pl-PL"/>
            </w:rPr>
          </w:pPr>
          <w:hyperlink w:anchor="_Toc179536962" w:history="1">
            <w:r w:rsidR="00DD3929" w:rsidRPr="009D3A92">
              <w:rPr>
                <w:rStyle w:val="Hipercze"/>
                <w:noProof/>
              </w:rPr>
              <w:t>3. Bezpieczeństwo energetyczne</w:t>
            </w:r>
            <w:r w:rsidR="00DD3929">
              <w:rPr>
                <w:noProof/>
                <w:webHidden/>
              </w:rPr>
              <w:tab/>
            </w:r>
            <w:r w:rsidR="00DD3929">
              <w:rPr>
                <w:noProof/>
                <w:webHidden/>
              </w:rPr>
              <w:fldChar w:fldCharType="begin"/>
            </w:r>
            <w:r w:rsidR="00DD3929">
              <w:rPr>
                <w:noProof/>
                <w:webHidden/>
              </w:rPr>
              <w:instrText xml:space="preserve"> PAGEREF _Toc179536962 \h </w:instrText>
            </w:r>
            <w:r w:rsidR="00DD3929">
              <w:rPr>
                <w:noProof/>
                <w:webHidden/>
              </w:rPr>
            </w:r>
            <w:r w:rsidR="00DD3929">
              <w:rPr>
                <w:noProof/>
                <w:webHidden/>
              </w:rPr>
              <w:fldChar w:fldCharType="separate"/>
            </w:r>
            <w:r w:rsidR="00103318">
              <w:rPr>
                <w:noProof/>
                <w:webHidden/>
              </w:rPr>
              <w:t>82</w:t>
            </w:r>
            <w:r w:rsidR="00DD3929">
              <w:rPr>
                <w:noProof/>
                <w:webHidden/>
              </w:rPr>
              <w:fldChar w:fldCharType="end"/>
            </w:r>
          </w:hyperlink>
        </w:p>
        <w:p w14:paraId="24CD41B3" w14:textId="3D7215CD" w:rsidR="00DD3929" w:rsidRDefault="00000000">
          <w:pPr>
            <w:pStyle w:val="Spistreci3"/>
            <w:rPr>
              <w:rFonts w:asciiTheme="minorHAnsi" w:eastAsiaTheme="minorEastAsia" w:hAnsiTheme="minorHAnsi"/>
              <w:noProof/>
              <w:sz w:val="24"/>
              <w:szCs w:val="24"/>
              <w:lang w:eastAsia="pl-PL"/>
            </w:rPr>
          </w:pPr>
          <w:hyperlink w:anchor="_Toc179536963" w:history="1">
            <w:r w:rsidR="00DD3929" w:rsidRPr="009D3A92">
              <w:rPr>
                <w:rStyle w:val="Hipercze"/>
                <w:noProof/>
              </w:rPr>
              <w:t>Obszar 3.1.</w:t>
            </w:r>
            <w:r w:rsidR="00DD3929">
              <w:rPr>
                <w:rFonts w:asciiTheme="minorHAnsi" w:eastAsiaTheme="minorEastAsia" w:hAnsiTheme="minorHAnsi"/>
                <w:noProof/>
                <w:sz w:val="24"/>
                <w:szCs w:val="24"/>
                <w:lang w:eastAsia="pl-PL"/>
              </w:rPr>
              <w:tab/>
            </w:r>
            <w:r w:rsidR="00DD3929" w:rsidRPr="009D3A92">
              <w:rPr>
                <w:rStyle w:val="Hipercze"/>
                <w:noProof/>
              </w:rPr>
              <w:t>Zapewnienie bezpieczeństwa energetycznego – cel ogólny</w:t>
            </w:r>
            <w:r w:rsidR="00DD3929">
              <w:rPr>
                <w:noProof/>
                <w:webHidden/>
              </w:rPr>
              <w:tab/>
            </w:r>
            <w:r w:rsidR="00DD3929">
              <w:rPr>
                <w:noProof/>
                <w:webHidden/>
              </w:rPr>
              <w:fldChar w:fldCharType="begin"/>
            </w:r>
            <w:r w:rsidR="00DD3929">
              <w:rPr>
                <w:noProof/>
                <w:webHidden/>
              </w:rPr>
              <w:instrText xml:space="preserve"> PAGEREF _Toc179536963 \h </w:instrText>
            </w:r>
            <w:r w:rsidR="00DD3929">
              <w:rPr>
                <w:noProof/>
                <w:webHidden/>
              </w:rPr>
            </w:r>
            <w:r w:rsidR="00DD3929">
              <w:rPr>
                <w:noProof/>
                <w:webHidden/>
              </w:rPr>
              <w:fldChar w:fldCharType="separate"/>
            </w:r>
            <w:r w:rsidR="00103318">
              <w:rPr>
                <w:noProof/>
                <w:webHidden/>
              </w:rPr>
              <w:t>83</w:t>
            </w:r>
            <w:r w:rsidR="00DD3929">
              <w:rPr>
                <w:noProof/>
                <w:webHidden/>
              </w:rPr>
              <w:fldChar w:fldCharType="end"/>
            </w:r>
          </w:hyperlink>
        </w:p>
        <w:p w14:paraId="715E3CD3" w14:textId="564E01E0" w:rsidR="00DD3929" w:rsidRDefault="00000000">
          <w:pPr>
            <w:pStyle w:val="Spistreci4"/>
            <w:rPr>
              <w:rFonts w:asciiTheme="minorHAnsi" w:eastAsiaTheme="minorEastAsia" w:hAnsiTheme="minorHAnsi"/>
              <w:noProof/>
              <w:sz w:val="24"/>
              <w:szCs w:val="24"/>
              <w:lang w:eastAsia="pl-PL"/>
            </w:rPr>
          </w:pPr>
          <w:hyperlink w:anchor="_Toc179536964" w:history="1">
            <w:r w:rsidR="00DD3929" w:rsidRPr="009D3A92">
              <w:rPr>
                <w:rStyle w:val="Hipercze"/>
                <w:noProof/>
              </w:rPr>
              <w:t>Cel. 3.1.1.</w:t>
            </w:r>
            <w:r w:rsidR="00DD3929">
              <w:rPr>
                <w:rFonts w:asciiTheme="minorHAnsi" w:eastAsiaTheme="minorEastAsia" w:hAnsiTheme="minorHAnsi"/>
                <w:noProof/>
                <w:sz w:val="24"/>
                <w:szCs w:val="24"/>
                <w:lang w:eastAsia="pl-PL"/>
              </w:rPr>
              <w:tab/>
            </w:r>
            <w:r w:rsidR="00DD3929" w:rsidRPr="009D3A92">
              <w:rPr>
                <w:rStyle w:val="Hipercze"/>
                <w:noProof/>
              </w:rPr>
              <w:t>Zapewnienie suwerenności energetycznej</w:t>
            </w:r>
            <w:r w:rsidR="00DD3929">
              <w:rPr>
                <w:noProof/>
                <w:webHidden/>
              </w:rPr>
              <w:tab/>
            </w:r>
            <w:r w:rsidR="00DD3929">
              <w:rPr>
                <w:noProof/>
                <w:webHidden/>
              </w:rPr>
              <w:fldChar w:fldCharType="begin"/>
            </w:r>
            <w:r w:rsidR="00DD3929">
              <w:rPr>
                <w:noProof/>
                <w:webHidden/>
              </w:rPr>
              <w:instrText xml:space="preserve"> PAGEREF _Toc179536964 \h </w:instrText>
            </w:r>
            <w:r w:rsidR="00DD3929">
              <w:rPr>
                <w:noProof/>
                <w:webHidden/>
              </w:rPr>
            </w:r>
            <w:r w:rsidR="00DD3929">
              <w:rPr>
                <w:noProof/>
                <w:webHidden/>
              </w:rPr>
              <w:fldChar w:fldCharType="separate"/>
            </w:r>
            <w:r w:rsidR="00103318">
              <w:rPr>
                <w:noProof/>
                <w:webHidden/>
              </w:rPr>
              <w:t>83</w:t>
            </w:r>
            <w:r w:rsidR="00DD3929">
              <w:rPr>
                <w:noProof/>
                <w:webHidden/>
              </w:rPr>
              <w:fldChar w:fldCharType="end"/>
            </w:r>
          </w:hyperlink>
        </w:p>
        <w:p w14:paraId="475071D3" w14:textId="3B84B6BE" w:rsidR="00DD3929" w:rsidRDefault="00000000">
          <w:pPr>
            <w:pStyle w:val="Spistreci4"/>
            <w:rPr>
              <w:rFonts w:asciiTheme="minorHAnsi" w:eastAsiaTheme="minorEastAsia" w:hAnsiTheme="minorHAnsi"/>
              <w:noProof/>
              <w:sz w:val="24"/>
              <w:szCs w:val="24"/>
              <w:lang w:eastAsia="pl-PL"/>
            </w:rPr>
          </w:pPr>
          <w:hyperlink w:anchor="_Toc179536965" w:history="1">
            <w:r w:rsidR="00DD3929" w:rsidRPr="009D3A92">
              <w:rPr>
                <w:rStyle w:val="Hipercze"/>
                <w:noProof/>
              </w:rPr>
              <w:t>Cel. 3.1.2.</w:t>
            </w:r>
            <w:r w:rsidR="00DD3929">
              <w:rPr>
                <w:rFonts w:asciiTheme="minorHAnsi" w:eastAsiaTheme="minorEastAsia" w:hAnsiTheme="minorHAnsi"/>
                <w:noProof/>
                <w:sz w:val="24"/>
                <w:szCs w:val="24"/>
                <w:lang w:eastAsia="pl-PL"/>
              </w:rPr>
              <w:tab/>
            </w:r>
            <w:r w:rsidR="00DD3929" w:rsidRPr="009D3A92">
              <w:rPr>
                <w:rStyle w:val="Hipercze"/>
                <w:noProof/>
              </w:rPr>
              <w:t>Perspektywiczne pokrywanie zapotrzebowania na surowce krytyczne</w:t>
            </w:r>
            <w:r w:rsidR="00DD3929">
              <w:rPr>
                <w:noProof/>
                <w:webHidden/>
              </w:rPr>
              <w:tab/>
            </w:r>
            <w:r w:rsidR="00DD3929">
              <w:rPr>
                <w:noProof/>
                <w:webHidden/>
              </w:rPr>
              <w:fldChar w:fldCharType="begin"/>
            </w:r>
            <w:r w:rsidR="00DD3929">
              <w:rPr>
                <w:noProof/>
                <w:webHidden/>
              </w:rPr>
              <w:instrText xml:space="preserve"> PAGEREF _Toc179536965 \h </w:instrText>
            </w:r>
            <w:r w:rsidR="00DD3929">
              <w:rPr>
                <w:noProof/>
                <w:webHidden/>
              </w:rPr>
            </w:r>
            <w:r w:rsidR="00DD3929">
              <w:rPr>
                <w:noProof/>
                <w:webHidden/>
              </w:rPr>
              <w:fldChar w:fldCharType="separate"/>
            </w:r>
            <w:r w:rsidR="00103318">
              <w:rPr>
                <w:noProof/>
                <w:webHidden/>
              </w:rPr>
              <w:t>84</w:t>
            </w:r>
            <w:r w:rsidR="00DD3929">
              <w:rPr>
                <w:noProof/>
                <w:webHidden/>
              </w:rPr>
              <w:fldChar w:fldCharType="end"/>
            </w:r>
          </w:hyperlink>
        </w:p>
        <w:p w14:paraId="742B7933" w14:textId="25627A2B" w:rsidR="00DD3929" w:rsidRDefault="00000000">
          <w:pPr>
            <w:pStyle w:val="Spistreci3"/>
            <w:rPr>
              <w:rFonts w:asciiTheme="minorHAnsi" w:eastAsiaTheme="minorEastAsia" w:hAnsiTheme="minorHAnsi"/>
              <w:noProof/>
              <w:sz w:val="24"/>
              <w:szCs w:val="24"/>
              <w:lang w:eastAsia="pl-PL"/>
            </w:rPr>
          </w:pPr>
          <w:hyperlink w:anchor="_Toc179536966" w:history="1">
            <w:r w:rsidR="00DD3929" w:rsidRPr="009D3A92">
              <w:rPr>
                <w:rStyle w:val="Hipercze"/>
                <w:noProof/>
              </w:rPr>
              <w:t>Obszar 3.2.</w:t>
            </w:r>
            <w:r w:rsidR="00DD3929">
              <w:rPr>
                <w:rFonts w:asciiTheme="minorHAnsi" w:eastAsiaTheme="minorEastAsia" w:hAnsiTheme="minorHAnsi"/>
                <w:noProof/>
                <w:sz w:val="24"/>
                <w:szCs w:val="24"/>
                <w:lang w:eastAsia="pl-PL"/>
              </w:rPr>
              <w:tab/>
            </w:r>
            <w:r w:rsidR="00DD3929" w:rsidRPr="009D3A92">
              <w:rPr>
                <w:rStyle w:val="Hipercze"/>
                <w:noProof/>
              </w:rPr>
              <w:t>Pokrycie zapotrzebowania na węgiel kamienny</w:t>
            </w:r>
            <w:r w:rsidR="00DD3929">
              <w:rPr>
                <w:noProof/>
                <w:webHidden/>
              </w:rPr>
              <w:tab/>
            </w:r>
            <w:r w:rsidR="00DD3929">
              <w:rPr>
                <w:noProof/>
                <w:webHidden/>
              </w:rPr>
              <w:fldChar w:fldCharType="begin"/>
            </w:r>
            <w:r w:rsidR="00DD3929">
              <w:rPr>
                <w:noProof/>
                <w:webHidden/>
              </w:rPr>
              <w:instrText xml:space="preserve"> PAGEREF _Toc179536966 \h </w:instrText>
            </w:r>
            <w:r w:rsidR="00DD3929">
              <w:rPr>
                <w:noProof/>
                <w:webHidden/>
              </w:rPr>
            </w:r>
            <w:r w:rsidR="00DD3929">
              <w:rPr>
                <w:noProof/>
                <w:webHidden/>
              </w:rPr>
              <w:fldChar w:fldCharType="separate"/>
            </w:r>
            <w:r w:rsidR="00103318">
              <w:rPr>
                <w:noProof/>
                <w:webHidden/>
              </w:rPr>
              <w:t>86</w:t>
            </w:r>
            <w:r w:rsidR="00DD3929">
              <w:rPr>
                <w:noProof/>
                <w:webHidden/>
              </w:rPr>
              <w:fldChar w:fldCharType="end"/>
            </w:r>
          </w:hyperlink>
        </w:p>
        <w:p w14:paraId="42D599A8" w14:textId="260BE9BF" w:rsidR="00DD3929" w:rsidRDefault="00000000">
          <w:pPr>
            <w:pStyle w:val="Spistreci4"/>
            <w:rPr>
              <w:rFonts w:asciiTheme="minorHAnsi" w:eastAsiaTheme="minorEastAsia" w:hAnsiTheme="minorHAnsi"/>
              <w:noProof/>
              <w:sz w:val="24"/>
              <w:szCs w:val="24"/>
              <w:lang w:eastAsia="pl-PL"/>
            </w:rPr>
          </w:pPr>
          <w:hyperlink w:anchor="_Toc179536967" w:history="1">
            <w:r w:rsidR="00DD3929" w:rsidRPr="009D3A92">
              <w:rPr>
                <w:rStyle w:val="Hipercze"/>
                <w:noProof/>
              </w:rPr>
              <w:t>Cel. 3.2.1.</w:t>
            </w:r>
            <w:r w:rsidR="00DD3929">
              <w:rPr>
                <w:rFonts w:asciiTheme="minorHAnsi" w:eastAsiaTheme="minorEastAsia" w:hAnsiTheme="minorHAnsi"/>
                <w:noProof/>
                <w:sz w:val="24"/>
                <w:szCs w:val="24"/>
                <w:lang w:eastAsia="pl-PL"/>
              </w:rPr>
              <w:tab/>
            </w:r>
            <w:r w:rsidR="00DD3929" w:rsidRPr="009D3A92">
              <w:rPr>
                <w:rStyle w:val="Hipercze"/>
                <w:noProof/>
              </w:rPr>
              <w:t>Zapewnienie pokrycia popytu na węgiel kamienny krajowym surowcem</w:t>
            </w:r>
            <w:r w:rsidR="00DD3929">
              <w:rPr>
                <w:noProof/>
                <w:webHidden/>
              </w:rPr>
              <w:tab/>
            </w:r>
            <w:r w:rsidR="00DD3929">
              <w:rPr>
                <w:noProof/>
                <w:webHidden/>
              </w:rPr>
              <w:fldChar w:fldCharType="begin"/>
            </w:r>
            <w:r w:rsidR="00DD3929">
              <w:rPr>
                <w:noProof/>
                <w:webHidden/>
              </w:rPr>
              <w:instrText xml:space="preserve"> PAGEREF _Toc179536967 \h </w:instrText>
            </w:r>
            <w:r w:rsidR="00DD3929">
              <w:rPr>
                <w:noProof/>
                <w:webHidden/>
              </w:rPr>
            </w:r>
            <w:r w:rsidR="00DD3929">
              <w:rPr>
                <w:noProof/>
                <w:webHidden/>
              </w:rPr>
              <w:fldChar w:fldCharType="separate"/>
            </w:r>
            <w:r w:rsidR="00103318">
              <w:rPr>
                <w:noProof/>
                <w:webHidden/>
              </w:rPr>
              <w:t>86</w:t>
            </w:r>
            <w:r w:rsidR="00DD3929">
              <w:rPr>
                <w:noProof/>
                <w:webHidden/>
              </w:rPr>
              <w:fldChar w:fldCharType="end"/>
            </w:r>
          </w:hyperlink>
        </w:p>
        <w:p w14:paraId="17748CE3" w14:textId="05F5CE63" w:rsidR="00DD3929" w:rsidRDefault="00000000">
          <w:pPr>
            <w:pStyle w:val="Spistreci3"/>
            <w:rPr>
              <w:rFonts w:asciiTheme="minorHAnsi" w:eastAsiaTheme="minorEastAsia" w:hAnsiTheme="minorHAnsi"/>
              <w:noProof/>
              <w:sz w:val="24"/>
              <w:szCs w:val="24"/>
              <w:lang w:eastAsia="pl-PL"/>
            </w:rPr>
          </w:pPr>
          <w:hyperlink w:anchor="_Toc179536968" w:history="1">
            <w:r w:rsidR="00DD3929" w:rsidRPr="009D3A92">
              <w:rPr>
                <w:rStyle w:val="Hipercze"/>
                <w:noProof/>
              </w:rPr>
              <w:t>Obszar 3.3.</w:t>
            </w:r>
            <w:r w:rsidR="00DD3929">
              <w:rPr>
                <w:rFonts w:asciiTheme="minorHAnsi" w:eastAsiaTheme="minorEastAsia" w:hAnsiTheme="minorHAnsi"/>
                <w:noProof/>
                <w:sz w:val="24"/>
                <w:szCs w:val="24"/>
                <w:lang w:eastAsia="pl-PL"/>
              </w:rPr>
              <w:tab/>
            </w:r>
            <w:r w:rsidR="00DD3929" w:rsidRPr="009D3A92">
              <w:rPr>
                <w:rStyle w:val="Hipercze"/>
                <w:noProof/>
              </w:rPr>
              <w:t>Pokrycie zapotrzebowania na gaz ziemny</w:t>
            </w:r>
            <w:r w:rsidR="00DD3929">
              <w:rPr>
                <w:noProof/>
                <w:webHidden/>
              </w:rPr>
              <w:tab/>
            </w:r>
            <w:r w:rsidR="00DD3929">
              <w:rPr>
                <w:noProof/>
                <w:webHidden/>
              </w:rPr>
              <w:fldChar w:fldCharType="begin"/>
            </w:r>
            <w:r w:rsidR="00DD3929">
              <w:rPr>
                <w:noProof/>
                <w:webHidden/>
              </w:rPr>
              <w:instrText xml:space="preserve"> PAGEREF _Toc179536968 \h </w:instrText>
            </w:r>
            <w:r w:rsidR="00DD3929">
              <w:rPr>
                <w:noProof/>
                <w:webHidden/>
              </w:rPr>
            </w:r>
            <w:r w:rsidR="00DD3929">
              <w:rPr>
                <w:noProof/>
                <w:webHidden/>
              </w:rPr>
              <w:fldChar w:fldCharType="separate"/>
            </w:r>
            <w:r w:rsidR="00103318">
              <w:rPr>
                <w:noProof/>
                <w:webHidden/>
              </w:rPr>
              <w:t>88</w:t>
            </w:r>
            <w:r w:rsidR="00DD3929">
              <w:rPr>
                <w:noProof/>
                <w:webHidden/>
              </w:rPr>
              <w:fldChar w:fldCharType="end"/>
            </w:r>
          </w:hyperlink>
        </w:p>
        <w:p w14:paraId="6D4DA58C" w14:textId="495C8E27" w:rsidR="00DD3929" w:rsidRDefault="00000000">
          <w:pPr>
            <w:pStyle w:val="Spistreci4"/>
            <w:rPr>
              <w:rFonts w:asciiTheme="minorHAnsi" w:eastAsiaTheme="minorEastAsia" w:hAnsiTheme="minorHAnsi"/>
              <w:noProof/>
              <w:sz w:val="24"/>
              <w:szCs w:val="24"/>
              <w:lang w:eastAsia="pl-PL"/>
            </w:rPr>
          </w:pPr>
          <w:hyperlink w:anchor="_Toc179536969" w:history="1">
            <w:r w:rsidR="00DD3929" w:rsidRPr="009D3A92">
              <w:rPr>
                <w:rStyle w:val="Hipercze"/>
                <w:noProof/>
              </w:rPr>
              <w:t>Cel. 3.3.1.</w:t>
            </w:r>
            <w:r w:rsidR="00DD3929">
              <w:rPr>
                <w:rFonts w:asciiTheme="minorHAnsi" w:eastAsiaTheme="minorEastAsia" w:hAnsiTheme="minorHAnsi"/>
                <w:noProof/>
                <w:sz w:val="24"/>
                <w:szCs w:val="24"/>
                <w:lang w:eastAsia="pl-PL"/>
              </w:rPr>
              <w:tab/>
            </w:r>
            <w:r w:rsidR="00DD3929" w:rsidRPr="009D3A92">
              <w:rPr>
                <w:rStyle w:val="Hipercze"/>
                <w:noProof/>
              </w:rPr>
              <w:t>Dywersyfikacja dostaw (importu) gazu ziemnego</w:t>
            </w:r>
            <w:r w:rsidR="00DD3929">
              <w:rPr>
                <w:noProof/>
                <w:webHidden/>
              </w:rPr>
              <w:tab/>
            </w:r>
            <w:r w:rsidR="00DD3929">
              <w:rPr>
                <w:noProof/>
                <w:webHidden/>
              </w:rPr>
              <w:fldChar w:fldCharType="begin"/>
            </w:r>
            <w:r w:rsidR="00DD3929">
              <w:rPr>
                <w:noProof/>
                <w:webHidden/>
              </w:rPr>
              <w:instrText xml:space="preserve"> PAGEREF _Toc179536969 \h </w:instrText>
            </w:r>
            <w:r w:rsidR="00DD3929">
              <w:rPr>
                <w:noProof/>
                <w:webHidden/>
              </w:rPr>
            </w:r>
            <w:r w:rsidR="00DD3929">
              <w:rPr>
                <w:noProof/>
                <w:webHidden/>
              </w:rPr>
              <w:fldChar w:fldCharType="separate"/>
            </w:r>
            <w:r w:rsidR="00103318">
              <w:rPr>
                <w:noProof/>
                <w:webHidden/>
              </w:rPr>
              <w:t>88</w:t>
            </w:r>
            <w:r w:rsidR="00DD3929">
              <w:rPr>
                <w:noProof/>
                <w:webHidden/>
              </w:rPr>
              <w:fldChar w:fldCharType="end"/>
            </w:r>
          </w:hyperlink>
        </w:p>
        <w:p w14:paraId="56D4D7D4" w14:textId="6C54980D" w:rsidR="00DD3929" w:rsidRDefault="00000000">
          <w:pPr>
            <w:pStyle w:val="Spistreci4"/>
            <w:rPr>
              <w:rFonts w:asciiTheme="minorHAnsi" w:eastAsiaTheme="minorEastAsia" w:hAnsiTheme="minorHAnsi"/>
              <w:noProof/>
              <w:sz w:val="24"/>
              <w:szCs w:val="24"/>
              <w:lang w:eastAsia="pl-PL"/>
            </w:rPr>
          </w:pPr>
          <w:hyperlink w:anchor="_Toc179536970" w:history="1">
            <w:r w:rsidR="00DD3929" w:rsidRPr="009D3A92">
              <w:rPr>
                <w:rStyle w:val="Hipercze"/>
                <w:noProof/>
              </w:rPr>
              <w:t>Cel. 3.3.2.</w:t>
            </w:r>
            <w:r w:rsidR="00DD3929">
              <w:rPr>
                <w:rFonts w:asciiTheme="minorHAnsi" w:eastAsiaTheme="minorEastAsia" w:hAnsiTheme="minorHAnsi"/>
                <w:noProof/>
                <w:sz w:val="24"/>
                <w:szCs w:val="24"/>
                <w:lang w:eastAsia="pl-PL"/>
              </w:rPr>
              <w:tab/>
            </w:r>
            <w:r w:rsidR="00DD3929" w:rsidRPr="009D3A92">
              <w:rPr>
                <w:rStyle w:val="Hipercze"/>
                <w:noProof/>
              </w:rPr>
              <w:t>Utrzymanie krajowego poziomu wydobycia gazu ziemnego</w:t>
            </w:r>
            <w:r w:rsidR="00DD3929">
              <w:rPr>
                <w:noProof/>
                <w:webHidden/>
              </w:rPr>
              <w:tab/>
            </w:r>
            <w:r w:rsidR="00DD3929">
              <w:rPr>
                <w:noProof/>
                <w:webHidden/>
              </w:rPr>
              <w:fldChar w:fldCharType="begin"/>
            </w:r>
            <w:r w:rsidR="00DD3929">
              <w:rPr>
                <w:noProof/>
                <w:webHidden/>
              </w:rPr>
              <w:instrText xml:space="preserve"> PAGEREF _Toc179536970 \h </w:instrText>
            </w:r>
            <w:r w:rsidR="00DD3929">
              <w:rPr>
                <w:noProof/>
                <w:webHidden/>
              </w:rPr>
            </w:r>
            <w:r w:rsidR="00DD3929">
              <w:rPr>
                <w:noProof/>
                <w:webHidden/>
              </w:rPr>
              <w:fldChar w:fldCharType="separate"/>
            </w:r>
            <w:r w:rsidR="00103318">
              <w:rPr>
                <w:noProof/>
                <w:webHidden/>
              </w:rPr>
              <w:t>89</w:t>
            </w:r>
            <w:r w:rsidR="00DD3929">
              <w:rPr>
                <w:noProof/>
                <w:webHidden/>
              </w:rPr>
              <w:fldChar w:fldCharType="end"/>
            </w:r>
          </w:hyperlink>
        </w:p>
        <w:p w14:paraId="3E68D67A" w14:textId="4E6ED4B5" w:rsidR="00DD3929" w:rsidRDefault="00000000">
          <w:pPr>
            <w:pStyle w:val="Spistreci4"/>
            <w:rPr>
              <w:rFonts w:asciiTheme="minorHAnsi" w:eastAsiaTheme="minorEastAsia" w:hAnsiTheme="minorHAnsi"/>
              <w:noProof/>
              <w:sz w:val="24"/>
              <w:szCs w:val="24"/>
              <w:lang w:eastAsia="pl-PL"/>
            </w:rPr>
          </w:pPr>
          <w:hyperlink w:anchor="_Toc179536971" w:history="1">
            <w:r w:rsidR="00DD3929" w:rsidRPr="009D3A92">
              <w:rPr>
                <w:rStyle w:val="Hipercze"/>
                <w:noProof/>
              </w:rPr>
              <w:t>Cel. 3.3.3.</w:t>
            </w:r>
            <w:r w:rsidR="00DD3929">
              <w:rPr>
                <w:rFonts w:asciiTheme="minorHAnsi" w:eastAsiaTheme="minorEastAsia" w:hAnsiTheme="minorHAnsi"/>
                <w:noProof/>
                <w:sz w:val="24"/>
                <w:szCs w:val="24"/>
                <w:lang w:eastAsia="pl-PL"/>
              </w:rPr>
              <w:tab/>
            </w:r>
            <w:r w:rsidR="00DD3929" w:rsidRPr="009D3A92">
              <w:rPr>
                <w:rStyle w:val="Hipercze"/>
                <w:noProof/>
              </w:rPr>
              <w:t>Zapewnienie odpowiedniego stanu i rozwoju infrastruktury przesyłu, magazynowania i dystrybucji gazu ziemnego</w:t>
            </w:r>
            <w:r w:rsidR="00DD3929">
              <w:rPr>
                <w:noProof/>
                <w:webHidden/>
              </w:rPr>
              <w:tab/>
            </w:r>
            <w:r w:rsidR="00DD3929">
              <w:rPr>
                <w:noProof/>
                <w:webHidden/>
              </w:rPr>
              <w:fldChar w:fldCharType="begin"/>
            </w:r>
            <w:r w:rsidR="00DD3929">
              <w:rPr>
                <w:noProof/>
                <w:webHidden/>
              </w:rPr>
              <w:instrText xml:space="preserve"> PAGEREF _Toc179536971 \h </w:instrText>
            </w:r>
            <w:r w:rsidR="00DD3929">
              <w:rPr>
                <w:noProof/>
                <w:webHidden/>
              </w:rPr>
            </w:r>
            <w:r w:rsidR="00DD3929">
              <w:rPr>
                <w:noProof/>
                <w:webHidden/>
              </w:rPr>
              <w:fldChar w:fldCharType="separate"/>
            </w:r>
            <w:r w:rsidR="00103318">
              <w:rPr>
                <w:noProof/>
                <w:webHidden/>
              </w:rPr>
              <w:t>90</w:t>
            </w:r>
            <w:r w:rsidR="00DD3929">
              <w:rPr>
                <w:noProof/>
                <w:webHidden/>
              </w:rPr>
              <w:fldChar w:fldCharType="end"/>
            </w:r>
          </w:hyperlink>
        </w:p>
        <w:p w14:paraId="56F8E6D4" w14:textId="26823FFF" w:rsidR="00DD3929" w:rsidRDefault="00000000">
          <w:pPr>
            <w:pStyle w:val="Spistreci4"/>
            <w:rPr>
              <w:rFonts w:asciiTheme="minorHAnsi" w:eastAsiaTheme="minorEastAsia" w:hAnsiTheme="minorHAnsi"/>
              <w:noProof/>
              <w:sz w:val="24"/>
              <w:szCs w:val="24"/>
              <w:lang w:eastAsia="pl-PL"/>
            </w:rPr>
          </w:pPr>
          <w:hyperlink w:anchor="_Toc179536972" w:history="1">
            <w:r w:rsidR="00DD3929" w:rsidRPr="009D3A92">
              <w:rPr>
                <w:rStyle w:val="Hipercze"/>
                <w:noProof/>
              </w:rPr>
              <w:t>Cel. 3.3.4.</w:t>
            </w:r>
            <w:r w:rsidR="00DD3929">
              <w:rPr>
                <w:rFonts w:asciiTheme="minorHAnsi" w:eastAsiaTheme="minorEastAsia" w:hAnsiTheme="minorHAnsi"/>
                <w:noProof/>
                <w:sz w:val="24"/>
                <w:szCs w:val="24"/>
                <w:lang w:eastAsia="pl-PL"/>
              </w:rPr>
              <w:tab/>
            </w:r>
            <w:r w:rsidR="00DD3929" w:rsidRPr="009D3A92">
              <w:rPr>
                <w:rStyle w:val="Hipercze"/>
                <w:noProof/>
              </w:rPr>
              <w:t>Zapewnienie gotowości do radzenia sobie z ograniczeniami w dostawach gazu ziemnego</w:t>
            </w:r>
            <w:r w:rsidR="00DD3929">
              <w:rPr>
                <w:noProof/>
                <w:webHidden/>
              </w:rPr>
              <w:tab/>
            </w:r>
            <w:r w:rsidR="00DD3929">
              <w:rPr>
                <w:noProof/>
                <w:webHidden/>
              </w:rPr>
              <w:fldChar w:fldCharType="begin"/>
            </w:r>
            <w:r w:rsidR="00DD3929">
              <w:rPr>
                <w:noProof/>
                <w:webHidden/>
              </w:rPr>
              <w:instrText xml:space="preserve"> PAGEREF _Toc179536972 \h </w:instrText>
            </w:r>
            <w:r w:rsidR="00DD3929">
              <w:rPr>
                <w:noProof/>
                <w:webHidden/>
              </w:rPr>
            </w:r>
            <w:r w:rsidR="00DD3929">
              <w:rPr>
                <w:noProof/>
                <w:webHidden/>
              </w:rPr>
              <w:fldChar w:fldCharType="separate"/>
            </w:r>
            <w:r w:rsidR="00103318">
              <w:rPr>
                <w:noProof/>
                <w:webHidden/>
              </w:rPr>
              <w:t>91</w:t>
            </w:r>
            <w:r w:rsidR="00DD3929">
              <w:rPr>
                <w:noProof/>
                <w:webHidden/>
              </w:rPr>
              <w:fldChar w:fldCharType="end"/>
            </w:r>
          </w:hyperlink>
        </w:p>
        <w:p w14:paraId="25BC2B0F" w14:textId="187E922F" w:rsidR="00DD3929" w:rsidRDefault="00000000">
          <w:pPr>
            <w:pStyle w:val="Spistreci3"/>
            <w:rPr>
              <w:rFonts w:asciiTheme="minorHAnsi" w:eastAsiaTheme="minorEastAsia" w:hAnsiTheme="minorHAnsi"/>
              <w:noProof/>
              <w:sz w:val="24"/>
              <w:szCs w:val="24"/>
              <w:lang w:eastAsia="pl-PL"/>
            </w:rPr>
          </w:pPr>
          <w:hyperlink w:anchor="_Toc179536973" w:history="1">
            <w:r w:rsidR="00DD3929" w:rsidRPr="009D3A92">
              <w:rPr>
                <w:rStyle w:val="Hipercze"/>
                <w:noProof/>
              </w:rPr>
              <w:t>Obszar 3.4.</w:t>
            </w:r>
            <w:r w:rsidR="00DD3929">
              <w:rPr>
                <w:rFonts w:asciiTheme="minorHAnsi" w:eastAsiaTheme="minorEastAsia" w:hAnsiTheme="minorHAnsi"/>
                <w:noProof/>
                <w:sz w:val="24"/>
                <w:szCs w:val="24"/>
                <w:lang w:eastAsia="pl-PL"/>
              </w:rPr>
              <w:tab/>
            </w:r>
            <w:r w:rsidR="00DD3929" w:rsidRPr="009D3A92">
              <w:rPr>
                <w:rStyle w:val="Hipercze"/>
                <w:noProof/>
              </w:rPr>
              <w:t>Pokrycie zapotrzebowania na ropę naftową i paliwa ciekłe</w:t>
            </w:r>
            <w:r w:rsidR="00DD3929">
              <w:rPr>
                <w:noProof/>
                <w:webHidden/>
              </w:rPr>
              <w:tab/>
            </w:r>
            <w:r w:rsidR="00DD3929">
              <w:rPr>
                <w:noProof/>
                <w:webHidden/>
              </w:rPr>
              <w:fldChar w:fldCharType="begin"/>
            </w:r>
            <w:r w:rsidR="00DD3929">
              <w:rPr>
                <w:noProof/>
                <w:webHidden/>
              </w:rPr>
              <w:instrText xml:space="preserve"> PAGEREF _Toc179536973 \h </w:instrText>
            </w:r>
            <w:r w:rsidR="00DD3929">
              <w:rPr>
                <w:noProof/>
                <w:webHidden/>
              </w:rPr>
            </w:r>
            <w:r w:rsidR="00DD3929">
              <w:rPr>
                <w:noProof/>
                <w:webHidden/>
              </w:rPr>
              <w:fldChar w:fldCharType="separate"/>
            </w:r>
            <w:r w:rsidR="00103318">
              <w:rPr>
                <w:noProof/>
                <w:webHidden/>
              </w:rPr>
              <w:t>93</w:t>
            </w:r>
            <w:r w:rsidR="00DD3929">
              <w:rPr>
                <w:noProof/>
                <w:webHidden/>
              </w:rPr>
              <w:fldChar w:fldCharType="end"/>
            </w:r>
          </w:hyperlink>
        </w:p>
        <w:p w14:paraId="3ECCA256" w14:textId="671019EA" w:rsidR="00DD3929" w:rsidRDefault="00000000">
          <w:pPr>
            <w:pStyle w:val="Spistreci4"/>
            <w:rPr>
              <w:rFonts w:asciiTheme="minorHAnsi" w:eastAsiaTheme="minorEastAsia" w:hAnsiTheme="minorHAnsi"/>
              <w:noProof/>
              <w:sz w:val="24"/>
              <w:szCs w:val="24"/>
              <w:lang w:eastAsia="pl-PL"/>
            </w:rPr>
          </w:pPr>
          <w:hyperlink w:anchor="_Toc179536974" w:history="1">
            <w:r w:rsidR="00DD3929" w:rsidRPr="009D3A92">
              <w:rPr>
                <w:rStyle w:val="Hipercze"/>
                <w:noProof/>
              </w:rPr>
              <w:t>Cel. 3.4.1.</w:t>
            </w:r>
            <w:r w:rsidR="00DD3929">
              <w:rPr>
                <w:rFonts w:asciiTheme="minorHAnsi" w:eastAsiaTheme="minorEastAsia" w:hAnsiTheme="minorHAnsi"/>
                <w:noProof/>
                <w:sz w:val="24"/>
                <w:szCs w:val="24"/>
                <w:lang w:eastAsia="pl-PL"/>
              </w:rPr>
              <w:tab/>
            </w:r>
            <w:r w:rsidR="00DD3929" w:rsidRPr="009D3A92">
              <w:rPr>
                <w:rStyle w:val="Hipercze"/>
                <w:noProof/>
              </w:rPr>
              <w:t>Dywersyfikacja dostaw (importu) ropy naftowej</w:t>
            </w:r>
            <w:r w:rsidR="00DD3929">
              <w:rPr>
                <w:noProof/>
                <w:webHidden/>
              </w:rPr>
              <w:tab/>
            </w:r>
            <w:r w:rsidR="00DD3929">
              <w:rPr>
                <w:noProof/>
                <w:webHidden/>
              </w:rPr>
              <w:fldChar w:fldCharType="begin"/>
            </w:r>
            <w:r w:rsidR="00DD3929">
              <w:rPr>
                <w:noProof/>
                <w:webHidden/>
              </w:rPr>
              <w:instrText xml:space="preserve"> PAGEREF _Toc179536974 \h </w:instrText>
            </w:r>
            <w:r w:rsidR="00DD3929">
              <w:rPr>
                <w:noProof/>
                <w:webHidden/>
              </w:rPr>
            </w:r>
            <w:r w:rsidR="00DD3929">
              <w:rPr>
                <w:noProof/>
                <w:webHidden/>
              </w:rPr>
              <w:fldChar w:fldCharType="separate"/>
            </w:r>
            <w:r w:rsidR="00103318">
              <w:rPr>
                <w:noProof/>
                <w:webHidden/>
              </w:rPr>
              <w:t>93</w:t>
            </w:r>
            <w:r w:rsidR="00DD3929">
              <w:rPr>
                <w:noProof/>
                <w:webHidden/>
              </w:rPr>
              <w:fldChar w:fldCharType="end"/>
            </w:r>
          </w:hyperlink>
        </w:p>
        <w:p w14:paraId="4B7C8672" w14:textId="58F3C631" w:rsidR="00DD3929" w:rsidRDefault="00000000">
          <w:pPr>
            <w:pStyle w:val="Spistreci3"/>
            <w:rPr>
              <w:rFonts w:asciiTheme="minorHAnsi" w:eastAsiaTheme="minorEastAsia" w:hAnsiTheme="minorHAnsi"/>
              <w:noProof/>
              <w:sz w:val="24"/>
              <w:szCs w:val="24"/>
              <w:lang w:eastAsia="pl-PL"/>
            </w:rPr>
          </w:pPr>
          <w:hyperlink w:anchor="_Toc179536975" w:history="1">
            <w:r w:rsidR="00DD3929" w:rsidRPr="009D3A92">
              <w:rPr>
                <w:rStyle w:val="Hipercze"/>
                <w:noProof/>
              </w:rPr>
              <w:t>Obszar 3.5.</w:t>
            </w:r>
            <w:r w:rsidR="00DD3929">
              <w:rPr>
                <w:rFonts w:asciiTheme="minorHAnsi" w:eastAsiaTheme="minorEastAsia" w:hAnsiTheme="minorHAnsi"/>
                <w:noProof/>
                <w:sz w:val="24"/>
                <w:szCs w:val="24"/>
                <w:lang w:eastAsia="pl-PL"/>
              </w:rPr>
              <w:tab/>
            </w:r>
            <w:r w:rsidR="00DD3929" w:rsidRPr="009D3A92">
              <w:rPr>
                <w:rStyle w:val="Hipercze"/>
                <w:noProof/>
              </w:rPr>
              <w:t>Perspektywiczne pokrycie zapotrzebowania na paliwo jądrowe</w:t>
            </w:r>
            <w:r w:rsidR="00DD3929">
              <w:rPr>
                <w:noProof/>
                <w:webHidden/>
              </w:rPr>
              <w:tab/>
            </w:r>
            <w:r w:rsidR="00DD3929">
              <w:rPr>
                <w:noProof/>
                <w:webHidden/>
              </w:rPr>
              <w:fldChar w:fldCharType="begin"/>
            </w:r>
            <w:r w:rsidR="00DD3929">
              <w:rPr>
                <w:noProof/>
                <w:webHidden/>
              </w:rPr>
              <w:instrText xml:space="preserve"> PAGEREF _Toc179536975 \h </w:instrText>
            </w:r>
            <w:r w:rsidR="00DD3929">
              <w:rPr>
                <w:noProof/>
                <w:webHidden/>
              </w:rPr>
            </w:r>
            <w:r w:rsidR="00DD3929">
              <w:rPr>
                <w:noProof/>
                <w:webHidden/>
              </w:rPr>
              <w:fldChar w:fldCharType="separate"/>
            </w:r>
            <w:r w:rsidR="00103318">
              <w:rPr>
                <w:noProof/>
                <w:webHidden/>
              </w:rPr>
              <w:t>94</w:t>
            </w:r>
            <w:r w:rsidR="00DD3929">
              <w:rPr>
                <w:noProof/>
                <w:webHidden/>
              </w:rPr>
              <w:fldChar w:fldCharType="end"/>
            </w:r>
          </w:hyperlink>
        </w:p>
        <w:p w14:paraId="033EAF04" w14:textId="3761F1CE" w:rsidR="00DD3929" w:rsidRDefault="00000000">
          <w:pPr>
            <w:pStyle w:val="Spistreci4"/>
            <w:rPr>
              <w:rFonts w:asciiTheme="minorHAnsi" w:eastAsiaTheme="minorEastAsia" w:hAnsiTheme="minorHAnsi"/>
              <w:noProof/>
              <w:sz w:val="24"/>
              <w:szCs w:val="24"/>
              <w:lang w:eastAsia="pl-PL"/>
            </w:rPr>
          </w:pPr>
          <w:hyperlink w:anchor="_Toc179536976" w:history="1">
            <w:r w:rsidR="00DD3929" w:rsidRPr="009D3A92">
              <w:rPr>
                <w:rStyle w:val="Hipercze"/>
                <w:noProof/>
              </w:rPr>
              <w:t>Cel. 3.5.1.</w:t>
            </w:r>
            <w:r w:rsidR="00DD3929">
              <w:rPr>
                <w:rFonts w:asciiTheme="minorHAnsi" w:eastAsiaTheme="minorEastAsia" w:hAnsiTheme="minorHAnsi"/>
                <w:noProof/>
                <w:sz w:val="24"/>
                <w:szCs w:val="24"/>
                <w:lang w:eastAsia="pl-PL"/>
              </w:rPr>
              <w:tab/>
            </w:r>
            <w:r w:rsidR="00DD3929" w:rsidRPr="009D3A92">
              <w:rPr>
                <w:rStyle w:val="Hipercze"/>
                <w:noProof/>
              </w:rPr>
              <w:t>Zapewnienie bezpiecznych dostaw (importu) paliwa jądrowego</w:t>
            </w:r>
            <w:r w:rsidR="00DD3929">
              <w:rPr>
                <w:noProof/>
                <w:webHidden/>
              </w:rPr>
              <w:tab/>
            </w:r>
            <w:r w:rsidR="00DD3929">
              <w:rPr>
                <w:noProof/>
                <w:webHidden/>
              </w:rPr>
              <w:fldChar w:fldCharType="begin"/>
            </w:r>
            <w:r w:rsidR="00DD3929">
              <w:rPr>
                <w:noProof/>
                <w:webHidden/>
              </w:rPr>
              <w:instrText xml:space="preserve"> PAGEREF _Toc179536976 \h </w:instrText>
            </w:r>
            <w:r w:rsidR="00DD3929">
              <w:rPr>
                <w:noProof/>
                <w:webHidden/>
              </w:rPr>
            </w:r>
            <w:r w:rsidR="00DD3929">
              <w:rPr>
                <w:noProof/>
                <w:webHidden/>
              </w:rPr>
              <w:fldChar w:fldCharType="separate"/>
            </w:r>
            <w:r w:rsidR="00103318">
              <w:rPr>
                <w:noProof/>
                <w:webHidden/>
              </w:rPr>
              <w:t>95</w:t>
            </w:r>
            <w:r w:rsidR="00DD3929">
              <w:rPr>
                <w:noProof/>
                <w:webHidden/>
              </w:rPr>
              <w:fldChar w:fldCharType="end"/>
            </w:r>
          </w:hyperlink>
        </w:p>
        <w:p w14:paraId="16CCD9A3" w14:textId="7D703E5A" w:rsidR="00DD3929" w:rsidRDefault="00000000">
          <w:pPr>
            <w:pStyle w:val="Spistreci4"/>
            <w:rPr>
              <w:rFonts w:asciiTheme="minorHAnsi" w:eastAsiaTheme="minorEastAsia" w:hAnsiTheme="minorHAnsi"/>
              <w:noProof/>
              <w:sz w:val="24"/>
              <w:szCs w:val="24"/>
              <w:lang w:eastAsia="pl-PL"/>
            </w:rPr>
          </w:pPr>
          <w:hyperlink w:anchor="_Toc179536977" w:history="1">
            <w:r w:rsidR="00DD3929" w:rsidRPr="009D3A92">
              <w:rPr>
                <w:rStyle w:val="Hipercze"/>
                <w:noProof/>
              </w:rPr>
              <w:t>Cel. 3.5.2.</w:t>
            </w:r>
            <w:r w:rsidR="00DD3929">
              <w:rPr>
                <w:rFonts w:asciiTheme="minorHAnsi" w:eastAsiaTheme="minorEastAsia" w:hAnsiTheme="minorHAnsi"/>
                <w:noProof/>
                <w:sz w:val="24"/>
                <w:szCs w:val="24"/>
                <w:lang w:eastAsia="pl-PL"/>
              </w:rPr>
              <w:tab/>
            </w:r>
            <w:r w:rsidR="00DD3929" w:rsidRPr="009D3A92">
              <w:rPr>
                <w:rStyle w:val="Hipercze"/>
                <w:noProof/>
              </w:rPr>
              <w:t>Inwentaryzacja krajowych złóż uranu</w:t>
            </w:r>
            <w:r w:rsidR="00DD3929">
              <w:rPr>
                <w:noProof/>
                <w:webHidden/>
              </w:rPr>
              <w:tab/>
            </w:r>
            <w:r w:rsidR="00DD3929">
              <w:rPr>
                <w:noProof/>
                <w:webHidden/>
              </w:rPr>
              <w:fldChar w:fldCharType="begin"/>
            </w:r>
            <w:r w:rsidR="00DD3929">
              <w:rPr>
                <w:noProof/>
                <w:webHidden/>
              </w:rPr>
              <w:instrText xml:space="preserve"> PAGEREF _Toc179536977 \h </w:instrText>
            </w:r>
            <w:r w:rsidR="00DD3929">
              <w:rPr>
                <w:noProof/>
                <w:webHidden/>
              </w:rPr>
            </w:r>
            <w:r w:rsidR="00DD3929">
              <w:rPr>
                <w:noProof/>
                <w:webHidden/>
              </w:rPr>
              <w:fldChar w:fldCharType="separate"/>
            </w:r>
            <w:r w:rsidR="00103318">
              <w:rPr>
                <w:noProof/>
                <w:webHidden/>
              </w:rPr>
              <w:t>95</w:t>
            </w:r>
            <w:r w:rsidR="00DD3929">
              <w:rPr>
                <w:noProof/>
                <w:webHidden/>
              </w:rPr>
              <w:fldChar w:fldCharType="end"/>
            </w:r>
          </w:hyperlink>
        </w:p>
        <w:p w14:paraId="4BC60A00" w14:textId="74BD4A1A" w:rsidR="00DD3929" w:rsidRDefault="00000000">
          <w:pPr>
            <w:pStyle w:val="Spistreci3"/>
            <w:rPr>
              <w:rFonts w:asciiTheme="minorHAnsi" w:eastAsiaTheme="minorEastAsia" w:hAnsiTheme="minorHAnsi"/>
              <w:noProof/>
              <w:sz w:val="24"/>
              <w:szCs w:val="24"/>
              <w:lang w:eastAsia="pl-PL"/>
            </w:rPr>
          </w:pPr>
          <w:hyperlink w:anchor="_Toc179536978" w:history="1">
            <w:r w:rsidR="00DD3929" w:rsidRPr="009D3A92">
              <w:rPr>
                <w:rStyle w:val="Hipercze"/>
                <w:noProof/>
              </w:rPr>
              <w:t>Obszar 3.6.</w:t>
            </w:r>
            <w:r w:rsidR="00DD3929">
              <w:rPr>
                <w:rFonts w:asciiTheme="minorHAnsi" w:eastAsiaTheme="minorEastAsia" w:hAnsiTheme="minorHAnsi"/>
                <w:noProof/>
                <w:sz w:val="24"/>
                <w:szCs w:val="24"/>
                <w:lang w:eastAsia="pl-PL"/>
              </w:rPr>
              <w:tab/>
            </w:r>
            <w:r w:rsidR="00DD3929" w:rsidRPr="009D3A92">
              <w:rPr>
                <w:rStyle w:val="Hipercze"/>
                <w:noProof/>
              </w:rPr>
              <w:t>Perspektywiczne pokrycie zapotrzebowania na wodór oraz jego pochodne chemiczne</w:t>
            </w:r>
            <w:r w:rsidR="00DD3929">
              <w:rPr>
                <w:noProof/>
                <w:webHidden/>
              </w:rPr>
              <w:tab/>
            </w:r>
            <w:r w:rsidR="00DD3929">
              <w:rPr>
                <w:noProof/>
                <w:webHidden/>
              </w:rPr>
              <w:fldChar w:fldCharType="begin"/>
            </w:r>
            <w:r w:rsidR="00DD3929">
              <w:rPr>
                <w:noProof/>
                <w:webHidden/>
              </w:rPr>
              <w:instrText xml:space="preserve"> PAGEREF _Toc179536978 \h </w:instrText>
            </w:r>
            <w:r w:rsidR="00DD3929">
              <w:rPr>
                <w:noProof/>
                <w:webHidden/>
              </w:rPr>
            </w:r>
            <w:r w:rsidR="00DD3929">
              <w:rPr>
                <w:noProof/>
                <w:webHidden/>
              </w:rPr>
              <w:fldChar w:fldCharType="separate"/>
            </w:r>
            <w:r w:rsidR="00103318">
              <w:rPr>
                <w:noProof/>
                <w:webHidden/>
              </w:rPr>
              <w:t>96</w:t>
            </w:r>
            <w:r w:rsidR="00DD3929">
              <w:rPr>
                <w:noProof/>
                <w:webHidden/>
              </w:rPr>
              <w:fldChar w:fldCharType="end"/>
            </w:r>
          </w:hyperlink>
        </w:p>
        <w:p w14:paraId="077A6CEF" w14:textId="3A8B6E0B" w:rsidR="00DD3929" w:rsidRDefault="00000000">
          <w:pPr>
            <w:pStyle w:val="Spistreci4"/>
            <w:rPr>
              <w:rFonts w:asciiTheme="minorHAnsi" w:eastAsiaTheme="minorEastAsia" w:hAnsiTheme="minorHAnsi"/>
              <w:noProof/>
              <w:sz w:val="24"/>
              <w:szCs w:val="24"/>
              <w:lang w:eastAsia="pl-PL"/>
            </w:rPr>
          </w:pPr>
          <w:hyperlink w:anchor="_Toc179536979" w:history="1">
            <w:r w:rsidR="00DD3929" w:rsidRPr="009D3A92">
              <w:rPr>
                <w:rStyle w:val="Hipercze"/>
                <w:noProof/>
              </w:rPr>
              <w:t>Cel. 3.6.1.</w:t>
            </w:r>
            <w:r w:rsidR="00DD3929">
              <w:rPr>
                <w:rFonts w:asciiTheme="minorHAnsi" w:eastAsiaTheme="minorEastAsia" w:hAnsiTheme="minorHAnsi"/>
                <w:noProof/>
                <w:sz w:val="24"/>
                <w:szCs w:val="24"/>
                <w:lang w:eastAsia="pl-PL"/>
              </w:rPr>
              <w:tab/>
            </w:r>
            <w:r w:rsidR="00DD3929" w:rsidRPr="009D3A92">
              <w:rPr>
                <w:rStyle w:val="Hipercze"/>
                <w:noProof/>
              </w:rPr>
              <w:t>Zapewnienie krajowej produkcji wodoru</w:t>
            </w:r>
            <w:r w:rsidR="00DD3929">
              <w:rPr>
                <w:noProof/>
                <w:webHidden/>
              </w:rPr>
              <w:tab/>
            </w:r>
            <w:r w:rsidR="00DD3929">
              <w:rPr>
                <w:noProof/>
                <w:webHidden/>
              </w:rPr>
              <w:fldChar w:fldCharType="begin"/>
            </w:r>
            <w:r w:rsidR="00DD3929">
              <w:rPr>
                <w:noProof/>
                <w:webHidden/>
              </w:rPr>
              <w:instrText xml:space="preserve"> PAGEREF _Toc179536979 \h </w:instrText>
            </w:r>
            <w:r w:rsidR="00DD3929">
              <w:rPr>
                <w:noProof/>
                <w:webHidden/>
              </w:rPr>
            </w:r>
            <w:r w:rsidR="00DD3929">
              <w:rPr>
                <w:noProof/>
                <w:webHidden/>
              </w:rPr>
              <w:fldChar w:fldCharType="separate"/>
            </w:r>
            <w:r w:rsidR="00103318">
              <w:rPr>
                <w:noProof/>
                <w:webHidden/>
              </w:rPr>
              <w:t>96</w:t>
            </w:r>
            <w:r w:rsidR="00DD3929">
              <w:rPr>
                <w:noProof/>
                <w:webHidden/>
              </w:rPr>
              <w:fldChar w:fldCharType="end"/>
            </w:r>
          </w:hyperlink>
        </w:p>
        <w:p w14:paraId="7EB1B282" w14:textId="30D39105" w:rsidR="00DD3929" w:rsidRDefault="00000000">
          <w:pPr>
            <w:pStyle w:val="Spistreci4"/>
            <w:rPr>
              <w:rFonts w:asciiTheme="minorHAnsi" w:eastAsiaTheme="minorEastAsia" w:hAnsiTheme="minorHAnsi"/>
              <w:noProof/>
              <w:sz w:val="24"/>
              <w:szCs w:val="24"/>
              <w:lang w:eastAsia="pl-PL"/>
            </w:rPr>
          </w:pPr>
          <w:hyperlink w:anchor="_Toc179536980" w:history="1">
            <w:r w:rsidR="00DD3929" w:rsidRPr="009D3A92">
              <w:rPr>
                <w:rStyle w:val="Hipercze"/>
                <w:noProof/>
              </w:rPr>
              <w:t>Cel. 3.6.2.</w:t>
            </w:r>
            <w:r w:rsidR="00DD3929">
              <w:rPr>
                <w:rFonts w:asciiTheme="minorHAnsi" w:eastAsiaTheme="minorEastAsia" w:hAnsiTheme="minorHAnsi"/>
                <w:noProof/>
                <w:sz w:val="24"/>
                <w:szCs w:val="24"/>
                <w:lang w:eastAsia="pl-PL"/>
              </w:rPr>
              <w:tab/>
            </w:r>
            <w:r w:rsidR="00DD3929" w:rsidRPr="009D3A92">
              <w:rPr>
                <w:rStyle w:val="Hipercze"/>
                <w:noProof/>
              </w:rPr>
              <w:t>Zapewnienie rozwoju infrastruktury do transportu wodoru</w:t>
            </w:r>
            <w:r w:rsidR="00DD3929">
              <w:rPr>
                <w:noProof/>
                <w:webHidden/>
              </w:rPr>
              <w:tab/>
            </w:r>
            <w:r w:rsidR="00DD3929">
              <w:rPr>
                <w:noProof/>
                <w:webHidden/>
              </w:rPr>
              <w:fldChar w:fldCharType="begin"/>
            </w:r>
            <w:r w:rsidR="00DD3929">
              <w:rPr>
                <w:noProof/>
                <w:webHidden/>
              </w:rPr>
              <w:instrText xml:space="preserve"> PAGEREF _Toc179536980 \h </w:instrText>
            </w:r>
            <w:r w:rsidR="00DD3929">
              <w:rPr>
                <w:noProof/>
                <w:webHidden/>
              </w:rPr>
            </w:r>
            <w:r w:rsidR="00DD3929">
              <w:rPr>
                <w:noProof/>
                <w:webHidden/>
              </w:rPr>
              <w:fldChar w:fldCharType="separate"/>
            </w:r>
            <w:r w:rsidR="00103318">
              <w:rPr>
                <w:noProof/>
                <w:webHidden/>
              </w:rPr>
              <w:t>98</w:t>
            </w:r>
            <w:r w:rsidR="00DD3929">
              <w:rPr>
                <w:noProof/>
                <w:webHidden/>
              </w:rPr>
              <w:fldChar w:fldCharType="end"/>
            </w:r>
          </w:hyperlink>
        </w:p>
        <w:p w14:paraId="021A3372" w14:textId="4F3D201B" w:rsidR="00DD3929" w:rsidRDefault="00000000">
          <w:pPr>
            <w:pStyle w:val="Spistreci4"/>
            <w:rPr>
              <w:rFonts w:asciiTheme="minorHAnsi" w:eastAsiaTheme="minorEastAsia" w:hAnsiTheme="minorHAnsi"/>
              <w:noProof/>
              <w:sz w:val="24"/>
              <w:szCs w:val="24"/>
              <w:lang w:eastAsia="pl-PL"/>
            </w:rPr>
          </w:pPr>
          <w:hyperlink w:anchor="_Toc179536981" w:history="1">
            <w:r w:rsidR="00DD3929" w:rsidRPr="009D3A92">
              <w:rPr>
                <w:rStyle w:val="Hipercze"/>
                <w:noProof/>
              </w:rPr>
              <w:t>Cel. 3.6.3.</w:t>
            </w:r>
            <w:r w:rsidR="00DD3929">
              <w:rPr>
                <w:rFonts w:asciiTheme="minorHAnsi" w:eastAsiaTheme="minorEastAsia" w:hAnsiTheme="minorHAnsi"/>
                <w:noProof/>
                <w:sz w:val="24"/>
                <w:szCs w:val="24"/>
                <w:lang w:eastAsia="pl-PL"/>
              </w:rPr>
              <w:tab/>
            </w:r>
            <w:r w:rsidR="00DD3929" w:rsidRPr="009D3A92">
              <w:rPr>
                <w:rStyle w:val="Hipercze"/>
                <w:noProof/>
              </w:rPr>
              <w:t>Rozwój infrastruktury do magazynowania wodoru</w:t>
            </w:r>
            <w:r w:rsidR="00DD3929">
              <w:rPr>
                <w:noProof/>
                <w:webHidden/>
              </w:rPr>
              <w:tab/>
            </w:r>
            <w:r w:rsidR="00DD3929">
              <w:rPr>
                <w:noProof/>
                <w:webHidden/>
              </w:rPr>
              <w:fldChar w:fldCharType="begin"/>
            </w:r>
            <w:r w:rsidR="00DD3929">
              <w:rPr>
                <w:noProof/>
                <w:webHidden/>
              </w:rPr>
              <w:instrText xml:space="preserve"> PAGEREF _Toc179536981 \h </w:instrText>
            </w:r>
            <w:r w:rsidR="00DD3929">
              <w:rPr>
                <w:noProof/>
                <w:webHidden/>
              </w:rPr>
            </w:r>
            <w:r w:rsidR="00DD3929">
              <w:rPr>
                <w:noProof/>
                <w:webHidden/>
              </w:rPr>
              <w:fldChar w:fldCharType="separate"/>
            </w:r>
            <w:r w:rsidR="00103318">
              <w:rPr>
                <w:noProof/>
                <w:webHidden/>
              </w:rPr>
              <w:t>99</w:t>
            </w:r>
            <w:r w:rsidR="00DD3929">
              <w:rPr>
                <w:noProof/>
                <w:webHidden/>
              </w:rPr>
              <w:fldChar w:fldCharType="end"/>
            </w:r>
          </w:hyperlink>
        </w:p>
        <w:p w14:paraId="42344699" w14:textId="280622E7" w:rsidR="00DD3929" w:rsidRDefault="00000000">
          <w:pPr>
            <w:pStyle w:val="Spistreci3"/>
            <w:rPr>
              <w:rFonts w:asciiTheme="minorHAnsi" w:eastAsiaTheme="minorEastAsia" w:hAnsiTheme="minorHAnsi"/>
              <w:noProof/>
              <w:sz w:val="24"/>
              <w:szCs w:val="24"/>
              <w:lang w:eastAsia="pl-PL"/>
            </w:rPr>
          </w:pPr>
          <w:hyperlink w:anchor="_Toc179536982" w:history="1">
            <w:r w:rsidR="00DD3929" w:rsidRPr="009D3A92">
              <w:rPr>
                <w:rStyle w:val="Hipercze"/>
                <w:noProof/>
              </w:rPr>
              <w:t>Obszar 3.7.</w:t>
            </w:r>
            <w:r w:rsidR="00DD3929">
              <w:rPr>
                <w:rFonts w:asciiTheme="minorHAnsi" w:eastAsiaTheme="minorEastAsia" w:hAnsiTheme="minorHAnsi"/>
                <w:noProof/>
                <w:sz w:val="24"/>
                <w:szCs w:val="24"/>
                <w:lang w:eastAsia="pl-PL"/>
              </w:rPr>
              <w:tab/>
            </w:r>
            <w:r w:rsidR="00DD3929" w:rsidRPr="009D3A92">
              <w:rPr>
                <w:rStyle w:val="Hipercze"/>
                <w:noProof/>
              </w:rPr>
              <w:t>Pokrycie zapotrzebowania na energię elektryczną</w:t>
            </w:r>
            <w:r w:rsidR="00DD3929">
              <w:rPr>
                <w:noProof/>
                <w:webHidden/>
              </w:rPr>
              <w:tab/>
            </w:r>
            <w:r w:rsidR="00DD3929">
              <w:rPr>
                <w:noProof/>
                <w:webHidden/>
              </w:rPr>
              <w:fldChar w:fldCharType="begin"/>
            </w:r>
            <w:r w:rsidR="00DD3929">
              <w:rPr>
                <w:noProof/>
                <w:webHidden/>
              </w:rPr>
              <w:instrText xml:space="preserve"> PAGEREF _Toc179536982 \h </w:instrText>
            </w:r>
            <w:r w:rsidR="00DD3929">
              <w:rPr>
                <w:noProof/>
                <w:webHidden/>
              </w:rPr>
            </w:r>
            <w:r w:rsidR="00DD3929">
              <w:rPr>
                <w:noProof/>
                <w:webHidden/>
              </w:rPr>
              <w:fldChar w:fldCharType="separate"/>
            </w:r>
            <w:r w:rsidR="00103318">
              <w:rPr>
                <w:noProof/>
                <w:webHidden/>
              </w:rPr>
              <w:t>100</w:t>
            </w:r>
            <w:r w:rsidR="00DD3929">
              <w:rPr>
                <w:noProof/>
                <w:webHidden/>
              </w:rPr>
              <w:fldChar w:fldCharType="end"/>
            </w:r>
          </w:hyperlink>
        </w:p>
        <w:p w14:paraId="6A853F89" w14:textId="7713818C" w:rsidR="00DD3929" w:rsidRDefault="00000000">
          <w:pPr>
            <w:pStyle w:val="Spistreci4"/>
            <w:rPr>
              <w:rFonts w:asciiTheme="minorHAnsi" w:eastAsiaTheme="minorEastAsia" w:hAnsiTheme="minorHAnsi"/>
              <w:noProof/>
              <w:sz w:val="24"/>
              <w:szCs w:val="24"/>
              <w:lang w:eastAsia="pl-PL"/>
            </w:rPr>
          </w:pPr>
          <w:hyperlink w:anchor="_Toc179536983" w:history="1">
            <w:r w:rsidR="00DD3929" w:rsidRPr="009D3A92">
              <w:rPr>
                <w:rStyle w:val="Hipercze"/>
                <w:noProof/>
              </w:rPr>
              <w:t>Cel. 3.7.1.</w:t>
            </w:r>
            <w:r w:rsidR="00DD3929">
              <w:rPr>
                <w:rFonts w:asciiTheme="minorHAnsi" w:eastAsiaTheme="minorEastAsia" w:hAnsiTheme="minorHAnsi"/>
                <w:noProof/>
                <w:sz w:val="24"/>
                <w:szCs w:val="24"/>
                <w:lang w:eastAsia="pl-PL"/>
              </w:rPr>
              <w:tab/>
            </w:r>
            <w:r w:rsidR="00DD3929" w:rsidRPr="009D3A92">
              <w:rPr>
                <w:rStyle w:val="Hipercze"/>
                <w:noProof/>
              </w:rPr>
              <w:t>Zapewnienie wystarczalności mocy</w:t>
            </w:r>
            <w:r w:rsidR="00DD3929">
              <w:rPr>
                <w:noProof/>
                <w:webHidden/>
              </w:rPr>
              <w:tab/>
            </w:r>
            <w:r w:rsidR="00DD3929">
              <w:rPr>
                <w:noProof/>
                <w:webHidden/>
              </w:rPr>
              <w:fldChar w:fldCharType="begin"/>
            </w:r>
            <w:r w:rsidR="00DD3929">
              <w:rPr>
                <w:noProof/>
                <w:webHidden/>
              </w:rPr>
              <w:instrText xml:space="preserve"> PAGEREF _Toc179536983 \h </w:instrText>
            </w:r>
            <w:r w:rsidR="00DD3929">
              <w:rPr>
                <w:noProof/>
                <w:webHidden/>
              </w:rPr>
            </w:r>
            <w:r w:rsidR="00DD3929">
              <w:rPr>
                <w:noProof/>
                <w:webHidden/>
              </w:rPr>
              <w:fldChar w:fldCharType="separate"/>
            </w:r>
            <w:r w:rsidR="00103318">
              <w:rPr>
                <w:noProof/>
                <w:webHidden/>
              </w:rPr>
              <w:t>100</w:t>
            </w:r>
            <w:r w:rsidR="00DD3929">
              <w:rPr>
                <w:noProof/>
                <w:webHidden/>
              </w:rPr>
              <w:fldChar w:fldCharType="end"/>
            </w:r>
          </w:hyperlink>
        </w:p>
        <w:p w14:paraId="14E36774" w14:textId="3258D5B2" w:rsidR="00DD3929" w:rsidRDefault="00000000">
          <w:pPr>
            <w:pStyle w:val="Spistreci4"/>
            <w:rPr>
              <w:rFonts w:asciiTheme="minorHAnsi" w:eastAsiaTheme="minorEastAsia" w:hAnsiTheme="minorHAnsi"/>
              <w:noProof/>
              <w:sz w:val="24"/>
              <w:szCs w:val="24"/>
              <w:lang w:eastAsia="pl-PL"/>
            </w:rPr>
          </w:pPr>
          <w:hyperlink w:anchor="_Toc179536984" w:history="1">
            <w:r w:rsidR="00DD3929" w:rsidRPr="009D3A92">
              <w:rPr>
                <w:rStyle w:val="Hipercze"/>
                <w:noProof/>
              </w:rPr>
              <w:t>Cel. 3.7.2.</w:t>
            </w:r>
            <w:r w:rsidR="00DD3929">
              <w:rPr>
                <w:rFonts w:asciiTheme="minorHAnsi" w:eastAsiaTheme="minorEastAsia" w:hAnsiTheme="minorHAnsi"/>
                <w:noProof/>
                <w:sz w:val="24"/>
                <w:szCs w:val="24"/>
                <w:lang w:eastAsia="pl-PL"/>
              </w:rPr>
              <w:tab/>
            </w:r>
            <w:r w:rsidR="00DD3929" w:rsidRPr="009D3A92">
              <w:rPr>
                <w:rStyle w:val="Hipercze"/>
                <w:noProof/>
              </w:rPr>
              <w:t>Zapewnienie elastyczności systemu elektroenergetycznego dla lepszej integracji OZE</w:t>
            </w:r>
            <w:r w:rsidR="00DD3929">
              <w:rPr>
                <w:noProof/>
                <w:webHidden/>
              </w:rPr>
              <w:tab/>
            </w:r>
            <w:r w:rsidR="00DD3929">
              <w:rPr>
                <w:noProof/>
                <w:webHidden/>
              </w:rPr>
              <w:fldChar w:fldCharType="begin"/>
            </w:r>
            <w:r w:rsidR="00DD3929">
              <w:rPr>
                <w:noProof/>
                <w:webHidden/>
              </w:rPr>
              <w:instrText xml:space="preserve"> PAGEREF _Toc179536984 \h </w:instrText>
            </w:r>
            <w:r w:rsidR="00DD3929">
              <w:rPr>
                <w:noProof/>
                <w:webHidden/>
              </w:rPr>
            </w:r>
            <w:r w:rsidR="00DD3929">
              <w:rPr>
                <w:noProof/>
                <w:webHidden/>
              </w:rPr>
              <w:fldChar w:fldCharType="separate"/>
            </w:r>
            <w:r w:rsidR="00103318">
              <w:rPr>
                <w:noProof/>
                <w:webHidden/>
              </w:rPr>
              <w:t>101</w:t>
            </w:r>
            <w:r w:rsidR="00DD3929">
              <w:rPr>
                <w:noProof/>
                <w:webHidden/>
              </w:rPr>
              <w:fldChar w:fldCharType="end"/>
            </w:r>
          </w:hyperlink>
        </w:p>
        <w:p w14:paraId="73048A34" w14:textId="58628E62" w:rsidR="00DD3929" w:rsidRDefault="00000000">
          <w:pPr>
            <w:pStyle w:val="Spistreci4"/>
            <w:rPr>
              <w:rFonts w:asciiTheme="minorHAnsi" w:eastAsiaTheme="minorEastAsia" w:hAnsiTheme="minorHAnsi"/>
              <w:noProof/>
              <w:sz w:val="24"/>
              <w:szCs w:val="24"/>
              <w:lang w:eastAsia="pl-PL"/>
            </w:rPr>
          </w:pPr>
          <w:hyperlink w:anchor="_Toc179536985" w:history="1">
            <w:r w:rsidR="00DD3929" w:rsidRPr="009D3A92">
              <w:rPr>
                <w:rStyle w:val="Hipercze"/>
                <w:noProof/>
              </w:rPr>
              <w:t>Cel. 3.7.3.</w:t>
            </w:r>
            <w:r w:rsidR="00DD3929">
              <w:rPr>
                <w:rFonts w:asciiTheme="minorHAnsi" w:eastAsiaTheme="minorEastAsia" w:hAnsiTheme="minorHAnsi"/>
                <w:noProof/>
                <w:sz w:val="24"/>
                <w:szCs w:val="24"/>
                <w:lang w:eastAsia="pl-PL"/>
              </w:rPr>
              <w:tab/>
            </w:r>
            <w:r w:rsidR="00DD3929" w:rsidRPr="009D3A92">
              <w:rPr>
                <w:rStyle w:val="Hipercze"/>
                <w:noProof/>
              </w:rPr>
              <w:t>Zapewnienie gotowości do zapobiegania i radzenia sobie z ograniczeniami w dostawach energii elektrycznej</w:t>
            </w:r>
            <w:r w:rsidR="00DD3929">
              <w:rPr>
                <w:noProof/>
                <w:webHidden/>
              </w:rPr>
              <w:tab/>
            </w:r>
            <w:r w:rsidR="00DD3929">
              <w:rPr>
                <w:noProof/>
                <w:webHidden/>
              </w:rPr>
              <w:fldChar w:fldCharType="begin"/>
            </w:r>
            <w:r w:rsidR="00DD3929">
              <w:rPr>
                <w:noProof/>
                <w:webHidden/>
              </w:rPr>
              <w:instrText xml:space="preserve"> PAGEREF _Toc179536985 \h </w:instrText>
            </w:r>
            <w:r w:rsidR="00DD3929">
              <w:rPr>
                <w:noProof/>
                <w:webHidden/>
              </w:rPr>
            </w:r>
            <w:r w:rsidR="00DD3929">
              <w:rPr>
                <w:noProof/>
                <w:webHidden/>
              </w:rPr>
              <w:fldChar w:fldCharType="separate"/>
            </w:r>
            <w:r w:rsidR="00103318">
              <w:rPr>
                <w:noProof/>
                <w:webHidden/>
              </w:rPr>
              <w:t>103</w:t>
            </w:r>
            <w:r w:rsidR="00DD3929">
              <w:rPr>
                <w:noProof/>
                <w:webHidden/>
              </w:rPr>
              <w:fldChar w:fldCharType="end"/>
            </w:r>
          </w:hyperlink>
        </w:p>
        <w:p w14:paraId="1036EE85" w14:textId="0A2A5167" w:rsidR="00DD3929" w:rsidRDefault="00000000">
          <w:pPr>
            <w:pStyle w:val="Spistreci2"/>
            <w:rPr>
              <w:rFonts w:asciiTheme="minorHAnsi" w:eastAsiaTheme="minorEastAsia" w:hAnsiTheme="minorHAnsi"/>
              <w:noProof/>
              <w:sz w:val="24"/>
              <w:szCs w:val="24"/>
              <w:lang w:eastAsia="pl-PL"/>
            </w:rPr>
          </w:pPr>
          <w:hyperlink w:anchor="_Toc179536986" w:history="1">
            <w:r w:rsidR="00DD3929" w:rsidRPr="009D3A92">
              <w:rPr>
                <w:rStyle w:val="Hipercze"/>
                <w:noProof/>
              </w:rPr>
              <w:t>4. Wewnątrzunijny rynek energii oraz społeczny aspekt transformacji</w:t>
            </w:r>
            <w:r w:rsidR="00DD3929">
              <w:rPr>
                <w:noProof/>
                <w:webHidden/>
              </w:rPr>
              <w:tab/>
            </w:r>
            <w:r w:rsidR="00DD3929">
              <w:rPr>
                <w:noProof/>
                <w:webHidden/>
              </w:rPr>
              <w:fldChar w:fldCharType="begin"/>
            </w:r>
            <w:r w:rsidR="00DD3929">
              <w:rPr>
                <w:noProof/>
                <w:webHidden/>
              </w:rPr>
              <w:instrText xml:space="preserve"> PAGEREF _Toc179536986 \h </w:instrText>
            </w:r>
            <w:r w:rsidR="00DD3929">
              <w:rPr>
                <w:noProof/>
                <w:webHidden/>
              </w:rPr>
            </w:r>
            <w:r w:rsidR="00DD3929">
              <w:rPr>
                <w:noProof/>
                <w:webHidden/>
              </w:rPr>
              <w:fldChar w:fldCharType="separate"/>
            </w:r>
            <w:r w:rsidR="00103318">
              <w:rPr>
                <w:noProof/>
                <w:webHidden/>
              </w:rPr>
              <w:t>106</w:t>
            </w:r>
            <w:r w:rsidR="00DD3929">
              <w:rPr>
                <w:noProof/>
                <w:webHidden/>
              </w:rPr>
              <w:fldChar w:fldCharType="end"/>
            </w:r>
          </w:hyperlink>
        </w:p>
        <w:p w14:paraId="26692116" w14:textId="37404A85" w:rsidR="00DD3929" w:rsidRDefault="00000000">
          <w:pPr>
            <w:pStyle w:val="Spistreci3"/>
            <w:rPr>
              <w:rFonts w:asciiTheme="minorHAnsi" w:eastAsiaTheme="minorEastAsia" w:hAnsiTheme="minorHAnsi"/>
              <w:noProof/>
              <w:sz w:val="24"/>
              <w:szCs w:val="24"/>
              <w:lang w:eastAsia="pl-PL"/>
            </w:rPr>
          </w:pPr>
          <w:hyperlink w:anchor="_Toc179536987" w:history="1">
            <w:r w:rsidR="00DD3929" w:rsidRPr="009D3A92">
              <w:rPr>
                <w:rStyle w:val="Hipercze"/>
                <w:noProof/>
              </w:rPr>
              <w:t>Obszar 4.1.</w:t>
            </w:r>
            <w:r w:rsidR="00DD3929">
              <w:rPr>
                <w:rFonts w:asciiTheme="minorHAnsi" w:eastAsiaTheme="minorEastAsia" w:hAnsiTheme="minorHAnsi"/>
                <w:noProof/>
                <w:sz w:val="24"/>
                <w:szCs w:val="24"/>
                <w:lang w:eastAsia="pl-PL"/>
              </w:rPr>
              <w:tab/>
            </w:r>
            <w:r w:rsidR="00DD3929" w:rsidRPr="009D3A92">
              <w:rPr>
                <w:rStyle w:val="Hipercze"/>
                <w:noProof/>
              </w:rPr>
              <w:t>Sprawna i wystarczająca infrastruktura elektroenergetyczna, połączenia międzysystemowe</w:t>
            </w:r>
            <w:r w:rsidR="00DD3929">
              <w:rPr>
                <w:noProof/>
                <w:webHidden/>
              </w:rPr>
              <w:tab/>
            </w:r>
            <w:r w:rsidR="00DD3929">
              <w:rPr>
                <w:noProof/>
                <w:webHidden/>
              </w:rPr>
              <w:fldChar w:fldCharType="begin"/>
            </w:r>
            <w:r w:rsidR="00DD3929">
              <w:rPr>
                <w:noProof/>
                <w:webHidden/>
              </w:rPr>
              <w:instrText xml:space="preserve"> PAGEREF _Toc179536987 \h </w:instrText>
            </w:r>
            <w:r w:rsidR="00DD3929">
              <w:rPr>
                <w:noProof/>
                <w:webHidden/>
              </w:rPr>
            </w:r>
            <w:r w:rsidR="00DD3929">
              <w:rPr>
                <w:noProof/>
                <w:webHidden/>
              </w:rPr>
              <w:fldChar w:fldCharType="separate"/>
            </w:r>
            <w:r w:rsidR="00103318">
              <w:rPr>
                <w:noProof/>
                <w:webHidden/>
              </w:rPr>
              <w:t>107</w:t>
            </w:r>
            <w:r w:rsidR="00DD3929">
              <w:rPr>
                <w:noProof/>
                <w:webHidden/>
              </w:rPr>
              <w:fldChar w:fldCharType="end"/>
            </w:r>
          </w:hyperlink>
        </w:p>
        <w:p w14:paraId="2A270862" w14:textId="7F398D91" w:rsidR="00DD3929" w:rsidRDefault="00000000">
          <w:pPr>
            <w:pStyle w:val="Spistreci4"/>
            <w:rPr>
              <w:rFonts w:asciiTheme="minorHAnsi" w:eastAsiaTheme="minorEastAsia" w:hAnsiTheme="minorHAnsi"/>
              <w:noProof/>
              <w:sz w:val="24"/>
              <w:szCs w:val="24"/>
              <w:lang w:eastAsia="pl-PL"/>
            </w:rPr>
          </w:pPr>
          <w:hyperlink w:anchor="_Toc179536988" w:history="1">
            <w:r w:rsidR="00DD3929" w:rsidRPr="009D3A92">
              <w:rPr>
                <w:rStyle w:val="Hipercze"/>
                <w:noProof/>
              </w:rPr>
              <w:t>Cel. 4.1.1.</w:t>
            </w:r>
            <w:r w:rsidR="00DD3929">
              <w:rPr>
                <w:rFonts w:asciiTheme="minorHAnsi" w:eastAsiaTheme="minorEastAsia" w:hAnsiTheme="minorHAnsi"/>
                <w:noProof/>
                <w:sz w:val="24"/>
                <w:szCs w:val="24"/>
                <w:lang w:eastAsia="pl-PL"/>
              </w:rPr>
              <w:tab/>
            </w:r>
            <w:r w:rsidR="00DD3929" w:rsidRPr="009D3A92">
              <w:rPr>
                <w:rStyle w:val="Hipercze"/>
                <w:noProof/>
              </w:rPr>
              <w:t>Zapewnienie odpowiedniego stanu infrastruktury energii elektrycznej</w:t>
            </w:r>
            <w:r w:rsidR="00DD3929">
              <w:rPr>
                <w:noProof/>
                <w:webHidden/>
              </w:rPr>
              <w:tab/>
            </w:r>
            <w:r w:rsidR="00DD3929">
              <w:rPr>
                <w:noProof/>
                <w:webHidden/>
              </w:rPr>
              <w:fldChar w:fldCharType="begin"/>
            </w:r>
            <w:r w:rsidR="00DD3929">
              <w:rPr>
                <w:noProof/>
                <w:webHidden/>
              </w:rPr>
              <w:instrText xml:space="preserve"> PAGEREF _Toc179536988 \h </w:instrText>
            </w:r>
            <w:r w:rsidR="00DD3929">
              <w:rPr>
                <w:noProof/>
                <w:webHidden/>
              </w:rPr>
            </w:r>
            <w:r w:rsidR="00DD3929">
              <w:rPr>
                <w:noProof/>
                <w:webHidden/>
              </w:rPr>
              <w:fldChar w:fldCharType="separate"/>
            </w:r>
            <w:r w:rsidR="00103318">
              <w:rPr>
                <w:noProof/>
                <w:webHidden/>
              </w:rPr>
              <w:t>107</w:t>
            </w:r>
            <w:r w:rsidR="00DD3929">
              <w:rPr>
                <w:noProof/>
                <w:webHidden/>
              </w:rPr>
              <w:fldChar w:fldCharType="end"/>
            </w:r>
          </w:hyperlink>
        </w:p>
        <w:p w14:paraId="367964B4" w14:textId="274B30E3" w:rsidR="00DD3929" w:rsidRDefault="00000000">
          <w:pPr>
            <w:pStyle w:val="Spistreci4"/>
            <w:rPr>
              <w:rFonts w:asciiTheme="minorHAnsi" w:eastAsiaTheme="minorEastAsia" w:hAnsiTheme="minorHAnsi"/>
              <w:noProof/>
              <w:sz w:val="24"/>
              <w:szCs w:val="24"/>
              <w:lang w:eastAsia="pl-PL"/>
            </w:rPr>
          </w:pPr>
          <w:hyperlink w:anchor="_Toc179536989" w:history="1">
            <w:r w:rsidR="00DD3929" w:rsidRPr="009D3A92">
              <w:rPr>
                <w:rStyle w:val="Hipercze"/>
                <w:noProof/>
              </w:rPr>
              <w:t>Cel. 4.1.2.</w:t>
            </w:r>
            <w:r w:rsidR="00DD3929">
              <w:rPr>
                <w:rFonts w:asciiTheme="minorHAnsi" w:eastAsiaTheme="minorEastAsia" w:hAnsiTheme="minorHAnsi"/>
                <w:noProof/>
                <w:sz w:val="24"/>
                <w:szCs w:val="24"/>
                <w:lang w:eastAsia="pl-PL"/>
              </w:rPr>
              <w:tab/>
            </w:r>
            <w:r w:rsidR="00DD3929" w:rsidRPr="009D3A92">
              <w:rPr>
                <w:rStyle w:val="Hipercze"/>
                <w:noProof/>
              </w:rPr>
              <w:t>Zwiększenie dostępności i przepustowości obecnych elektroenergetycznych połączeń transgranicznych</w:t>
            </w:r>
            <w:r w:rsidR="00DD3929">
              <w:rPr>
                <w:noProof/>
                <w:webHidden/>
              </w:rPr>
              <w:tab/>
            </w:r>
            <w:r w:rsidR="00DD3929">
              <w:rPr>
                <w:noProof/>
                <w:webHidden/>
              </w:rPr>
              <w:fldChar w:fldCharType="begin"/>
            </w:r>
            <w:r w:rsidR="00DD3929">
              <w:rPr>
                <w:noProof/>
                <w:webHidden/>
              </w:rPr>
              <w:instrText xml:space="preserve"> PAGEREF _Toc179536989 \h </w:instrText>
            </w:r>
            <w:r w:rsidR="00DD3929">
              <w:rPr>
                <w:noProof/>
                <w:webHidden/>
              </w:rPr>
            </w:r>
            <w:r w:rsidR="00DD3929">
              <w:rPr>
                <w:noProof/>
                <w:webHidden/>
              </w:rPr>
              <w:fldChar w:fldCharType="separate"/>
            </w:r>
            <w:r w:rsidR="00103318">
              <w:rPr>
                <w:noProof/>
                <w:webHidden/>
              </w:rPr>
              <w:t>109</w:t>
            </w:r>
            <w:r w:rsidR="00DD3929">
              <w:rPr>
                <w:noProof/>
                <w:webHidden/>
              </w:rPr>
              <w:fldChar w:fldCharType="end"/>
            </w:r>
          </w:hyperlink>
        </w:p>
        <w:p w14:paraId="6A1923B5" w14:textId="57335E04" w:rsidR="00DD3929" w:rsidRDefault="00000000">
          <w:pPr>
            <w:pStyle w:val="Spistreci3"/>
            <w:rPr>
              <w:rFonts w:asciiTheme="minorHAnsi" w:eastAsiaTheme="minorEastAsia" w:hAnsiTheme="minorHAnsi"/>
              <w:noProof/>
              <w:sz w:val="24"/>
              <w:szCs w:val="24"/>
              <w:lang w:eastAsia="pl-PL"/>
            </w:rPr>
          </w:pPr>
          <w:hyperlink w:anchor="_Toc179536990" w:history="1">
            <w:r w:rsidR="00DD3929" w:rsidRPr="009D3A92">
              <w:rPr>
                <w:rStyle w:val="Hipercze"/>
                <w:noProof/>
              </w:rPr>
              <w:t>Obszar 4.2.</w:t>
            </w:r>
            <w:r w:rsidR="00DD3929">
              <w:rPr>
                <w:rFonts w:asciiTheme="minorHAnsi" w:eastAsiaTheme="minorEastAsia" w:hAnsiTheme="minorHAnsi"/>
                <w:noProof/>
                <w:sz w:val="24"/>
                <w:szCs w:val="24"/>
                <w:lang w:eastAsia="pl-PL"/>
              </w:rPr>
              <w:tab/>
            </w:r>
            <w:r w:rsidR="00DD3929" w:rsidRPr="009D3A92">
              <w:rPr>
                <w:rStyle w:val="Hipercze"/>
                <w:noProof/>
              </w:rPr>
              <w:t>Sprawna i wystarczająca infrastruktura gazowa</w:t>
            </w:r>
            <w:r w:rsidR="00DD3929">
              <w:rPr>
                <w:noProof/>
                <w:webHidden/>
              </w:rPr>
              <w:tab/>
            </w:r>
            <w:r w:rsidR="00DD3929">
              <w:rPr>
                <w:noProof/>
                <w:webHidden/>
              </w:rPr>
              <w:fldChar w:fldCharType="begin"/>
            </w:r>
            <w:r w:rsidR="00DD3929">
              <w:rPr>
                <w:noProof/>
                <w:webHidden/>
              </w:rPr>
              <w:instrText xml:space="preserve"> PAGEREF _Toc179536990 \h </w:instrText>
            </w:r>
            <w:r w:rsidR="00DD3929">
              <w:rPr>
                <w:noProof/>
                <w:webHidden/>
              </w:rPr>
            </w:r>
            <w:r w:rsidR="00DD3929">
              <w:rPr>
                <w:noProof/>
                <w:webHidden/>
              </w:rPr>
              <w:fldChar w:fldCharType="separate"/>
            </w:r>
            <w:r w:rsidR="00103318">
              <w:rPr>
                <w:noProof/>
                <w:webHidden/>
              </w:rPr>
              <w:t>111</w:t>
            </w:r>
            <w:r w:rsidR="00DD3929">
              <w:rPr>
                <w:noProof/>
                <w:webHidden/>
              </w:rPr>
              <w:fldChar w:fldCharType="end"/>
            </w:r>
          </w:hyperlink>
        </w:p>
        <w:p w14:paraId="617BBA2F" w14:textId="5EF70F06" w:rsidR="00DD3929" w:rsidRDefault="00000000">
          <w:pPr>
            <w:pStyle w:val="Spistreci4"/>
            <w:rPr>
              <w:rFonts w:asciiTheme="minorHAnsi" w:eastAsiaTheme="minorEastAsia" w:hAnsiTheme="minorHAnsi"/>
              <w:noProof/>
              <w:sz w:val="24"/>
              <w:szCs w:val="24"/>
              <w:lang w:eastAsia="pl-PL"/>
            </w:rPr>
          </w:pPr>
          <w:hyperlink w:anchor="_Toc179536991" w:history="1">
            <w:r w:rsidR="00DD3929" w:rsidRPr="009D3A92">
              <w:rPr>
                <w:rStyle w:val="Hipercze"/>
                <w:noProof/>
              </w:rPr>
              <w:t>Cel. 4.2.1.</w:t>
            </w:r>
            <w:r w:rsidR="00DD3929">
              <w:rPr>
                <w:rFonts w:asciiTheme="minorHAnsi" w:eastAsiaTheme="minorEastAsia" w:hAnsiTheme="minorHAnsi"/>
                <w:noProof/>
                <w:sz w:val="24"/>
                <w:szCs w:val="24"/>
                <w:lang w:eastAsia="pl-PL"/>
              </w:rPr>
              <w:tab/>
            </w:r>
            <w:r w:rsidR="00DD3929" w:rsidRPr="009D3A92">
              <w:rPr>
                <w:rStyle w:val="Hipercze"/>
                <w:noProof/>
              </w:rPr>
              <w:t>Zapewnienie odpowiedniego stanu infrastruktury gazu ziemnego</w:t>
            </w:r>
            <w:r w:rsidR="00DD3929">
              <w:rPr>
                <w:noProof/>
                <w:webHidden/>
              </w:rPr>
              <w:tab/>
            </w:r>
            <w:r w:rsidR="00DD3929">
              <w:rPr>
                <w:noProof/>
                <w:webHidden/>
              </w:rPr>
              <w:fldChar w:fldCharType="begin"/>
            </w:r>
            <w:r w:rsidR="00DD3929">
              <w:rPr>
                <w:noProof/>
                <w:webHidden/>
              </w:rPr>
              <w:instrText xml:space="preserve"> PAGEREF _Toc179536991 \h </w:instrText>
            </w:r>
            <w:r w:rsidR="00DD3929">
              <w:rPr>
                <w:noProof/>
                <w:webHidden/>
              </w:rPr>
            </w:r>
            <w:r w:rsidR="00DD3929">
              <w:rPr>
                <w:noProof/>
                <w:webHidden/>
              </w:rPr>
              <w:fldChar w:fldCharType="separate"/>
            </w:r>
            <w:r w:rsidR="00103318">
              <w:rPr>
                <w:noProof/>
                <w:webHidden/>
              </w:rPr>
              <w:t>111</w:t>
            </w:r>
            <w:r w:rsidR="00DD3929">
              <w:rPr>
                <w:noProof/>
                <w:webHidden/>
              </w:rPr>
              <w:fldChar w:fldCharType="end"/>
            </w:r>
          </w:hyperlink>
        </w:p>
        <w:p w14:paraId="62A27856" w14:textId="1AD32C82" w:rsidR="00DD3929" w:rsidRDefault="00000000">
          <w:pPr>
            <w:pStyle w:val="Spistreci3"/>
            <w:rPr>
              <w:rFonts w:asciiTheme="minorHAnsi" w:eastAsiaTheme="minorEastAsia" w:hAnsiTheme="minorHAnsi"/>
              <w:noProof/>
              <w:sz w:val="24"/>
              <w:szCs w:val="24"/>
              <w:lang w:eastAsia="pl-PL"/>
            </w:rPr>
          </w:pPr>
          <w:hyperlink w:anchor="_Toc179536992" w:history="1">
            <w:r w:rsidR="00DD3929" w:rsidRPr="009D3A92">
              <w:rPr>
                <w:rStyle w:val="Hipercze"/>
                <w:noProof/>
              </w:rPr>
              <w:t>Obszar 4.3.</w:t>
            </w:r>
            <w:r w:rsidR="00DD3929">
              <w:rPr>
                <w:rFonts w:asciiTheme="minorHAnsi" w:eastAsiaTheme="minorEastAsia" w:hAnsiTheme="minorHAnsi"/>
                <w:noProof/>
                <w:sz w:val="24"/>
                <w:szCs w:val="24"/>
                <w:lang w:eastAsia="pl-PL"/>
              </w:rPr>
              <w:tab/>
            </w:r>
            <w:r w:rsidR="00DD3929" w:rsidRPr="009D3A92">
              <w:rPr>
                <w:rStyle w:val="Hipercze"/>
                <w:noProof/>
              </w:rPr>
              <w:t>Sprawna i wystarczająca infrastruktura paliwowa</w:t>
            </w:r>
            <w:r w:rsidR="00DD3929">
              <w:rPr>
                <w:noProof/>
                <w:webHidden/>
              </w:rPr>
              <w:tab/>
            </w:r>
            <w:r w:rsidR="00DD3929">
              <w:rPr>
                <w:noProof/>
                <w:webHidden/>
              </w:rPr>
              <w:fldChar w:fldCharType="begin"/>
            </w:r>
            <w:r w:rsidR="00DD3929">
              <w:rPr>
                <w:noProof/>
                <w:webHidden/>
              </w:rPr>
              <w:instrText xml:space="preserve"> PAGEREF _Toc179536992 \h </w:instrText>
            </w:r>
            <w:r w:rsidR="00DD3929">
              <w:rPr>
                <w:noProof/>
                <w:webHidden/>
              </w:rPr>
            </w:r>
            <w:r w:rsidR="00DD3929">
              <w:rPr>
                <w:noProof/>
                <w:webHidden/>
              </w:rPr>
              <w:fldChar w:fldCharType="separate"/>
            </w:r>
            <w:r w:rsidR="00103318">
              <w:rPr>
                <w:noProof/>
                <w:webHidden/>
              </w:rPr>
              <w:t>112</w:t>
            </w:r>
            <w:r w:rsidR="00DD3929">
              <w:rPr>
                <w:noProof/>
                <w:webHidden/>
              </w:rPr>
              <w:fldChar w:fldCharType="end"/>
            </w:r>
          </w:hyperlink>
        </w:p>
        <w:p w14:paraId="0DEF5E3A" w14:textId="3F24C7D3" w:rsidR="00DD3929" w:rsidRDefault="00000000">
          <w:pPr>
            <w:pStyle w:val="Spistreci4"/>
            <w:rPr>
              <w:rFonts w:asciiTheme="minorHAnsi" w:eastAsiaTheme="minorEastAsia" w:hAnsiTheme="minorHAnsi"/>
              <w:noProof/>
              <w:sz w:val="24"/>
              <w:szCs w:val="24"/>
              <w:lang w:eastAsia="pl-PL"/>
            </w:rPr>
          </w:pPr>
          <w:hyperlink w:anchor="_Toc179536993" w:history="1">
            <w:r w:rsidR="00DD3929" w:rsidRPr="009D3A92">
              <w:rPr>
                <w:rStyle w:val="Hipercze"/>
                <w:noProof/>
              </w:rPr>
              <w:t>Cel. 4.3.1.</w:t>
            </w:r>
            <w:r w:rsidR="00DD3929">
              <w:rPr>
                <w:rFonts w:asciiTheme="minorHAnsi" w:eastAsiaTheme="minorEastAsia" w:hAnsiTheme="minorHAnsi"/>
                <w:noProof/>
                <w:sz w:val="24"/>
                <w:szCs w:val="24"/>
                <w:lang w:eastAsia="pl-PL"/>
              </w:rPr>
              <w:tab/>
            </w:r>
            <w:r w:rsidR="00DD3929" w:rsidRPr="009D3A92">
              <w:rPr>
                <w:rStyle w:val="Hipercze"/>
                <w:noProof/>
              </w:rPr>
              <w:t>Zapewnienie odpowiedniego stanu i rozwoju infrastruktury przesyłu i dystrybucji paliw</w:t>
            </w:r>
            <w:r w:rsidR="00DD3929">
              <w:rPr>
                <w:noProof/>
                <w:webHidden/>
              </w:rPr>
              <w:tab/>
            </w:r>
            <w:r w:rsidR="00DD3929">
              <w:rPr>
                <w:noProof/>
                <w:webHidden/>
              </w:rPr>
              <w:fldChar w:fldCharType="begin"/>
            </w:r>
            <w:r w:rsidR="00DD3929">
              <w:rPr>
                <w:noProof/>
                <w:webHidden/>
              </w:rPr>
              <w:instrText xml:space="preserve"> PAGEREF _Toc179536993 \h </w:instrText>
            </w:r>
            <w:r w:rsidR="00DD3929">
              <w:rPr>
                <w:noProof/>
                <w:webHidden/>
              </w:rPr>
            </w:r>
            <w:r w:rsidR="00DD3929">
              <w:rPr>
                <w:noProof/>
                <w:webHidden/>
              </w:rPr>
              <w:fldChar w:fldCharType="separate"/>
            </w:r>
            <w:r w:rsidR="00103318">
              <w:rPr>
                <w:noProof/>
                <w:webHidden/>
              </w:rPr>
              <w:t>112</w:t>
            </w:r>
            <w:r w:rsidR="00DD3929">
              <w:rPr>
                <w:noProof/>
                <w:webHidden/>
              </w:rPr>
              <w:fldChar w:fldCharType="end"/>
            </w:r>
          </w:hyperlink>
        </w:p>
        <w:p w14:paraId="32FE8886" w14:textId="5EC7ED06" w:rsidR="00DD3929" w:rsidRDefault="00000000">
          <w:pPr>
            <w:pStyle w:val="Spistreci3"/>
            <w:rPr>
              <w:rFonts w:asciiTheme="minorHAnsi" w:eastAsiaTheme="minorEastAsia" w:hAnsiTheme="minorHAnsi"/>
              <w:noProof/>
              <w:sz w:val="24"/>
              <w:szCs w:val="24"/>
              <w:lang w:eastAsia="pl-PL"/>
            </w:rPr>
          </w:pPr>
          <w:hyperlink w:anchor="_Toc179536994" w:history="1">
            <w:r w:rsidR="00DD3929" w:rsidRPr="009D3A92">
              <w:rPr>
                <w:rStyle w:val="Hipercze"/>
                <w:noProof/>
              </w:rPr>
              <w:t>Obszar 4.4.</w:t>
            </w:r>
            <w:r w:rsidR="00DD3929">
              <w:rPr>
                <w:rFonts w:asciiTheme="minorHAnsi" w:eastAsiaTheme="minorEastAsia" w:hAnsiTheme="minorHAnsi"/>
                <w:noProof/>
                <w:sz w:val="24"/>
                <w:szCs w:val="24"/>
                <w:lang w:eastAsia="pl-PL"/>
              </w:rPr>
              <w:tab/>
            </w:r>
            <w:r w:rsidR="00DD3929" w:rsidRPr="009D3A92">
              <w:rPr>
                <w:rStyle w:val="Hipercze"/>
                <w:noProof/>
              </w:rPr>
              <w:t>Rozwój energetyki rozproszonej</w:t>
            </w:r>
            <w:r w:rsidR="00DD3929">
              <w:rPr>
                <w:noProof/>
                <w:webHidden/>
              </w:rPr>
              <w:tab/>
            </w:r>
            <w:r w:rsidR="00DD3929">
              <w:rPr>
                <w:noProof/>
                <w:webHidden/>
              </w:rPr>
              <w:fldChar w:fldCharType="begin"/>
            </w:r>
            <w:r w:rsidR="00DD3929">
              <w:rPr>
                <w:noProof/>
                <w:webHidden/>
              </w:rPr>
              <w:instrText xml:space="preserve"> PAGEREF _Toc179536994 \h </w:instrText>
            </w:r>
            <w:r w:rsidR="00DD3929">
              <w:rPr>
                <w:noProof/>
                <w:webHidden/>
              </w:rPr>
            </w:r>
            <w:r w:rsidR="00DD3929">
              <w:rPr>
                <w:noProof/>
                <w:webHidden/>
              </w:rPr>
              <w:fldChar w:fldCharType="separate"/>
            </w:r>
            <w:r w:rsidR="00103318">
              <w:rPr>
                <w:noProof/>
                <w:webHidden/>
              </w:rPr>
              <w:t>113</w:t>
            </w:r>
            <w:r w:rsidR="00DD3929">
              <w:rPr>
                <w:noProof/>
                <w:webHidden/>
              </w:rPr>
              <w:fldChar w:fldCharType="end"/>
            </w:r>
          </w:hyperlink>
        </w:p>
        <w:p w14:paraId="69C85205" w14:textId="64F4665B" w:rsidR="00DD3929" w:rsidRDefault="00000000">
          <w:pPr>
            <w:pStyle w:val="Spistreci4"/>
            <w:rPr>
              <w:rFonts w:asciiTheme="minorHAnsi" w:eastAsiaTheme="minorEastAsia" w:hAnsiTheme="minorHAnsi"/>
              <w:noProof/>
              <w:sz w:val="24"/>
              <w:szCs w:val="24"/>
              <w:lang w:eastAsia="pl-PL"/>
            </w:rPr>
          </w:pPr>
          <w:hyperlink w:anchor="_Toc179536995" w:history="1">
            <w:r w:rsidR="00DD3929" w:rsidRPr="009D3A92">
              <w:rPr>
                <w:rStyle w:val="Hipercze"/>
                <w:noProof/>
              </w:rPr>
              <w:t>Cel. 4.4.1.</w:t>
            </w:r>
            <w:r w:rsidR="00DD3929">
              <w:rPr>
                <w:rFonts w:asciiTheme="minorHAnsi" w:eastAsiaTheme="minorEastAsia" w:hAnsiTheme="minorHAnsi"/>
                <w:noProof/>
                <w:sz w:val="24"/>
                <w:szCs w:val="24"/>
                <w:lang w:eastAsia="pl-PL"/>
              </w:rPr>
              <w:tab/>
            </w:r>
            <w:r w:rsidR="00DD3929" w:rsidRPr="009D3A92">
              <w:rPr>
                <w:rStyle w:val="Hipercze"/>
                <w:noProof/>
              </w:rPr>
              <w:t>Rozwój i integracja prosumentów</w:t>
            </w:r>
            <w:r w:rsidR="00DD3929">
              <w:rPr>
                <w:noProof/>
                <w:webHidden/>
              </w:rPr>
              <w:tab/>
            </w:r>
            <w:r w:rsidR="00DD3929">
              <w:rPr>
                <w:noProof/>
                <w:webHidden/>
              </w:rPr>
              <w:fldChar w:fldCharType="begin"/>
            </w:r>
            <w:r w:rsidR="00DD3929">
              <w:rPr>
                <w:noProof/>
                <w:webHidden/>
              </w:rPr>
              <w:instrText xml:space="preserve"> PAGEREF _Toc179536995 \h </w:instrText>
            </w:r>
            <w:r w:rsidR="00DD3929">
              <w:rPr>
                <w:noProof/>
                <w:webHidden/>
              </w:rPr>
            </w:r>
            <w:r w:rsidR="00DD3929">
              <w:rPr>
                <w:noProof/>
                <w:webHidden/>
              </w:rPr>
              <w:fldChar w:fldCharType="separate"/>
            </w:r>
            <w:r w:rsidR="00103318">
              <w:rPr>
                <w:noProof/>
                <w:webHidden/>
              </w:rPr>
              <w:t>113</w:t>
            </w:r>
            <w:r w:rsidR="00DD3929">
              <w:rPr>
                <w:noProof/>
                <w:webHidden/>
              </w:rPr>
              <w:fldChar w:fldCharType="end"/>
            </w:r>
          </w:hyperlink>
        </w:p>
        <w:p w14:paraId="44FF85BF" w14:textId="447C5C02" w:rsidR="00DD3929" w:rsidRDefault="00000000">
          <w:pPr>
            <w:pStyle w:val="Spistreci4"/>
            <w:rPr>
              <w:rFonts w:asciiTheme="minorHAnsi" w:eastAsiaTheme="minorEastAsia" w:hAnsiTheme="minorHAnsi"/>
              <w:noProof/>
              <w:sz w:val="24"/>
              <w:szCs w:val="24"/>
              <w:lang w:eastAsia="pl-PL"/>
            </w:rPr>
          </w:pPr>
          <w:hyperlink w:anchor="_Toc179536996" w:history="1">
            <w:r w:rsidR="00DD3929" w:rsidRPr="009D3A92">
              <w:rPr>
                <w:rStyle w:val="Hipercze"/>
                <w:noProof/>
              </w:rPr>
              <w:t>Cel. 4.4.2.</w:t>
            </w:r>
            <w:r w:rsidR="00DD3929">
              <w:rPr>
                <w:rFonts w:asciiTheme="minorHAnsi" w:eastAsiaTheme="minorEastAsia" w:hAnsiTheme="minorHAnsi"/>
                <w:noProof/>
                <w:sz w:val="24"/>
                <w:szCs w:val="24"/>
                <w:lang w:eastAsia="pl-PL"/>
              </w:rPr>
              <w:tab/>
            </w:r>
            <w:r w:rsidR="00DD3929" w:rsidRPr="009D3A92">
              <w:rPr>
                <w:rStyle w:val="Hipercze"/>
                <w:noProof/>
              </w:rPr>
              <w:t>Rozwój i integracja energetycznych społeczności lokalnych</w:t>
            </w:r>
            <w:r w:rsidR="00DD3929">
              <w:rPr>
                <w:noProof/>
                <w:webHidden/>
              </w:rPr>
              <w:tab/>
            </w:r>
            <w:r w:rsidR="00DD3929">
              <w:rPr>
                <w:noProof/>
                <w:webHidden/>
              </w:rPr>
              <w:fldChar w:fldCharType="begin"/>
            </w:r>
            <w:r w:rsidR="00DD3929">
              <w:rPr>
                <w:noProof/>
                <w:webHidden/>
              </w:rPr>
              <w:instrText xml:space="preserve"> PAGEREF _Toc179536996 \h </w:instrText>
            </w:r>
            <w:r w:rsidR="00DD3929">
              <w:rPr>
                <w:noProof/>
                <w:webHidden/>
              </w:rPr>
            </w:r>
            <w:r w:rsidR="00DD3929">
              <w:rPr>
                <w:noProof/>
                <w:webHidden/>
              </w:rPr>
              <w:fldChar w:fldCharType="separate"/>
            </w:r>
            <w:r w:rsidR="00103318">
              <w:rPr>
                <w:noProof/>
                <w:webHidden/>
              </w:rPr>
              <w:t>115</w:t>
            </w:r>
            <w:r w:rsidR="00DD3929">
              <w:rPr>
                <w:noProof/>
                <w:webHidden/>
              </w:rPr>
              <w:fldChar w:fldCharType="end"/>
            </w:r>
          </w:hyperlink>
        </w:p>
        <w:p w14:paraId="19BADADD" w14:textId="76AE2486" w:rsidR="00DD3929" w:rsidRDefault="00000000">
          <w:pPr>
            <w:pStyle w:val="Spistreci3"/>
            <w:rPr>
              <w:rFonts w:asciiTheme="minorHAnsi" w:eastAsiaTheme="minorEastAsia" w:hAnsiTheme="minorHAnsi"/>
              <w:noProof/>
              <w:sz w:val="24"/>
              <w:szCs w:val="24"/>
              <w:lang w:eastAsia="pl-PL"/>
            </w:rPr>
          </w:pPr>
          <w:hyperlink w:anchor="_Toc179536997" w:history="1">
            <w:r w:rsidR="00DD3929" w:rsidRPr="009D3A92">
              <w:rPr>
                <w:rStyle w:val="Hipercze"/>
                <w:noProof/>
              </w:rPr>
              <w:t>Obszar 4.5.</w:t>
            </w:r>
            <w:r w:rsidR="00DD3929">
              <w:rPr>
                <w:rFonts w:asciiTheme="minorHAnsi" w:eastAsiaTheme="minorEastAsia" w:hAnsiTheme="minorHAnsi"/>
                <w:noProof/>
                <w:sz w:val="24"/>
                <w:szCs w:val="24"/>
                <w:lang w:eastAsia="pl-PL"/>
              </w:rPr>
              <w:tab/>
            </w:r>
            <w:r w:rsidR="00DD3929" w:rsidRPr="009D3A92">
              <w:rPr>
                <w:rStyle w:val="Hipercze"/>
                <w:noProof/>
              </w:rPr>
              <w:t>Sprawiedliwa transformacja i ochrona konsumentów</w:t>
            </w:r>
            <w:r w:rsidR="00DD3929">
              <w:rPr>
                <w:noProof/>
                <w:webHidden/>
              </w:rPr>
              <w:tab/>
            </w:r>
            <w:r w:rsidR="00DD3929">
              <w:rPr>
                <w:noProof/>
                <w:webHidden/>
              </w:rPr>
              <w:fldChar w:fldCharType="begin"/>
            </w:r>
            <w:r w:rsidR="00DD3929">
              <w:rPr>
                <w:noProof/>
                <w:webHidden/>
              </w:rPr>
              <w:instrText xml:space="preserve"> PAGEREF _Toc179536997 \h </w:instrText>
            </w:r>
            <w:r w:rsidR="00DD3929">
              <w:rPr>
                <w:noProof/>
                <w:webHidden/>
              </w:rPr>
            </w:r>
            <w:r w:rsidR="00DD3929">
              <w:rPr>
                <w:noProof/>
                <w:webHidden/>
              </w:rPr>
              <w:fldChar w:fldCharType="separate"/>
            </w:r>
            <w:r w:rsidR="00103318">
              <w:rPr>
                <w:noProof/>
                <w:webHidden/>
              </w:rPr>
              <w:t>116</w:t>
            </w:r>
            <w:r w:rsidR="00DD3929">
              <w:rPr>
                <w:noProof/>
                <w:webHidden/>
              </w:rPr>
              <w:fldChar w:fldCharType="end"/>
            </w:r>
          </w:hyperlink>
        </w:p>
        <w:p w14:paraId="306B0808" w14:textId="3D6D9881" w:rsidR="00DD3929" w:rsidRDefault="00000000">
          <w:pPr>
            <w:pStyle w:val="Spistreci4"/>
            <w:rPr>
              <w:rFonts w:asciiTheme="minorHAnsi" w:eastAsiaTheme="minorEastAsia" w:hAnsiTheme="minorHAnsi"/>
              <w:noProof/>
              <w:sz w:val="24"/>
              <w:szCs w:val="24"/>
              <w:lang w:eastAsia="pl-PL"/>
            </w:rPr>
          </w:pPr>
          <w:hyperlink w:anchor="_Toc179536998" w:history="1">
            <w:r w:rsidR="00DD3929" w:rsidRPr="009D3A92">
              <w:rPr>
                <w:rStyle w:val="Hipercze"/>
                <w:noProof/>
              </w:rPr>
              <w:t>Cel. 4.5.1.</w:t>
            </w:r>
            <w:r w:rsidR="00DD3929">
              <w:rPr>
                <w:rFonts w:asciiTheme="minorHAnsi" w:eastAsiaTheme="minorEastAsia" w:hAnsiTheme="minorHAnsi"/>
                <w:noProof/>
                <w:sz w:val="24"/>
                <w:szCs w:val="24"/>
                <w:lang w:eastAsia="pl-PL"/>
              </w:rPr>
              <w:tab/>
            </w:r>
            <w:r w:rsidR="00DD3929" w:rsidRPr="009D3A92">
              <w:rPr>
                <w:rStyle w:val="Hipercze"/>
                <w:noProof/>
              </w:rPr>
              <w:t>Redukcja ubóstwa energetycznego</w:t>
            </w:r>
            <w:r w:rsidR="00DD3929">
              <w:rPr>
                <w:noProof/>
                <w:webHidden/>
              </w:rPr>
              <w:tab/>
            </w:r>
            <w:r w:rsidR="00DD3929">
              <w:rPr>
                <w:noProof/>
                <w:webHidden/>
              </w:rPr>
              <w:fldChar w:fldCharType="begin"/>
            </w:r>
            <w:r w:rsidR="00DD3929">
              <w:rPr>
                <w:noProof/>
                <w:webHidden/>
              </w:rPr>
              <w:instrText xml:space="preserve"> PAGEREF _Toc179536998 \h </w:instrText>
            </w:r>
            <w:r w:rsidR="00DD3929">
              <w:rPr>
                <w:noProof/>
                <w:webHidden/>
              </w:rPr>
            </w:r>
            <w:r w:rsidR="00DD3929">
              <w:rPr>
                <w:noProof/>
                <w:webHidden/>
              </w:rPr>
              <w:fldChar w:fldCharType="separate"/>
            </w:r>
            <w:r w:rsidR="00103318">
              <w:rPr>
                <w:noProof/>
                <w:webHidden/>
              </w:rPr>
              <w:t>116</w:t>
            </w:r>
            <w:r w:rsidR="00DD3929">
              <w:rPr>
                <w:noProof/>
                <w:webHidden/>
              </w:rPr>
              <w:fldChar w:fldCharType="end"/>
            </w:r>
          </w:hyperlink>
        </w:p>
        <w:p w14:paraId="151FFA25" w14:textId="58E77FEF" w:rsidR="00DD3929" w:rsidRDefault="00000000">
          <w:pPr>
            <w:pStyle w:val="Spistreci4"/>
            <w:rPr>
              <w:rFonts w:asciiTheme="minorHAnsi" w:eastAsiaTheme="minorEastAsia" w:hAnsiTheme="minorHAnsi"/>
              <w:noProof/>
              <w:sz w:val="24"/>
              <w:szCs w:val="24"/>
              <w:lang w:eastAsia="pl-PL"/>
            </w:rPr>
          </w:pPr>
          <w:hyperlink w:anchor="_Toc179536999" w:history="1">
            <w:r w:rsidR="00DD3929" w:rsidRPr="009D3A92">
              <w:rPr>
                <w:rStyle w:val="Hipercze"/>
                <w:noProof/>
              </w:rPr>
              <w:t>Cel. 4.5.2.</w:t>
            </w:r>
            <w:r w:rsidR="00DD3929">
              <w:rPr>
                <w:rFonts w:asciiTheme="minorHAnsi" w:eastAsiaTheme="minorEastAsia" w:hAnsiTheme="minorHAnsi"/>
                <w:noProof/>
                <w:sz w:val="24"/>
                <w:szCs w:val="24"/>
                <w:lang w:eastAsia="pl-PL"/>
              </w:rPr>
              <w:tab/>
            </w:r>
            <w:r w:rsidR="00DD3929" w:rsidRPr="009D3A92">
              <w:rPr>
                <w:rStyle w:val="Hipercze"/>
                <w:noProof/>
              </w:rPr>
              <w:t>Redukcja ubóstwa transportowego</w:t>
            </w:r>
            <w:r w:rsidR="00DD3929">
              <w:rPr>
                <w:noProof/>
                <w:webHidden/>
              </w:rPr>
              <w:tab/>
            </w:r>
            <w:r w:rsidR="00DD3929">
              <w:rPr>
                <w:noProof/>
                <w:webHidden/>
              </w:rPr>
              <w:fldChar w:fldCharType="begin"/>
            </w:r>
            <w:r w:rsidR="00DD3929">
              <w:rPr>
                <w:noProof/>
                <w:webHidden/>
              </w:rPr>
              <w:instrText xml:space="preserve"> PAGEREF _Toc179536999 \h </w:instrText>
            </w:r>
            <w:r w:rsidR="00DD3929">
              <w:rPr>
                <w:noProof/>
                <w:webHidden/>
              </w:rPr>
            </w:r>
            <w:r w:rsidR="00DD3929">
              <w:rPr>
                <w:noProof/>
                <w:webHidden/>
              </w:rPr>
              <w:fldChar w:fldCharType="separate"/>
            </w:r>
            <w:r w:rsidR="00103318">
              <w:rPr>
                <w:noProof/>
                <w:webHidden/>
              </w:rPr>
              <w:t>118</w:t>
            </w:r>
            <w:r w:rsidR="00DD3929">
              <w:rPr>
                <w:noProof/>
                <w:webHidden/>
              </w:rPr>
              <w:fldChar w:fldCharType="end"/>
            </w:r>
          </w:hyperlink>
        </w:p>
        <w:p w14:paraId="06CC0BC0" w14:textId="132F3E2C" w:rsidR="00DD3929" w:rsidRDefault="00000000">
          <w:pPr>
            <w:pStyle w:val="Spistreci4"/>
            <w:rPr>
              <w:rFonts w:asciiTheme="minorHAnsi" w:eastAsiaTheme="minorEastAsia" w:hAnsiTheme="minorHAnsi"/>
              <w:noProof/>
              <w:sz w:val="24"/>
              <w:szCs w:val="24"/>
              <w:lang w:eastAsia="pl-PL"/>
            </w:rPr>
          </w:pPr>
          <w:hyperlink w:anchor="_Toc179537000" w:history="1">
            <w:r w:rsidR="00DD3929" w:rsidRPr="009D3A92">
              <w:rPr>
                <w:rStyle w:val="Hipercze"/>
                <w:noProof/>
              </w:rPr>
              <w:t>Cel. 4.5.3.</w:t>
            </w:r>
            <w:r w:rsidR="00DD3929">
              <w:rPr>
                <w:rFonts w:asciiTheme="minorHAnsi" w:eastAsiaTheme="minorEastAsia" w:hAnsiTheme="minorHAnsi"/>
                <w:noProof/>
                <w:sz w:val="24"/>
                <w:szCs w:val="24"/>
                <w:lang w:eastAsia="pl-PL"/>
              </w:rPr>
              <w:tab/>
            </w:r>
            <w:r w:rsidR="00DD3929" w:rsidRPr="009D3A92">
              <w:rPr>
                <w:rStyle w:val="Hipercze"/>
                <w:noProof/>
              </w:rPr>
              <w:t>Wsparcie regionów węglowych</w:t>
            </w:r>
            <w:r w:rsidR="00DD3929">
              <w:rPr>
                <w:noProof/>
                <w:webHidden/>
              </w:rPr>
              <w:tab/>
            </w:r>
            <w:r w:rsidR="00DD3929">
              <w:rPr>
                <w:noProof/>
                <w:webHidden/>
              </w:rPr>
              <w:fldChar w:fldCharType="begin"/>
            </w:r>
            <w:r w:rsidR="00DD3929">
              <w:rPr>
                <w:noProof/>
                <w:webHidden/>
              </w:rPr>
              <w:instrText xml:space="preserve"> PAGEREF _Toc179537000 \h </w:instrText>
            </w:r>
            <w:r w:rsidR="00DD3929">
              <w:rPr>
                <w:noProof/>
                <w:webHidden/>
              </w:rPr>
            </w:r>
            <w:r w:rsidR="00DD3929">
              <w:rPr>
                <w:noProof/>
                <w:webHidden/>
              </w:rPr>
              <w:fldChar w:fldCharType="separate"/>
            </w:r>
            <w:r w:rsidR="00103318">
              <w:rPr>
                <w:noProof/>
                <w:webHidden/>
              </w:rPr>
              <w:t>120</w:t>
            </w:r>
            <w:r w:rsidR="00DD3929">
              <w:rPr>
                <w:noProof/>
                <w:webHidden/>
              </w:rPr>
              <w:fldChar w:fldCharType="end"/>
            </w:r>
          </w:hyperlink>
        </w:p>
        <w:p w14:paraId="5CEB81F7" w14:textId="1023E1BF" w:rsidR="00DD3929" w:rsidRDefault="00000000">
          <w:pPr>
            <w:pStyle w:val="Spistreci4"/>
            <w:rPr>
              <w:rFonts w:asciiTheme="minorHAnsi" w:eastAsiaTheme="minorEastAsia" w:hAnsiTheme="minorHAnsi"/>
              <w:noProof/>
              <w:sz w:val="24"/>
              <w:szCs w:val="24"/>
              <w:lang w:eastAsia="pl-PL"/>
            </w:rPr>
          </w:pPr>
          <w:hyperlink w:anchor="_Toc179537001" w:history="1">
            <w:r w:rsidR="00DD3929" w:rsidRPr="009D3A92">
              <w:rPr>
                <w:rStyle w:val="Hipercze"/>
                <w:noProof/>
              </w:rPr>
              <w:t>Cel. 4.5.4.</w:t>
            </w:r>
            <w:r w:rsidR="00DD3929">
              <w:rPr>
                <w:rFonts w:asciiTheme="minorHAnsi" w:eastAsiaTheme="minorEastAsia" w:hAnsiTheme="minorHAnsi"/>
                <w:noProof/>
                <w:sz w:val="24"/>
                <w:szCs w:val="24"/>
                <w:lang w:eastAsia="pl-PL"/>
              </w:rPr>
              <w:tab/>
            </w:r>
            <w:r w:rsidR="00DD3929" w:rsidRPr="009D3A92">
              <w:rPr>
                <w:rStyle w:val="Hipercze"/>
                <w:noProof/>
              </w:rPr>
              <w:t>Tworzenie zielonych miejsc pracy</w:t>
            </w:r>
            <w:r w:rsidR="00DD3929">
              <w:rPr>
                <w:noProof/>
                <w:webHidden/>
              </w:rPr>
              <w:tab/>
            </w:r>
            <w:r w:rsidR="00DD3929">
              <w:rPr>
                <w:noProof/>
                <w:webHidden/>
              </w:rPr>
              <w:fldChar w:fldCharType="begin"/>
            </w:r>
            <w:r w:rsidR="00DD3929">
              <w:rPr>
                <w:noProof/>
                <w:webHidden/>
              </w:rPr>
              <w:instrText xml:space="preserve"> PAGEREF _Toc179537001 \h </w:instrText>
            </w:r>
            <w:r w:rsidR="00DD3929">
              <w:rPr>
                <w:noProof/>
                <w:webHidden/>
              </w:rPr>
            </w:r>
            <w:r w:rsidR="00DD3929">
              <w:rPr>
                <w:noProof/>
                <w:webHidden/>
              </w:rPr>
              <w:fldChar w:fldCharType="separate"/>
            </w:r>
            <w:r w:rsidR="00103318">
              <w:rPr>
                <w:noProof/>
                <w:webHidden/>
              </w:rPr>
              <w:t>121</w:t>
            </w:r>
            <w:r w:rsidR="00DD3929">
              <w:rPr>
                <w:noProof/>
                <w:webHidden/>
              </w:rPr>
              <w:fldChar w:fldCharType="end"/>
            </w:r>
          </w:hyperlink>
        </w:p>
        <w:p w14:paraId="51E5C9EE" w14:textId="5DF9CF52" w:rsidR="00DD3929" w:rsidRDefault="00000000">
          <w:pPr>
            <w:pStyle w:val="Spistreci4"/>
            <w:rPr>
              <w:rFonts w:asciiTheme="minorHAnsi" w:eastAsiaTheme="minorEastAsia" w:hAnsiTheme="minorHAnsi"/>
              <w:noProof/>
              <w:sz w:val="24"/>
              <w:szCs w:val="24"/>
              <w:lang w:eastAsia="pl-PL"/>
            </w:rPr>
          </w:pPr>
          <w:hyperlink w:anchor="_Toc179537002" w:history="1">
            <w:r w:rsidR="00DD3929" w:rsidRPr="009D3A92">
              <w:rPr>
                <w:rStyle w:val="Hipercze"/>
                <w:noProof/>
              </w:rPr>
              <w:t>Cel. 4.5.5.</w:t>
            </w:r>
            <w:r w:rsidR="00DD3929">
              <w:rPr>
                <w:rFonts w:asciiTheme="minorHAnsi" w:eastAsiaTheme="minorEastAsia" w:hAnsiTheme="minorHAnsi"/>
                <w:noProof/>
                <w:sz w:val="24"/>
                <w:szCs w:val="24"/>
                <w:lang w:eastAsia="pl-PL"/>
              </w:rPr>
              <w:tab/>
            </w:r>
            <w:r w:rsidR="00DD3929" w:rsidRPr="009D3A92">
              <w:rPr>
                <w:rStyle w:val="Hipercze"/>
                <w:noProof/>
              </w:rPr>
              <w:t>Zachowanie równowagi społecznej i ekonomicznej</w:t>
            </w:r>
            <w:r w:rsidR="00DD3929">
              <w:rPr>
                <w:noProof/>
                <w:webHidden/>
              </w:rPr>
              <w:tab/>
            </w:r>
            <w:r w:rsidR="00DD3929">
              <w:rPr>
                <w:noProof/>
                <w:webHidden/>
              </w:rPr>
              <w:fldChar w:fldCharType="begin"/>
            </w:r>
            <w:r w:rsidR="00DD3929">
              <w:rPr>
                <w:noProof/>
                <w:webHidden/>
              </w:rPr>
              <w:instrText xml:space="preserve"> PAGEREF _Toc179537002 \h </w:instrText>
            </w:r>
            <w:r w:rsidR="00DD3929">
              <w:rPr>
                <w:noProof/>
                <w:webHidden/>
              </w:rPr>
            </w:r>
            <w:r w:rsidR="00DD3929">
              <w:rPr>
                <w:noProof/>
                <w:webHidden/>
              </w:rPr>
              <w:fldChar w:fldCharType="separate"/>
            </w:r>
            <w:r w:rsidR="00103318">
              <w:rPr>
                <w:noProof/>
                <w:webHidden/>
              </w:rPr>
              <w:t>122</w:t>
            </w:r>
            <w:r w:rsidR="00DD3929">
              <w:rPr>
                <w:noProof/>
                <w:webHidden/>
              </w:rPr>
              <w:fldChar w:fldCharType="end"/>
            </w:r>
          </w:hyperlink>
        </w:p>
        <w:p w14:paraId="77808A32" w14:textId="0783EBE7" w:rsidR="00DD3929" w:rsidRDefault="00000000">
          <w:pPr>
            <w:pStyle w:val="Spistreci2"/>
            <w:rPr>
              <w:rFonts w:asciiTheme="minorHAnsi" w:eastAsiaTheme="minorEastAsia" w:hAnsiTheme="minorHAnsi"/>
              <w:noProof/>
              <w:sz w:val="24"/>
              <w:szCs w:val="24"/>
              <w:lang w:eastAsia="pl-PL"/>
            </w:rPr>
          </w:pPr>
          <w:hyperlink w:anchor="_Toc179537003" w:history="1">
            <w:r w:rsidR="00DD3929" w:rsidRPr="009D3A92">
              <w:rPr>
                <w:rStyle w:val="Hipercze"/>
                <w:noProof/>
              </w:rPr>
              <w:t>5. Badania naukowe, innowacje i konkurencyjność</w:t>
            </w:r>
            <w:r w:rsidR="00DD3929">
              <w:rPr>
                <w:noProof/>
                <w:webHidden/>
              </w:rPr>
              <w:tab/>
            </w:r>
            <w:r w:rsidR="00DD3929">
              <w:rPr>
                <w:noProof/>
                <w:webHidden/>
              </w:rPr>
              <w:fldChar w:fldCharType="begin"/>
            </w:r>
            <w:r w:rsidR="00DD3929">
              <w:rPr>
                <w:noProof/>
                <w:webHidden/>
              </w:rPr>
              <w:instrText xml:space="preserve"> PAGEREF _Toc179537003 \h </w:instrText>
            </w:r>
            <w:r w:rsidR="00DD3929">
              <w:rPr>
                <w:noProof/>
                <w:webHidden/>
              </w:rPr>
            </w:r>
            <w:r w:rsidR="00DD3929">
              <w:rPr>
                <w:noProof/>
                <w:webHidden/>
              </w:rPr>
              <w:fldChar w:fldCharType="separate"/>
            </w:r>
            <w:r w:rsidR="00103318">
              <w:rPr>
                <w:noProof/>
                <w:webHidden/>
              </w:rPr>
              <w:t>124</w:t>
            </w:r>
            <w:r w:rsidR="00DD3929">
              <w:rPr>
                <w:noProof/>
                <w:webHidden/>
              </w:rPr>
              <w:fldChar w:fldCharType="end"/>
            </w:r>
          </w:hyperlink>
        </w:p>
        <w:p w14:paraId="19429F18" w14:textId="06EF7271" w:rsidR="00DD3929" w:rsidRDefault="00000000">
          <w:pPr>
            <w:pStyle w:val="Spistreci4"/>
            <w:rPr>
              <w:rFonts w:asciiTheme="minorHAnsi" w:eastAsiaTheme="minorEastAsia" w:hAnsiTheme="minorHAnsi"/>
              <w:noProof/>
              <w:sz w:val="24"/>
              <w:szCs w:val="24"/>
              <w:lang w:eastAsia="pl-PL"/>
            </w:rPr>
          </w:pPr>
          <w:hyperlink w:anchor="_Toc179537004" w:history="1">
            <w:r w:rsidR="00DD3929" w:rsidRPr="009D3A92">
              <w:rPr>
                <w:rStyle w:val="Hipercze"/>
                <w:noProof/>
              </w:rPr>
              <w:t>Cel. 5.1.1.</w:t>
            </w:r>
            <w:r w:rsidR="00DD3929">
              <w:rPr>
                <w:rFonts w:asciiTheme="minorHAnsi" w:eastAsiaTheme="minorEastAsia" w:hAnsiTheme="minorHAnsi"/>
                <w:noProof/>
                <w:sz w:val="24"/>
                <w:szCs w:val="24"/>
                <w:lang w:eastAsia="pl-PL"/>
              </w:rPr>
              <w:tab/>
            </w:r>
            <w:r w:rsidR="00DD3929" w:rsidRPr="009D3A92">
              <w:rPr>
                <w:rStyle w:val="Hipercze"/>
                <w:noProof/>
              </w:rPr>
              <w:t>Zapewnienie środków na badania i rozwój</w:t>
            </w:r>
            <w:r w:rsidR="00DD3929">
              <w:rPr>
                <w:noProof/>
                <w:webHidden/>
              </w:rPr>
              <w:tab/>
            </w:r>
            <w:r w:rsidR="00DD3929">
              <w:rPr>
                <w:noProof/>
                <w:webHidden/>
              </w:rPr>
              <w:fldChar w:fldCharType="begin"/>
            </w:r>
            <w:r w:rsidR="00DD3929">
              <w:rPr>
                <w:noProof/>
                <w:webHidden/>
              </w:rPr>
              <w:instrText xml:space="preserve"> PAGEREF _Toc179537004 \h </w:instrText>
            </w:r>
            <w:r w:rsidR="00DD3929">
              <w:rPr>
                <w:noProof/>
                <w:webHidden/>
              </w:rPr>
            </w:r>
            <w:r w:rsidR="00DD3929">
              <w:rPr>
                <w:noProof/>
                <w:webHidden/>
              </w:rPr>
              <w:fldChar w:fldCharType="separate"/>
            </w:r>
            <w:r w:rsidR="00103318">
              <w:rPr>
                <w:noProof/>
                <w:webHidden/>
              </w:rPr>
              <w:t>125</w:t>
            </w:r>
            <w:r w:rsidR="00DD3929">
              <w:rPr>
                <w:noProof/>
                <w:webHidden/>
              </w:rPr>
              <w:fldChar w:fldCharType="end"/>
            </w:r>
          </w:hyperlink>
        </w:p>
        <w:p w14:paraId="2BDE2A2C" w14:textId="6BF327BA" w:rsidR="00DD3929" w:rsidRDefault="00000000">
          <w:pPr>
            <w:pStyle w:val="Spistreci4"/>
            <w:rPr>
              <w:rFonts w:asciiTheme="minorHAnsi" w:eastAsiaTheme="minorEastAsia" w:hAnsiTheme="minorHAnsi"/>
              <w:noProof/>
              <w:sz w:val="24"/>
              <w:szCs w:val="24"/>
              <w:lang w:eastAsia="pl-PL"/>
            </w:rPr>
          </w:pPr>
          <w:hyperlink w:anchor="_Toc179537005" w:history="1">
            <w:r w:rsidR="00DD3929" w:rsidRPr="009D3A92">
              <w:rPr>
                <w:rStyle w:val="Hipercze"/>
                <w:noProof/>
              </w:rPr>
              <w:t>Cel. 5.1.2.</w:t>
            </w:r>
            <w:r w:rsidR="00DD3929">
              <w:rPr>
                <w:rFonts w:asciiTheme="minorHAnsi" w:eastAsiaTheme="minorEastAsia" w:hAnsiTheme="minorHAnsi"/>
                <w:noProof/>
                <w:sz w:val="24"/>
                <w:szCs w:val="24"/>
                <w:lang w:eastAsia="pl-PL"/>
              </w:rPr>
              <w:tab/>
            </w:r>
            <w:r w:rsidR="00DD3929" w:rsidRPr="009D3A92">
              <w:rPr>
                <w:rStyle w:val="Hipercze"/>
                <w:noProof/>
              </w:rPr>
              <w:t>Rozwój w obszarach sprzyjających transformacji do gospodarki neutralnej klimatycznie</w:t>
            </w:r>
            <w:r w:rsidR="00DD3929">
              <w:rPr>
                <w:noProof/>
                <w:webHidden/>
              </w:rPr>
              <w:tab/>
            </w:r>
            <w:r w:rsidR="00DD3929">
              <w:rPr>
                <w:noProof/>
                <w:webHidden/>
              </w:rPr>
              <w:fldChar w:fldCharType="begin"/>
            </w:r>
            <w:r w:rsidR="00DD3929">
              <w:rPr>
                <w:noProof/>
                <w:webHidden/>
              </w:rPr>
              <w:instrText xml:space="preserve"> PAGEREF _Toc179537005 \h </w:instrText>
            </w:r>
            <w:r w:rsidR="00DD3929">
              <w:rPr>
                <w:noProof/>
                <w:webHidden/>
              </w:rPr>
            </w:r>
            <w:r w:rsidR="00DD3929">
              <w:rPr>
                <w:noProof/>
                <w:webHidden/>
              </w:rPr>
              <w:fldChar w:fldCharType="separate"/>
            </w:r>
            <w:r w:rsidR="00103318">
              <w:rPr>
                <w:noProof/>
                <w:webHidden/>
              </w:rPr>
              <w:t>126</w:t>
            </w:r>
            <w:r w:rsidR="00DD3929">
              <w:rPr>
                <w:noProof/>
                <w:webHidden/>
              </w:rPr>
              <w:fldChar w:fldCharType="end"/>
            </w:r>
          </w:hyperlink>
        </w:p>
        <w:p w14:paraId="05049448" w14:textId="2490E139" w:rsidR="00DD3929" w:rsidRDefault="00000000">
          <w:pPr>
            <w:pStyle w:val="Spistreci4"/>
            <w:rPr>
              <w:rFonts w:asciiTheme="minorHAnsi" w:eastAsiaTheme="minorEastAsia" w:hAnsiTheme="minorHAnsi"/>
              <w:noProof/>
              <w:sz w:val="24"/>
              <w:szCs w:val="24"/>
              <w:lang w:eastAsia="pl-PL"/>
            </w:rPr>
          </w:pPr>
          <w:hyperlink w:anchor="_Toc179537006" w:history="1">
            <w:r w:rsidR="00DD3929" w:rsidRPr="009D3A92">
              <w:rPr>
                <w:rStyle w:val="Hipercze"/>
                <w:noProof/>
              </w:rPr>
              <w:t>Cel. 5.1.3.</w:t>
            </w:r>
            <w:r w:rsidR="00DD3929">
              <w:rPr>
                <w:rFonts w:asciiTheme="minorHAnsi" w:eastAsiaTheme="minorEastAsia" w:hAnsiTheme="minorHAnsi"/>
                <w:noProof/>
                <w:sz w:val="24"/>
                <w:szCs w:val="24"/>
                <w:lang w:eastAsia="pl-PL"/>
              </w:rPr>
              <w:tab/>
            </w:r>
            <w:r w:rsidR="00DD3929" w:rsidRPr="009D3A92">
              <w:rPr>
                <w:rStyle w:val="Hipercze"/>
                <w:noProof/>
              </w:rPr>
              <w:t>Rozwój kompetencji kadrowych na potrzeby transformacji klimatyczno-energetycznej</w:t>
            </w:r>
            <w:r w:rsidR="00DD3929">
              <w:rPr>
                <w:noProof/>
                <w:webHidden/>
              </w:rPr>
              <w:tab/>
            </w:r>
            <w:r w:rsidR="00DD3929">
              <w:rPr>
                <w:noProof/>
                <w:webHidden/>
              </w:rPr>
              <w:fldChar w:fldCharType="begin"/>
            </w:r>
            <w:r w:rsidR="00DD3929">
              <w:rPr>
                <w:noProof/>
                <w:webHidden/>
              </w:rPr>
              <w:instrText xml:space="preserve"> PAGEREF _Toc179537006 \h </w:instrText>
            </w:r>
            <w:r w:rsidR="00DD3929">
              <w:rPr>
                <w:noProof/>
                <w:webHidden/>
              </w:rPr>
            </w:r>
            <w:r w:rsidR="00DD3929">
              <w:rPr>
                <w:noProof/>
                <w:webHidden/>
              </w:rPr>
              <w:fldChar w:fldCharType="separate"/>
            </w:r>
            <w:r w:rsidR="00103318">
              <w:rPr>
                <w:noProof/>
                <w:webHidden/>
              </w:rPr>
              <w:t>128</w:t>
            </w:r>
            <w:r w:rsidR="00DD3929">
              <w:rPr>
                <w:noProof/>
                <w:webHidden/>
              </w:rPr>
              <w:fldChar w:fldCharType="end"/>
            </w:r>
          </w:hyperlink>
        </w:p>
        <w:p w14:paraId="1BB94DC6" w14:textId="383123A6" w:rsidR="00DD3929" w:rsidRDefault="00000000">
          <w:pPr>
            <w:pStyle w:val="Spistreci1"/>
            <w:rPr>
              <w:rFonts w:asciiTheme="minorHAnsi" w:eastAsiaTheme="minorEastAsia" w:hAnsiTheme="minorHAnsi"/>
              <w:noProof/>
              <w:sz w:val="24"/>
              <w:szCs w:val="24"/>
              <w:lang w:eastAsia="pl-PL"/>
            </w:rPr>
          </w:pPr>
          <w:hyperlink w:anchor="_Toc179537007" w:history="1">
            <w:r w:rsidR="00DD3929" w:rsidRPr="009D3A92">
              <w:rPr>
                <w:rStyle w:val="Hipercze"/>
                <w:rFonts w:ascii="Lato" w:hAnsi="Lato"/>
                <w:noProof/>
              </w:rPr>
              <w:t>III.</w:t>
            </w:r>
            <w:r w:rsidR="00DD3929">
              <w:rPr>
                <w:rFonts w:asciiTheme="minorHAnsi" w:eastAsiaTheme="minorEastAsia" w:hAnsiTheme="minorHAnsi"/>
                <w:noProof/>
                <w:sz w:val="24"/>
                <w:szCs w:val="24"/>
                <w:lang w:eastAsia="pl-PL"/>
              </w:rPr>
              <w:tab/>
            </w:r>
            <w:r w:rsidR="00DD3929" w:rsidRPr="009D3A92">
              <w:rPr>
                <w:rStyle w:val="Hipercze"/>
                <w:noProof/>
              </w:rPr>
              <w:t>DZIAŁANIA</w:t>
            </w:r>
            <w:r w:rsidR="00DD3929">
              <w:rPr>
                <w:noProof/>
                <w:webHidden/>
              </w:rPr>
              <w:tab/>
            </w:r>
            <w:r w:rsidR="00DD3929">
              <w:rPr>
                <w:noProof/>
                <w:webHidden/>
              </w:rPr>
              <w:fldChar w:fldCharType="begin"/>
            </w:r>
            <w:r w:rsidR="00DD3929">
              <w:rPr>
                <w:noProof/>
                <w:webHidden/>
              </w:rPr>
              <w:instrText xml:space="preserve"> PAGEREF _Toc179537007 \h </w:instrText>
            </w:r>
            <w:r w:rsidR="00DD3929">
              <w:rPr>
                <w:noProof/>
                <w:webHidden/>
              </w:rPr>
            </w:r>
            <w:r w:rsidR="00DD3929">
              <w:rPr>
                <w:noProof/>
                <w:webHidden/>
              </w:rPr>
              <w:fldChar w:fldCharType="separate"/>
            </w:r>
            <w:r w:rsidR="00103318">
              <w:rPr>
                <w:noProof/>
                <w:webHidden/>
              </w:rPr>
              <w:t>130</w:t>
            </w:r>
            <w:r w:rsidR="00DD3929">
              <w:rPr>
                <w:noProof/>
                <w:webHidden/>
              </w:rPr>
              <w:fldChar w:fldCharType="end"/>
            </w:r>
          </w:hyperlink>
        </w:p>
        <w:p w14:paraId="2EE96093" w14:textId="199DAB1D" w:rsidR="00DD3929" w:rsidRDefault="00000000">
          <w:pPr>
            <w:pStyle w:val="Spistreci2"/>
            <w:rPr>
              <w:rFonts w:asciiTheme="minorHAnsi" w:eastAsiaTheme="minorEastAsia" w:hAnsiTheme="minorHAnsi"/>
              <w:noProof/>
              <w:sz w:val="24"/>
              <w:szCs w:val="24"/>
              <w:lang w:eastAsia="pl-PL"/>
            </w:rPr>
          </w:pPr>
          <w:hyperlink w:anchor="_Toc179537008" w:history="1">
            <w:r w:rsidR="00DD3929" w:rsidRPr="009D3A92">
              <w:rPr>
                <w:rStyle w:val="Hipercze"/>
                <w:noProof/>
              </w:rPr>
              <w:t>1. Obniżenie emisyjności</w:t>
            </w:r>
            <w:r w:rsidR="00DD3929">
              <w:rPr>
                <w:noProof/>
                <w:webHidden/>
              </w:rPr>
              <w:tab/>
            </w:r>
            <w:r w:rsidR="00DD3929">
              <w:rPr>
                <w:noProof/>
                <w:webHidden/>
              </w:rPr>
              <w:fldChar w:fldCharType="begin"/>
            </w:r>
            <w:r w:rsidR="00DD3929">
              <w:rPr>
                <w:noProof/>
                <w:webHidden/>
              </w:rPr>
              <w:instrText xml:space="preserve"> PAGEREF _Toc179537008 \h </w:instrText>
            </w:r>
            <w:r w:rsidR="00DD3929">
              <w:rPr>
                <w:noProof/>
                <w:webHidden/>
              </w:rPr>
            </w:r>
            <w:r w:rsidR="00DD3929">
              <w:rPr>
                <w:noProof/>
                <w:webHidden/>
              </w:rPr>
              <w:fldChar w:fldCharType="separate"/>
            </w:r>
            <w:r w:rsidR="00103318">
              <w:rPr>
                <w:noProof/>
                <w:webHidden/>
              </w:rPr>
              <w:t>131</w:t>
            </w:r>
            <w:r w:rsidR="00DD3929">
              <w:rPr>
                <w:noProof/>
                <w:webHidden/>
              </w:rPr>
              <w:fldChar w:fldCharType="end"/>
            </w:r>
          </w:hyperlink>
        </w:p>
        <w:p w14:paraId="4A2AB15B" w14:textId="7F493AE5" w:rsidR="00DD3929" w:rsidRDefault="00000000">
          <w:pPr>
            <w:pStyle w:val="Spistreci2"/>
            <w:rPr>
              <w:rFonts w:asciiTheme="minorHAnsi" w:eastAsiaTheme="minorEastAsia" w:hAnsiTheme="minorHAnsi"/>
              <w:noProof/>
              <w:sz w:val="24"/>
              <w:szCs w:val="24"/>
              <w:lang w:eastAsia="pl-PL"/>
            </w:rPr>
          </w:pPr>
          <w:hyperlink w:anchor="_Toc179537009" w:history="1">
            <w:r w:rsidR="00DD3929" w:rsidRPr="009D3A92">
              <w:rPr>
                <w:rStyle w:val="Hipercze"/>
                <w:noProof/>
              </w:rPr>
              <w:t>2. Efektywność energetyczna</w:t>
            </w:r>
            <w:r w:rsidR="00DD3929">
              <w:rPr>
                <w:noProof/>
                <w:webHidden/>
              </w:rPr>
              <w:tab/>
            </w:r>
            <w:r w:rsidR="00DD3929">
              <w:rPr>
                <w:noProof/>
                <w:webHidden/>
              </w:rPr>
              <w:fldChar w:fldCharType="begin"/>
            </w:r>
            <w:r w:rsidR="00DD3929">
              <w:rPr>
                <w:noProof/>
                <w:webHidden/>
              </w:rPr>
              <w:instrText xml:space="preserve"> PAGEREF _Toc179537009 \h </w:instrText>
            </w:r>
            <w:r w:rsidR="00DD3929">
              <w:rPr>
                <w:noProof/>
                <w:webHidden/>
              </w:rPr>
            </w:r>
            <w:r w:rsidR="00DD3929">
              <w:rPr>
                <w:noProof/>
                <w:webHidden/>
              </w:rPr>
              <w:fldChar w:fldCharType="separate"/>
            </w:r>
            <w:r w:rsidR="00103318">
              <w:rPr>
                <w:noProof/>
                <w:webHidden/>
              </w:rPr>
              <w:t>147</w:t>
            </w:r>
            <w:r w:rsidR="00DD3929">
              <w:rPr>
                <w:noProof/>
                <w:webHidden/>
              </w:rPr>
              <w:fldChar w:fldCharType="end"/>
            </w:r>
          </w:hyperlink>
        </w:p>
        <w:p w14:paraId="62E2D49C" w14:textId="6444DC34" w:rsidR="00DD3929" w:rsidRDefault="00000000">
          <w:pPr>
            <w:pStyle w:val="Spistreci2"/>
            <w:rPr>
              <w:rFonts w:asciiTheme="minorHAnsi" w:eastAsiaTheme="minorEastAsia" w:hAnsiTheme="minorHAnsi"/>
              <w:noProof/>
              <w:sz w:val="24"/>
              <w:szCs w:val="24"/>
              <w:lang w:eastAsia="pl-PL"/>
            </w:rPr>
          </w:pPr>
          <w:hyperlink w:anchor="_Toc179537010" w:history="1">
            <w:r w:rsidR="00DD3929" w:rsidRPr="009D3A92">
              <w:rPr>
                <w:rStyle w:val="Hipercze"/>
                <w:noProof/>
              </w:rPr>
              <w:t>3. Bezpieczeństwo energetyczne</w:t>
            </w:r>
            <w:r w:rsidR="00DD3929">
              <w:rPr>
                <w:noProof/>
                <w:webHidden/>
              </w:rPr>
              <w:tab/>
            </w:r>
            <w:r w:rsidR="00DD3929">
              <w:rPr>
                <w:noProof/>
                <w:webHidden/>
              </w:rPr>
              <w:fldChar w:fldCharType="begin"/>
            </w:r>
            <w:r w:rsidR="00DD3929">
              <w:rPr>
                <w:noProof/>
                <w:webHidden/>
              </w:rPr>
              <w:instrText xml:space="preserve"> PAGEREF _Toc179537010 \h </w:instrText>
            </w:r>
            <w:r w:rsidR="00DD3929">
              <w:rPr>
                <w:noProof/>
                <w:webHidden/>
              </w:rPr>
            </w:r>
            <w:r w:rsidR="00DD3929">
              <w:rPr>
                <w:noProof/>
                <w:webHidden/>
              </w:rPr>
              <w:fldChar w:fldCharType="separate"/>
            </w:r>
            <w:r w:rsidR="00103318">
              <w:rPr>
                <w:noProof/>
                <w:webHidden/>
              </w:rPr>
              <w:t>150</w:t>
            </w:r>
            <w:r w:rsidR="00DD3929">
              <w:rPr>
                <w:noProof/>
                <w:webHidden/>
              </w:rPr>
              <w:fldChar w:fldCharType="end"/>
            </w:r>
          </w:hyperlink>
        </w:p>
        <w:p w14:paraId="33035BBC" w14:textId="1A0D25BF" w:rsidR="00DD3929" w:rsidRDefault="00000000">
          <w:pPr>
            <w:pStyle w:val="Spistreci2"/>
            <w:rPr>
              <w:rFonts w:asciiTheme="minorHAnsi" w:eastAsiaTheme="minorEastAsia" w:hAnsiTheme="minorHAnsi"/>
              <w:noProof/>
              <w:sz w:val="24"/>
              <w:szCs w:val="24"/>
              <w:lang w:eastAsia="pl-PL"/>
            </w:rPr>
          </w:pPr>
          <w:hyperlink w:anchor="_Toc179537011" w:history="1">
            <w:r w:rsidR="00DD3929" w:rsidRPr="009D3A92">
              <w:rPr>
                <w:rStyle w:val="Hipercze"/>
                <w:noProof/>
              </w:rPr>
              <w:t>4. Wewnątrzunijny rynek energii i społeczne aspekty transformacji</w:t>
            </w:r>
            <w:r w:rsidR="00DD3929">
              <w:rPr>
                <w:noProof/>
                <w:webHidden/>
              </w:rPr>
              <w:tab/>
            </w:r>
            <w:r w:rsidR="00DD3929">
              <w:rPr>
                <w:noProof/>
                <w:webHidden/>
              </w:rPr>
              <w:fldChar w:fldCharType="begin"/>
            </w:r>
            <w:r w:rsidR="00DD3929">
              <w:rPr>
                <w:noProof/>
                <w:webHidden/>
              </w:rPr>
              <w:instrText xml:space="preserve"> PAGEREF _Toc179537011 \h </w:instrText>
            </w:r>
            <w:r w:rsidR="00DD3929">
              <w:rPr>
                <w:noProof/>
                <w:webHidden/>
              </w:rPr>
            </w:r>
            <w:r w:rsidR="00DD3929">
              <w:rPr>
                <w:noProof/>
                <w:webHidden/>
              </w:rPr>
              <w:fldChar w:fldCharType="separate"/>
            </w:r>
            <w:r w:rsidR="00103318">
              <w:rPr>
                <w:noProof/>
                <w:webHidden/>
              </w:rPr>
              <w:t>154</w:t>
            </w:r>
            <w:r w:rsidR="00DD3929">
              <w:rPr>
                <w:noProof/>
                <w:webHidden/>
              </w:rPr>
              <w:fldChar w:fldCharType="end"/>
            </w:r>
          </w:hyperlink>
        </w:p>
        <w:p w14:paraId="22E306D4" w14:textId="096E87EA" w:rsidR="00DD3929" w:rsidRDefault="00000000">
          <w:pPr>
            <w:pStyle w:val="Spistreci2"/>
            <w:rPr>
              <w:rFonts w:asciiTheme="minorHAnsi" w:eastAsiaTheme="minorEastAsia" w:hAnsiTheme="minorHAnsi"/>
              <w:noProof/>
              <w:sz w:val="24"/>
              <w:szCs w:val="24"/>
              <w:lang w:eastAsia="pl-PL"/>
            </w:rPr>
          </w:pPr>
          <w:hyperlink w:anchor="_Toc179537012" w:history="1">
            <w:r w:rsidR="00DD3929" w:rsidRPr="009D3A92">
              <w:rPr>
                <w:rStyle w:val="Hipercze"/>
                <w:noProof/>
              </w:rPr>
              <w:t>5. Badania naukowe, innowacje i konkurencyjność</w:t>
            </w:r>
            <w:r w:rsidR="00DD3929">
              <w:rPr>
                <w:noProof/>
                <w:webHidden/>
              </w:rPr>
              <w:tab/>
            </w:r>
            <w:r w:rsidR="00DD3929">
              <w:rPr>
                <w:noProof/>
                <w:webHidden/>
              </w:rPr>
              <w:fldChar w:fldCharType="begin"/>
            </w:r>
            <w:r w:rsidR="00DD3929">
              <w:rPr>
                <w:noProof/>
                <w:webHidden/>
              </w:rPr>
              <w:instrText xml:space="preserve"> PAGEREF _Toc179537012 \h </w:instrText>
            </w:r>
            <w:r w:rsidR="00DD3929">
              <w:rPr>
                <w:noProof/>
                <w:webHidden/>
              </w:rPr>
            </w:r>
            <w:r w:rsidR="00DD3929">
              <w:rPr>
                <w:noProof/>
                <w:webHidden/>
              </w:rPr>
              <w:fldChar w:fldCharType="separate"/>
            </w:r>
            <w:r w:rsidR="00103318">
              <w:rPr>
                <w:noProof/>
                <w:webHidden/>
              </w:rPr>
              <w:t>157</w:t>
            </w:r>
            <w:r w:rsidR="00DD3929">
              <w:rPr>
                <w:noProof/>
                <w:webHidden/>
              </w:rPr>
              <w:fldChar w:fldCharType="end"/>
            </w:r>
          </w:hyperlink>
        </w:p>
        <w:p w14:paraId="7A89AA16" w14:textId="4C5A753A" w:rsidR="00DD3929" w:rsidRDefault="00000000">
          <w:pPr>
            <w:pStyle w:val="Spistreci1"/>
            <w:rPr>
              <w:rFonts w:asciiTheme="minorHAnsi" w:eastAsiaTheme="minorEastAsia" w:hAnsiTheme="minorHAnsi"/>
              <w:noProof/>
              <w:sz w:val="24"/>
              <w:szCs w:val="24"/>
              <w:lang w:eastAsia="pl-PL"/>
            </w:rPr>
          </w:pPr>
          <w:hyperlink w:anchor="_Toc179537013" w:history="1">
            <w:r w:rsidR="00DD3929" w:rsidRPr="009D3A92">
              <w:rPr>
                <w:rStyle w:val="Hipercze"/>
                <w:noProof/>
              </w:rPr>
              <w:t>Wykaz regulacji UE (i nazwy zwyczajowe)</w:t>
            </w:r>
            <w:r w:rsidR="00DD3929">
              <w:rPr>
                <w:noProof/>
                <w:webHidden/>
              </w:rPr>
              <w:tab/>
            </w:r>
            <w:r w:rsidR="00DD3929">
              <w:rPr>
                <w:noProof/>
                <w:webHidden/>
              </w:rPr>
              <w:fldChar w:fldCharType="begin"/>
            </w:r>
            <w:r w:rsidR="00DD3929">
              <w:rPr>
                <w:noProof/>
                <w:webHidden/>
              </w:rPr>
              <w:instrText xml:space="preserve"> PAGEREF _Toc179537013 \h </w:instrText>
            </w:r>
            <w:r w:rsidR="00DD3929">
              <w:rPr>
                <w:noProof/>
                <w:webHidden/>
              </w:rPr>
            </w:r>
            <w:r w:rsidR="00DD3929">
              <w:rPr>
                <w:noProof/>
                <w:webHidden/>
              </w:rPr>
              <w:fldChar w:fldCharType="separate"/>
            </w:r>
            <w:r w:rsidR="00103318">
              <w:rPr>
                <w:noProof/>
                <w:webHidden/>
              </w:rPr>
              <w:t>160</w:t>
            </w:r>
            <w:r w:rsidR="00DD3929">
              <w:rPr>
                <w:noProof/>
                <w:webHidden/>
              </w:rPr>
              <w:fldChar w:fldCharType="end"/>
            </w:r>
          </w:hyperlink>
        </w:p>
        <w:p w14:paraId="0E4EFB3E" w14:textId="7741B7D0" w:rsidR="00DD3929" w:rsidRDefault="00000000">
          <w:pPr>
            <w:pStyle w:val="Spistreci1"/>
            <w:rPr>
              <w:rFonts w:asciiTheme="minorHAnsi" w:eastAsiaTheme="minorEastAsia" w:hAnsiTheme="minorHAnsi"/>
              <w:noProof/>
              <w:sz w:val="24"/>
              <w:szCs w:val="24"/>
              <w:lang w:eastAsia="pl-PL"/>
            </w:rPr>
          </w:pPr>
          <w:hyperlink w:anchor="_Toc179537014" w:history="1">
            <w:r w:rsidR="00DD3929" w:rsidRPr="009D3A92">
              <w:rPr>
                <w:rStyle w:val="Hipercze"/>
                <w:noProof/>
              </w:rPr>
              <w:t>Wykaz skrótów</w:t>
            </w:r>
            <w:r w:rsidR="00DD3929">
              <w:rPr>
                <w:noProof/>
                <w:webHidden/>
              </w:rPr>
              <w:tab/>
            </w:r>
            <w:r w:rsidR="00DD3929">
              <w:rPr>
                <w:noProof/>
                <w:webHidden/>
              </w:rPr>
              <w:fldChar w:fldCharType="begin"/>
            </w:r>
            <w:r w:rsidR="00DD3929">
              <w:rPr>
                <w:noProof/>
                <w:webHidden/>
              </w:rPr>
              <w:instrText xml:space="preserve"> PAGEREF _Toc179537014 \h </w:instrText>
            </w:r>
            <w:r w:rsidR="00DD3929">
              <w:rPr>
                <w:noProof/>
                <w:webHidden/>
              </w:rPr>
            </w:r>
            <w:r w:rsidR="00DD3929">
              <w:rPr>
                <w:noProof/>
                <w:webHidden/>
              </w:rPr>
              <w:fldChar w:fldCharType="separate"/>
            </w:r>
            <w:r w:rsidR="00103318">
              <w:rPr>
                <w:noProof/>
                <w:webHidden/>
              </w:rPr>
              <w:t>163</w:t>
            </w:r>
            <w:r w:rsidR="00DD3929">
              <w:rPr>
                <w:noProof/>
                <w:webHidden/>
              </w:rPr>
              <w:fldChar w:fldCharType="end"/>
            </w:r>
          </w:hyperlink>
        </w:p>
        <w:p w14:paraId="53360017" w14:textId="070926B6" w:rsidR="00BA46AC" w:rsidRDefault="00955EE6">
          <w:r>
            <w:rPr>
              <w:rFonts w:ascii="Bahnschrift" w:hAnsi="Bahnschrift"/>
              <w:sz w:val="22"/>
            </w:rPr>
            <w:fldChar w:fldCharType="end"/>
          </w:r>
        </w:p>
      </w:sdtContent>
    </w:sdt>
    <w:p w14:paraId="537E9E8B" w14:textId="77777777" w:rsidR="00BA46AC" w:rsidRDefault="00BA46AC" w:rsidP="008F3871">
      <w:pPr>
        <w:pStyle w:val="Nagwek1"/>
      </w:pPr>
      <w:r>
        <w:br w:type="page"/>
      </w:r>
    </w:p>
    <w:p w14:paraId="5C1B727E" w14:textId="3C57AE7D" w:rsidR="005401AE" w:rsidRDefault="005401AE" w:rsidP="005401AE">
      <w:pPr>
        <w:pStyle w:val="Nagwek1"/>
        <w:numPr>
          <w:ilvl w:val="0"/>
          <w:numId w:val="0"/>
        </w:numPr>
      </w:pPr>
      <w:bookmarkStart w:id="0" w:name="_Toc179536925"/>
      <w:bookmarkStart w:id="1" w:name="_Toc159598278"/>
      <w:r>
        <w:lastRenderedPageBreak/>
        <w:t>Słowo wstępu</w:t>
      </w:r>
      <w:bookmarkEnd w:id="0"/>
    </w:p>
    <w:p w14:paraId="197F12B0" w14:textId="77777777" w:rsidR="001E633D" w:rsidRPr="005E059A" w:rsidRDefault="001E633D" w:rsidP="005E059A">
      <w:pPr>
        <w:spacing w:line="276" w:lineRule="auto"/>
        <w:rPr>
          <w:szCs w:val="20"/>
        </w:rPr>
      </w:pPr>
      <w:r w:rsidRPr="005E059A">
        <w:rPr>
          <w:szCs w:val="20"/>
        </w:rPr>
        <w:t>Szanowni Państwo,</w:t>
      </w:r>
    </w:p>
    <w:p w14:paraId="365E7E00" w14:textId="0F287209" w:rsidR="00B34B5F" w:rsidRPr="005E059A" w:rsidRDefault="00B34B5F" w:rsidP="00B34B5F">
      <w:pPr>
        <w:spacing w:line="276" w:lineRule="auto"/>
        <w:rPr>
          <w:szCs w:val="20"/>
        </w:rPr>
      </w:pPr>
      <w:r>
        <w:rPr>
          <w:szCs w:val="20"/>
        </w:rPr>
        <w:t xml:space="preserve">Powstrzymanie kryzysu klimatycznego poprzez transformację i </w:t>
      </w:r>
      <w:r w:rsidRPr="005E059A">
        <w:rPr>
          <w:szCs w:val="20"/>
        </w:rPr>
        <w:t>osiągnięci</w:t>
      </w:r>
      <w:r>
        <w:rPr>
          <w:szCs w:val="20"/>
        </w:rPr>
        <w:t>e</w:t>
      </w:r>
      <w:r w:rsidRPr="005E059A">
        <w:rPr>
          <w:szCs w:val="20"/>
        </w:rPr>
        <w:t xml:space="preserve"> neutralności klimatycznej to</w:t>
      </w:r>
      <w:r w:rsidR="00DC5106">
        <w:rPr>
          <w:szCs w:val="20"/>
        </w:rPr>
        <w:t> </w:t>
      </w:r>
      <w:r w:rsidRPr="005E059A">
        <w:rPr>
          <w:szCs w:val="20"/>
        </w:rPr>
        <w:t>jedno z największych wyzwań cywilizacyjnych</w:t>
      </w:r>
      <w:r>
        <w:rPr>
          <w:szCs w:val="20"/>
        </w:rPr>
        <w:t xml:space="preserve"> naszego wieku</w:t>
      </w:r>
      <w:r w:rsidRPr="005E059A">
        <w:rPr>
          <w:szCs w:val="20"/>
        </w:rPr>
        <w:t xml:space="preserve">. </w:t>
      </w:r>
      <w:r>
        <w:rPr>
          <w:szCs w:val="20"/>
        </w:rPr>
        <w:t xml:space="preserve">To jednocześnie szansa na epokową poprawę jakości naszego życia, skokowy postęp technologiczny i budowę długofalowego bezpieczeństwa żywnościowego, energetycznego i ekonomicznego. </w:t>
      </w:r>
      <w:r w:rsidRPr="005E059A">
        <w:rPr>
          <w:szCs w:val="20"/>
        </w:rPr>
        <w:t xml:space="preserve">Aby osiągnąć </w:t>
      </w:r>
      <w:r>
        <w:rPr>
          <w:szCs w:val="20"/>
        </w:rPr>
        <w:t xml:space="preserve">te </w:t>
      </w:r>
      <w:r w:rsidRPr="005E059A">
        <w:rPr>
          <w:szCs w:val="20"/>
        </w:rPr>
        <w:t>cel</w:t>
      </w:r>
      <w:r>
        <w:rPr>
          <w:szCs w:val="20"/>
        </w:rPr>
        <w:t>e</w:t>
      </w:r>
      <w:r w:rsidRPr="005E059A">
        <w:rPr>
          <w:szCs w:val="20"/>
        </w:rPr>
        <w:t xml:space="preserve"> </w:t>
      </w:r>
      <w:r>
        <w:rPr>
          <w:szCs w:val="20"/>
        </w:rPr>
        <w:t>jako Unia Europejska,</w:t>
      </w:r>
      <w:r w:rsidRPr="005E059A">
        <w:rPr>
          <w:szCs w:val="20"/>
        </w:rPr>
        <w:t xml:space="preserve"> musimy podejmować konkretne działania rozłożone w</w:t>
      </w:r>
      <w:r>
        <w:rPr>
          <w:szCs w:val="20"/>
        </w:rPr>
        <w:t> </w:t>
      </w:r>
      <w:r w:rsidRPr="005E059A">
        <w:rPr>
          <w:szCs w:val="20"/>
        </w:rPr>
        <w:t xml:space="preserve">czasie na wiele lat. </w:t>
      </w:r>
      <w:r w:rsidRPr="00C643DB">
        <w:rPr>
          <w:i/>
          <w:iCs/>
          <w:szCs w:val="20"/>
        </w:rPr>
        <w:t xml:space="preserve">Krajowy </w:t>
      </w:r>
      <w:r>
        <w:rPr>
          <w:i/>
          <w:iCs/>
          <w:szCs w:val="20"/>
        </w:rPr>
        <w:t>P</w:t>
      </w:r>
      <w:r w:rsidRPr="00C643DB">
        <w:rPr>
          <w:i/>
          <w:iCs/>
          <w:szCs w:val="20"/>
        </w:rPr>
        <w:t xml:space="preserve">lan w dziedzinie </w:t>
      </w:r>
      <w:r>
        <w:rPr>
          <w:i/>
          <w:iCs/>
          <w:szCs w:val="20"/>
        </w:rPr>
        <w:t>E</w:t>
      </w:r>
      <w:r w:rsidRPr="00C643DB">
        <w:rPr>
          <w:i/>
          <w:iCs/>
          <w:szCs w:val="20"/>
        </w:rPr>
        <w:t xml:space="preserve">nergii i </w:t>
      </w:r>
      <w:r>
        <w:rPr>
          <w:i/>
          <w:iCs/>
          <w:szCs w:val="20"/>
        </w:rPr>
        <w:t>K</w:t>
      </w:r>
      <w:r w:rsidRPr="00C643DB">
        <w:rPr>
          <w:i/>
          <w:iCs/>
          <w:szCs w:val="20"/>
        </w:rPr>
        <w:t>limatu do 2030 r.</w:t>
      </w:r>
      <w:r w:rsidRPr="005E059A">
        <w:rPr>
          <w:szCs w:val="20"/>
        </w:rPr>
        <w:t xml:space="preserve"> (aKPEiK) </w:t>
      </w:r>
      <w:r>
        <w:rPr>
          <w:szCs w:val="20"/>
        </w:rPr>
        <w:t xml:space="preserve">jest ważnym krokiem na rzecz </w:t>
      </w:r>
      <w:r w:rsidRPr="005E059A">
        <w:rPr>
          <w:szCs w:val="20"/>
        </w:rPr>
        <w:t>dojścia do</w:t>
      </w:r>
      <w:r>
        <w:rPr>
          <w:szCs w:val="20"/>
        </w:rPr>
        <w:t> </w:t>
      </w:r>
      <w:r w:rsidRPr="005E059A">
        <w:rPr>
          <w:szCs w:val="20"/>
        </w:rPr>
        <w:t xml:space="preserve">neutralności klimatycznej </w:t>
      </w:r>
      <w:r>
        <w:rPr>
          <w:szCs w:val="20"/>
        </w:rPr>
        <w:t>UE do</w:t>
      </w:r>
      <w:r w:rsidRPr="005E059A">
        <w:rPr>
          <w:szCs w:val="20"/>
        </w:rPr>
        <w:t xml:space="preserve"> 2050 r. </w:t>
      </w:r>
      <w:r w:rsidRPr="00CC1B85">
        <w:rPr>
          <w:szCs w:val="20"/>
        </w:rPr>
        <w:t xml:space="preserve">Przed nami pokoleniowa szansa na </w:t>
      </w:r>
      <w:r>
        <w:rPr>
          <w:szCs w:val="20"/>
        </w:rPr>
        <w:t xml:space="preserve">przyspieszenie zrównoważonego </w:t>
      </w:r>
      <w:r w:rsidRPr="00CC1B85">
        <w:rPr>
          <w:szCs w:val="20"/>
        </w:rPr>
        <w:t>rozwoju</w:t>
      </w:r>
      <w:r>
        <w:rPr>
          <w:szCs w:val="20"/>
        </w:rPr>
        <w:t xml:space="preserve"> gospodarczego i </w:t>
      </w:r>
      <w:r w:rsidRPr="00CC1B85">
        <w:rPr>
          <w:szCs w:val="20"/>
        </w:rPr>
        <w:t xml:space="preserve">kształtowanie </w:t>
      </w:r>
      <w:r>
        <w:rPr>
          <w:szCs w:val="20"/>
        </w:rPr>
        <w:t xml:space="preserve">bezpiecznej </w:t>
      </w:r>
      <w:r w:rsidRPr="00CC1B85">
        <w:rPr>
          <w:szCs w:val="20"/>
        </w:rPr>
        <w:t>przyszłości</w:t>
      </w:r>
      <w:r>
        <w:rPr>
          <w:szCs w:val="20"/>
        </w:rPr>
        <w:t>.</w:t>
      </w:r>
    </w:p>
    <w:p w14:paraId="62148443" w14:textId="3751030B" w:rsidR="00B34B5F" w:rsidRPr="005E059A" w:rsidRDefault="00B34B5F" w:rsidP="00B34B5F">
      <w:pPr>
        <w:spacing w:line="276" w:lineRule="auto"/>
        <w:rPr>
          <w:szCs w:val="20"/>
        </w:rPr>
      </w:pPr>
      <w:r w:rsidRPr="005E059A">
        <w:rPr>
          <w:szCs w:val="20"/>
        </w:rPr>
        <w:t xml:space="preserve">Oddajemy w Państwa ręce </w:t>
      </w:r>
      <w:r>
        <w:rPr>
          <w:szCs w:val="20"/>
        </w:rPr>
        <w:t>projekt</w:t>
      </w:r>
      <w:r w:rsidRPr="005E059A">
        <w:rPr>
          <w:szCs w:val="20"/>
        </w:rPr>
        <w:t xml:space="preserve"> aktualizacj</w:t>
      </w:r>
      <w:r>
        <w:rPr>
          <w:szCs w:val="20"/>
        </w:rPr>
        <w:t xml:space="preserve">i </w:t>
      </w:r>
      <w:r w:rsidRPr="00C643DB">
        <w:rPr>
          <w:i/>
          <w:iCs/>
          <w:szCs w:val="20"/>
        </w:rPr>
        <w:t>Krajow</w:t>
      </w:r>
      <w:r>
        <w:rPr>
          <w:i/>
          <w:iCs/>
          <w:szCs w:val="20"/>
        </w:rPr>
        <w:t>ego</w:t>
      </w:r>
      <w:r w:rsidRPr="00C643DB">
        <w:rPr>
          <w:i/>
          <w:iCs/>
          <w:szCs w:val="20"/>
        </w:rPr>
        <w:t xml:space="preserve"> </w:t>
      </w:r>
      <w:r>
        <w:rPr>
          <w:i/>
          <w:iCs/>
          <w:szCs w:val="20"/>
        </w:rPr>
        <w:t>p</w:t>
      </w:r>
      <w:r w:rsidRPr="00C643DB">
        <w:rPr>
          <w:i/>
          <w:iCs/>
          <w:szCs w:val="20"/>
        </w:rPr>
        <w:t xml:space="preserve">lan </w:t>
      </w:r>
      <w:r>
        <w:rPr>
          <w:i/>
          <w:iCs/>
          <w:szCs w:val="20"/>
        </w:rPr>
        <w:t>na rzecz energii i k</w:t>
      </w:r>
      <w:r w:rsidRPr="00C643DB">
        <w:rPr>
          <w:i/>
          <w:iCs/>
          <w:szCs w:val="20"/>
        </w:rPr>
        <w:t xml:space="preserve">limatu </w:t>
      </w:r>
      <w:r>
        <w:rPr>
          <w:i/>
          <w:iCs/>
          <w:szCs w:val="20"/>
        </w:rPr>
        <w:t>na lata 2021–2030</w:t>
      </w:r>
      <w:r>
        <w:rPr>
          <w:szCs w:val="20"/>
        </w:rPr>
        <w:t xml:space="preserve">. To </w:t>
      </w:r>
      <w:r w:rsidRPr="005E059A">
        <w:rPr>
          <w:szCs w:val="20"/>
        </w:rPr>
        <w:t>dokument</w:t>
      </w:r>
      <w:r>
        <w:rPr>
          <w:szCs w:val="20"/>
        </w:rPr>
        <w:t xml:space="preserve"> </w:t>
      </w:r>
      <w:r w:rsidRPr="005E059A">
        <w:rPr>
          <w:szCs w:val="20"/>
        </w:rPr>
        <w:t>strategiczn</w:t>
      </w:r>
      <w:r>
        <w:rPr>
          <w:szCs w:val="20"/>
        </w:rPr>
        <w:t xml:space="preserve">y, </w:t>
      </w:r>
      <w:r w:rsidRPr="005E059A">
        <w:rPr>
          <w:szCs w:val="20"/>
        </w:rPr>
        <w:t>nadając</w:t>
      </w:r>
      <w:r>
        <w:rPr>
          <w:szCs w:val="20"/>
        </w:rPr>
        <w:t>y</w:t>
      </w:r>
      <w:r w:rsidRPr="005E059A">
        <w:rPr>
          <w:szCs w:val="20"/>
        </w:rPr>
        <w:t xml:space="preserve"> kierunki </w:t>
      </w:r>
      <w:r>
        <w:rPr>
          <w:szCs w:val="20"/>
        </w:rPr>
        <w:t xml:space="preserve">i impuls </w:t>
      </w:r>
      <w:r w:rsidRPr="005E059A">
        <w:rPr>
          <w:szCs w:val="20"/>
        </w:rPr>
        <w:t>polskiej transformacji</w:t>
      </w:r>
      <w:r>
        <w:rPr>
          <w:szCs w:val="20"/>
        </w:rPr>
        <w:t xml:space="preserve">. </w:t>
      </w:r>
    </w:p>
    <w:p w14:paraId="4822FC5E" w14:textId="77777777" w:rsidR="00B34B5F" w:rsidRPr="005E059A" w:rsidRDefault="00B34B5F" w:rsidP="00B34B5F">
      <w:pPr>
        <w:spacing w:line="276" w:lineRule="auto"/>
        <w:rPr>
          <w:szCs w:val="20"/>
        </w:rPr>
      </w:pPr>
      <w:r>
        <w:rPr>
          <w:szCs w:val="20"/>
        </w:rPr>
        <w:t>Inspiracją do</w:t>
      </w:r>
      <w:r w:rsidRPr="005E059A">
        <w:rPr>
          <w:szCs w:val="20"/>
        </w:rPr>
        <w:t xml:space="preserve"> powstania tego dokumentu </w:t>
      </w:r>
      <w:r>
        <w:rPr>
          <w:szCs w:val="20"/>
        </w:rPr>
        <w:t>byli</w:t>
      </w:r>
      <w:r w:rsidRPr="005E059A">
        <w:rPr>
          <w:szCs w:val="20"/>
        </w:rPr>
        <w:t xml:space="preserve"> ludzie</w:t>
      </w:r>
      <w:r>
        <w:rPr>
          <w:szCs w:val="20"/>
        </w:rPr>
        <w:t>,</w:t>
      </w:r>
      <w:r w:rsidRPr="005E059A">
        <w:rPr>
          <w:szCs w:val="20"/>
        </w:rPr>
        <w:t xml:space="preserve"> z ich konkretnymi potrzebami, marzeniami i często obawami. Rolą strategii jest stworzenie ram dla rozwoju kraju, który skutecznie chroni </w:t>
      </w:r>
      <w:r>
        <w:rPr>
          <w:szCs w:val="20"/>
        </w:rPr>
        <w:t xml:space="preserve">zdrowie i zapewnia dobrobyt </w:t>
      </w:r>
      <w:r w:rsidRPr="005E059A">
        <w:rPr>
          <w:szCs w:val="20"/>
        </w:rPr>
        <w:t>swoi</w:t>
      </w:r>
      <w:r>
        <w:rPr>
          <w:szCs w:val="20"/>
        </w:rPr>
        <w:t>m</w:t>
      </w:r>
      <w:r w:rsidRPr="005E059A">
        <w:rPr>
          <w:szCs w:val="20"/>
        </w:rPr>
        <w:t xml:space="preserve"> mieszkańc</w:t>
      </w:r>
      <w:r>
        <w:rPr>
          <w:szCs w:val="20"/>
        </w:rPr>
        <w:t>om</w:t>
      </w:r>
      <w:r w:rsidRPr="005E059A">
        <w:rPr>
          <w:szCs w:val="20"/>
        </w:rPr>
        <w:t>, a jednocześnie zapewnia im bezpieczeństwo energetyczne i klimatyczne. Działamy, aby rozwiązywać problemy obywatelek i obywateli. A to w ich interesie jest dekarbonizacja i</w:t>
      </w:r>
      <w:r>
        <w:rPr>
          <w:szCs w:val="20"/>
        </w:rPr>
        <w:t> </w:t>
      </w:r>
      <w:r w:rsidRPr="005E059A">
        <w:rPr>
          <w:szCs w:val="20"/>
        </w:rPr>
        <w:t xml:space="preserve">wzmacnianie gospodarki, innowacyjność i przeciwdziałanie katastrofie klimatycznej. </w:t>
      </w:r>
    </w:p>
    <w:p w14:paraId="01388FEC" w14:textId="0770A5E5" w:rsidR="00B34B5F" w:rsidRPr="005E059A" w:rsidRDefault="00B34B5F" w:rsidP="00B34B5F">
      <w:pPr>
        <w:spacing w:line="276" w:lineRule="auto"/>
        <w:rPr>
          <w:szCs w:val="20"/>
        </w:rPr>
      </w:pPr>
      <w:r>
        <w:rPr>
          <w:szCs w:val="20"/>
        </w:rPr>
        <w:t>S</w:t>
      </w:r>
      <w:r w:rsidRPr="005E059A">
        <w:rPr>
          <w:szCs w:val="20"/>
        </w:rPr>
        <w:t xml:space="preserve">trategia aKPEiK oparta </w:t>
      </w:r>
      <w:r>
        <w:rPr>
          <w:szCs w:val="20"/>
        </w:rPr>
        <w:t xml:space="preserve">jest o </w:t>
      </w:r>
      <w:r w:rsidRPr="005E059A">
        <w:rPr>
          <w:szCs w:val="20"/>
        </w:rPr>
        <w:t xml:space="preserve">scenariusz </w:t>
      </w:r>
      <w:r>
        <w:rPr>
          <w:szCs w:val="20"/>
        </w:rPr>
        <w:t>a</w:t>
      </w:r>
      <w:r w:rsidR="00EA719E">
        <w:rPr>
          <w:szCs w:val="20"/>
        </w:rPr>
        <w:t>ktywnej</w:t>
      </w:r>
      <w:r>
        <w:rPr>
          <w:szCs w:val="20"/>
        </w:rPr>
        <w:t xml:space="preserve"> </w:t>
      </w:r>
      <w:r w:rsidRPr="005E059A">
        <w:rPr>
          <w:szCs w:val="20"/>
        </w:rPr>
        <w:t>transformacji</w:t>
      </w:r>
      <w:r>
        <w:rPr>
          <w:szCs w:val="20"/>
        </w:rPr>
        <w:t>, nazywany WAM (</w:t>
      </w:r>
      <w:r w:rsidRPr="005E059A">
        <w:rPr>
          <w:szCs w:val="20"/>
        </w:rPr>
        <w:t xml:space="preserve">ang. </w:t>
      </w:r>
      <w:r w:rsidRPr="001C0370">
        <w:rPr>
          <w:i/>
          <w:iCs/>
          <w:szCs w:val="20"/>
        </w:rPr>
        <w:t>with additional measures</w:t>
      </w:r>
      <w:r w:rsidRPr="005E059A">
        <w:rPr>
          <w:szCs w:val="20"/>
        </w:rPr>
        <w:t>)</w:t>
      </w:r>
      <w:r>
        <w:rPr>
          <w:szCs w:val="20"/>
        </w:rPr>
        <w:t>, którego szczegóły przedstawiono w załączniku 1.</w:t>
      </w:r>
      <w:r w:rsidRPr="005E059A">
        <w:rPr>
          <w:szCs w:val="20"/>
        </w:rPr>
        <w:t xml:space="preserve"> </w:t>
      </w:r>
      <w:r>
        <w:rPr>
          <w:szCs w:val="20"/>
        </w:rPr>
        <w:t>W załączniku 2 przedstawiamy także s</w:t>
      </w:r>
      <w:r w:rsidRPr="005E059A">
        <w:rPr>
          <w:szCs w:val="20"/>
        </w:rPr>
        <w:t>cenariusz bazowy</w:t>
      </w:r>
      <w:r>
        <w:rPr>
          <w:szCs w:val="20"/>
        </w:rPr>
        <w:t xml:space="preserve">, nazywany WEM (ang. </w:t>
      </w:r>
      <w:r w:rsidRPr="008955EC">
        <w:rPr>
          <w:i/>
          <w:iCs/>
          <w:szCs w:val="20"/>
        </w:rPr>
        <w:t>with existing measures</w:t>
      </w:r>
      <w:r>
        <w:rPr>
          <w:szCs w:val="20"/>
        </w:rPr>
        <w:t>), który</w:t>
      </w:r>
      <w:r w:rsidRPr="005E059A">
        <w:rPr>
          <w:szCs w:val="20"/>
        </w:rPr>
        <w:t xml:space="preserve"> przedstawia rozwój sytuacji na</w:t>
      </w:r>
      <w:r w:rsidR="00DC5106">
        <w:rPr>
          <w:szCs w:val="20"/>
        </w:rPr>
        <w:t> </w:t>
      </w:r>
      <w:r w:rsidRPr="005E059A">
        <w:rPr>
          <w:szCs w:val="20"/>
        </w:rPr>
        <w:t xml:space="preserve">podstawie już </w:t>
      </w:r>
      <w:r>
        <w:rPr>
          <w:szCs w:val="20"/>
        </w:rPr>
        <w:t>istniejących</w:t>
      </w:r>
      <w:r w:rsidRPr="005E059A">
        <w:rPr>
          <w:szCs w:val="20"/>
        </w:rPr>
        <w:t xml:space="preserve"> instrumentów i</w:t>
      </w:r>
      <w:r>
        <w:rPr>
          <w:szCs w:val="20"/>
        </w:rPr>
        <w:t xml:space="preserve"> zaplanowanych </w:t>
      </w:r>
      <w:r w:rsidRPr="005E059A">
        <w:rPr>
          <w:szCs w:val="20"/>
        </w:rPr>
        <w:t>polityk</w:t>
      </w:r>
      <w:r>
        <w:rPr>
          <w:szCs w:val="20"/>
        </w:rPr>
        <w:t>, zatem</w:t>
      </w:r>
      <w:r w:rsidRPr="005E059A">
        <w:rPr>
          <w:szCs w:val="20"/>
        </w:rPr>
        <w:t xml:space="preserve"> w efekcie zbliżony </w:t>
      </w:r>
      <w:r>
        <w:rPr>
          <w:szCs w:val="20"/>
        </w:rPr>
        <w:t xml:space="preserve">jest </w:t>
      </w:r>
      <w:r w:rsidRPr="005E059A">
        <w:rPr>
          <w:szCs w:val="20"/>
        </w:rPr>
        <w:t>do</w:t>
      </w:r>
      <w:r w:rsidR="00DC5106">
        <w:rPr>
          <w:szCs w:val="20"/>
        </w:rPr>
        <w:t> </w:t>
      </w:r>
      <w:r w:rsidRPr="005E059A">
        <w:rPr>
          <w:szCs w:val="20"/>
        </w:rPr>
        <w:t xml:space="preserve">scenariusza </w:t>
      </w:r>
      <w:r w:rsidRPr="00F44110">
        <w:rPr>
          <w:i/>
          <w:iCs/>
          <w:szCs w:val="20"/>
        </w:rPr>
        <w:t>business as usual</w:t>
      </w:r>
      <w:r>
        <w:rPr>
          <w:i/>
          <w:iCs/>
          <w:szCs w:val="20"/>
        </w:rPr>
        <w:t xml:space="preserve"> (biznes jak zwykle)</w:t>
      </w:r>
      <w:r w:rsidRPr="005E059A">
        <w:rPr>
          <w:szCs w:val="20"/>
        </w:rPr>
        <w:t xml:space="preserve">. </w:t>
      </w:r>
    </w:p>
    <w:p w14:paraId="71F6082E" w14:textId="4749899C" w:rsidR="00B34B5F" w:rsidRDefault="00B34B5F" w:rsidP="00B34B5F">
      <w:pPr>
        <w:spacing w:line="276" w:lineRule="auto"/>
        <w:rPr>
          <w:szCs w:val="20"/>
        </w:rPr>
      </w:pPr>
      <w:r w:rsidRPr="005E059A">
        <w:rPr>
          <w:szCs w:val="20"/>
        </w:rPr>
        <w:t xml:space="preserve">Scenariusz </w:t>
      </w:r>
      <w:r>
        <w:rPr>
          <w:szCs w:val="20"/>
        </w:rPr>
        <w:t>WAM</w:t>
      </w:r>
      <w:r w:rsidRPr="005E059A">
        <w:rPr>
          <w:szCs w:val="20"/>
        </w:rPr>
        <w:t xml:space="preserve"> zakłada wdrażanie nowych instrumentów polityki klimatyczn</w:t>
      </w:r>
      <w:r>
        <w:rPr>
          <w:szCs w:val="20"/>
        </w:rPr>
        <w:t>o-energetycznej</w:t>
      </w:r>
      <w:r w:rsidRPr="005E059A">
        <w:rPr>
          <w:szCs w:val="20"/>
        </w:rPr>
        <w:t>, z</w:t>
      </w:r>
      <w:r>
        <w:rPr>
          <w:szCs w:val="20"/>
        </w:rPr>
        <w:t> </w:t>
      </w:r>
      <w:r w:rsidRPr="005E059A">
        <w:rPr>
          <w:szCs w:val="20"/>
        </w:rPr>
        <w:t>założeniem przyspieszenia dekarbonizacji</w:t>
      </w:r>
      <w:r>
        <w:rPr>
          <w:szCs w:val="20"/>
        </w:rPr>
        <w:t xml:space="preserve"> w sposób budujący siłę naszej gospodarki. Jego wdrożenie może przynieść redukcję emisji gazów cieplarnianych o 50,4% w 2030 r. w porównaniu do 1990 r. </w:t>
      </w:r>
      <w:r>
        <w:rPr>
          <w:szCs w:val="20"/>
        </w:rPr>
        <w:br/>
        <w:t xml:space="preserve">To o 5 pkt. proc. mniej niż przyjęty w prawie klimatycznym unijny cel na poziomie 55%, ale wciąż ambitnie w kraju, który w roku 2024 wciąż pozostaje jednym z najbardziej uzależnionych od węgla krajów na świecie. </w:t>
      </w:r>
      <w:r>
        <w:t xml:space="preserve">Scenariusz WAM ma na celu </w:t>
      </w:r>
      <w:r w:rsidRPr="00705F3D">
        <w:t>ukazanie</w:t>
      </w:r>
      <w:r>
        <w:t xml:space="preserve"> potencjału możliwego do osiągnięcia</w:t>
      </w:r>
      <w:r w:rsidRPr="00705F3D">
        <w:t xml:space="preserve"> </w:t>
      </w:r>
      <w:r>
        <w:t>w poszczególnych sektorach gospodarki,</w:t>
      </w:r>
      <w:r w:rsidRPr="00705F3D">
        <w:t xml:space="preserve"> </w:t>
      </w:r>
      <w:r>
        <w:t>przy zastosowaniu nowych narzędzi, rozwiązań legislacyjnych i innych, oraz</w:t>
      </w:r>
      <w:r w:rsidR="00DC5106">
        <w:t> </w:t>
      </w:r>
      <w:r>
        <w:t xml:space="preserve">dodatkowych inwestycji. Dla porównania, </w:t>
      </w:r>
      <w:r w:rsidRPr="00705F3D">
        <w:t>scenariusz WEM</w:t>
      </w:r>
      <w:r>
        <w:t xml:space="preserve"> </w:t>
      </w:r>
      <w:r>
        <w:rPr>
          <w:szCs w:val="20"/>
        </w:rPr>
        <w:t xml:space="preserve">wskazuje na </w:t>
      </w:r>
      <w:r w:rsidR="00EA719E">
        <w:rPr>
          <w:szCs w:val="20"/>
        </w:rPr>
        <w:t xml:space="preserve">znacznie </w:t>
      </w:r>
      <w:r>
        <w:rPr>
          <w:szCs w:val="20"/>
        </w:rPr>
        <w:t>niższą redukcję emisji gazów cieplarnianych</w:t>
      </w:r>
      <w:r w:rsidR="00EA719E">
        <w:rPr>
          <w:szCs w:val="20"/>
        </w:rPr>
        <w:t xml:space="preserve"> -</w:t>
      </w:r>
      <w:r>
        <w:rPr>
          <w:szCs w:val="20"/>
        </w:rPr>
        <w:t xml:space="preserve"> o zaledwie 42% w stosunku do 1990 r., ale również na niższy wzrost PKB czy niższe tempo redukcji kosztów produkcji energii, tak ważne dla procesu długofalowego obniżenia i</w:t>
      </w:r>
      <w:r w:rsidR="00571E12">
        <w:rPr>
          <w:szCs w:val="20"/>
        </w:rPr>
        <w:t> </w:t>
      </w:r>
      <w:r>
        <w:rPr>
          <w:szCs w:val="20"/>
        </w:rPr>
        <w:t>ustabilizowania cen energii w Polsce.</w:t>
      </w:r>
    </w:p>
    <w:p w14:paraId="06A4B671" w14:textId="6B30FF95" w:rsidR="00B34B5F" w:rsidRDefault="00B34B5F" w:rsidP="00B34B5F">
      <w:pPr>
        <w:spacing w:line="276" w:lineRule="auto"/>
        <w:rPr>
          <w:szCs w:val="20"/>
        </w:rPr>
      </w:pPr>
      <w:r>
        <w:rPr>
          <w:szCs w:val="20"/>
        </w:rPr>
        <w:t>Projekt aKPEiK– w porównaniu do wersji z 29 lutego 2024 r. – został uzupełniony o scenariusz WAM, do</w:t>
      </w:r>
      <w:r w:rsidR="00DC5106">
        <w:rPr>
          <w:szCs w:val="20"/>
        </w:rPr>
        <w:t> </w:t>
      </w:r>
      <w:r>
        <w:rPr>
          <w:szCs w:val="20"/>
        </w:rPr>
        <w:t>którego dostosowano treść dokumentu zasadniczego. Rozbudowano cele i działania, a także opracowano załącznik przedstawiający zagadnienie finansowania transformacji oraz odniesienie do</w:t>
      </w:r>
      <w:r w:rsidR="00DC5106">
        <w:rPr>
          <w:szCs w:val="20"/>
        </w:rPr>
        <w:t> </w:t>
      </w:r>
      <w:r>
        <w:rPr>
          <w:szCs w:val="20"/>
        </w:rPr>
        <w:t>zaleceń Komisji Europejskiej do projektu aKPEiK z 29 lutego 2024 r. Państwa uwadze polecamy również streszczenie dokumentu, w którym zebrane zostały najistotniejsze dane i informacje.</w:t>
      </w:r>
    </w:p>
    <w:p w14:paraId="2BCE207A" w14:textId="51C9F622" w:rsidR="005E059A" w:rsidRPr="005E059A" w:rsidRDefault="00B34B5F" w:rsidP="00C643DB">
      <w:pPr>
        <w:spacing w:line="276" w:lineRule="auto"/>
        <w:rPr>
          <w:szCs w:val="20"/>
        </w:rPr>
      </w:pPr>
      <w:r>
        <w:rPr>
          <w:szCs w:val="20"/>
        </w:rPr>
        <w:t>Po przeprowadzeniu konsultacji publicznych dokument zostanie skorygowany w oparciu o wnioski z procesu i skierowany na dalsze etapy procedury formalnego zatwierdzenia przez Rząd RP. Następnie</w:t>
      </w:r>
      <w:r w:rsidR="00EA719E">
        <w:rPr>
          <w:szCs w:val="20"/>
        </w:rPr>
        <w:t>,</w:t>
      </w:r>
      <w:r>
        <w:rPr>
          <w:szCs w:val="20"/>
        </w:rPr>
        <w:t xml:space="preserve"> zatwierdzony przez Polskę dokument zostanie przekazany do Komisji Europejskiej.</w:t>
      </w:r>
      <w:r w:rsidR="0015304E">
        <w:rPr>
          <w:szCs w:val="20"/>
        </w:rPr>
        <w:t xml:space="preserve">  </w:t>
      </w:r>
      <w:r w:rsidR="003B4492">
        <w:rPr>
          <w:szCs w:val="20"/>
        </w:rPr>
        <w:t xml:space="preserve">  </w:t>
      </w:r>
    </w:p>
    <w:p w14:paraId="1DC0B3B3" w14:textId="608439BB" w:rsidR="00F44110" w:rsidRDefault="00F44110" w:rsidP="005E059A">
      <w:pPr>
        <w:spacing w:line="360" w:lineRule="auto"/>
      </w:pPr>
      <w:r>
        <w:br w:type="page"/>
      </w:r>
    </w:p>
    <w:p w14:paraId="3B6581FC" w14:textId="4EA4A1CB" w:rsidR="00487114" w:rsidRDefault="0060410E" w:rsidP="00612B5D">
      <w:pPr>
        <w:pStyle w:val="Nagwek1"/>
        <w:numPr>
          <w:ilvl w:val="0"/>
          <w:numId w:val="40"/>
        </w:numPr>
      </w:pPr>
      <w:bookmarkStart w:id="2" w:name="_Toc174714908"/>
      <w:bookmarkStart w:id="3" w:name="_Toc175321007"/>
      <w:bookmarkStart w:id="4" w:name="_Toc175479028"/>
      <w:bookmarkStart w:id="5" w:name="_Toc175494504"/>
      <w:bookmarkStart w:id="6" w:name="_Toc179536926"/>
      <w:bookmarkEnd w:id="2"/>
      <w:bookmarkEnd w:id="3"/>
      <w:bookmarkEnd w:id="4"/>
      <w:bookmarkEnd w:id="5"/>
      <w:r w:rsidRPr="00D6225F">
        <w:lastRenderedPageBreak/>
        <w:t>W</w:t>
      </w:r>
      <w:r w:rsidR="00BA46AC" w:rsidRPr="00D6225F">
        <w:t>PROWADZENIE</w:t>
      </w:r>
      <w:bookmarkEnd w:id="1"/>
      <w:bookmarkEnd w:id="6"/>
      <w:r>
        <w:t xml:space="preserve"> </w:t>
      </w:r>
    </w:p>
    <w:p w14:paraId="68B7B035" w14:textId="42E9EF3A" w:rsidR="00AA5A87" w:rsidRDefault="00AA5A87" w:rsidP="00D121F4">
      <w:pPr>
        <w:pStyle w:val="Nagwek2"/>
        <w:numPr>
          <w:ilvl w:val="0"/>
          <w:numId w:val="12"/>
        </w:numPr>
        <w:ind w:left="709"/>
      </w:pPr>
      <w:bookmarkStart w:id="7" w:name="_Toc159598279"/>
      <w:bookmarkStart w:id="8" w:name="_Toc179536927"/>
      <w:r>
        <w:t>Czym jest KPEiK i w jakim celu został opracowany</w:t>
      </w:r>
      <w:bookmarkEnd w:id="7"/>
      <w:bookmarkEnd w:id="8"/>
    </w:p>
    <w:p w14:paraId="3015DECC" w14:textId="3855021E" w:rsidR="005F5521" w:rsidRDefault="00B34B5F" w:rsidP="00A720CC">
      <w:r>
        <w:t xml:space="preserve">Zrównoważony rozwój sektora energii oraz działania związane z ochroną środowiska są niezbędne dla wzmacniania krajowej gospodarki i budowania jej konkurencyjności. Odpowiedzialna strategia energetyczna powinna respektować równoważne, wzajemnie oddziałujące i uzupełniające się cele: bezpieczeństwo energetyczne, </w:t>
      </w:r>
      <w:r w:rsidRPr="0012621D">
        <w:t>konkurencyjnoś</w:t>
      </w:r>
      <w:r>
        <w:t>ć</w:t>
      </w:r>
      <w:r w:rsidRPr="0012621D">
        <w:t xml:space="preserve"> gospodarki, efektywno</w:t>
      </w:r>
      <w:r>
        <w:t>ść</w:t>
      </w:r>
      <w:r w:rsidRPr="0012621D">
        <w:t xml:space="preserve"> energetyczn</w:t>
      </w:r>
      <w:r>
        <w:t>ą</w:t>
      </w:r>
      <w:r w:rsidRPr="0012621D">
        <w:t xml:space="preserve"> i </w:t>
      </w:r>
      <w:r>
        <w:t>redukcję</w:t>
      </w:r>
      <w:r w:rsidRPr="0012621D">
        <w:t xml:space="preserve"> oddziaływania</w:t>
      </w:r>
      <w:r>
        <w:t xml:space="preserve"> na środowisko. Oprócz rozwoju technologii zeroemisyjnych, transformacja energetyczno-klimatyczna w Polsce powinna zapewnić konsumentom stabilne dostawy energii po akceptowalnych cenach. Biorąc pod uwagę fakt, że przekształcenia będą procesem długotrwałym, kapitałochłonnym, obejmującym wszystkie sektory gospodarki – kluczowe jest, aby wprowadzane zmiany uwzględniały sprawiedliwy wymiar tj. zapewniały stabilne ramy strategiczne pozwalające na dostosowanie się sektorów, przekwalifikowanie pracowników branży, tworząc nowe możliwości rozwoju regionom i</w:t>
      </w:r>
      <w:r w:rsidR="00DC5106">
        <w:t> </w:t>
      </w:r>
      <w:r>
        <w:t>społecznościom dotkniętym przejściowymi</w:t>
      </w:r>
      <w:r w:rsidR="00EA719E">
        <w:t xml:space="preserve"> negatywnymi</w:t>
      </w:r>
      <w:r>
        <w:t xml:space="preserve"> skutkami tej transformacji. Transparentna i</w:t>
      </w:r>
      <w:r w:rsidR="00571E12">
        <w:t> </w:t>
      </w:r>
      <w:r>
        <w:t>długoterminowa strategia energetyczna tworzy stabilne ramy dla kształtowania mechanizmów systemowych, regulacji sektorowych oraz podejmowania decyzji inwestycyjnych wymagających zaangażowania kapitału prywatnego i publicznego. Uwzględniając powyższe oraz istotne zmiany sektorowe, ekonomiczne, regulacyjne i geopolityczne zaistniałe po 2020 r., rozpoczęto prace nad aktualizacją krajowej strategii wyznaczającej kierunki transformacji klimatyczno-energetycznej oraz wskazującej wkład do realizacji celów unijnych do 2030 r.</w:t>
      </w:r>
    </w:p>
    <w:p w14:paraId="2E1D315D" w14:textId="6A33E385" w:rsidR="008B188E" w:rsidRDefault="00024875" w:rsidP="00024875">
      <w:r>
        <w:t>Uni</w:t>
      </w:r>
      <w:r w:rsidR="00E869D3">
        <w:t>a</w:t>
      </w:r>
      <w:r>
        <w:t xml:space="preserve"> Europejsk</w:t>
      </w:r>
      <w:r w:rsidR="00E869D3">
        <w:t>a</w:t>
      </w:r>
      <w:r>
        <w:t xml:space="preserve"> (UE) </w:t>
      </w:r>
      <w:r w:rsidR="00E869D3">
        <w:t xml:space="preserve">w sposób bardzo zaangażowany podchodzi </w:t>
      </w:r>
      <w:r>
        <w:t xml:space="preserve">do międzynarodowych porozumień </w:t>
      </w:r>
      <w:r w:rsidR="009211A8">
        <w:t xml:space="preserve">  </w:t>
      </w:r>
      <w:r>
        <w:t>klimatycznyc</w:t>
      </w:r>
      <w:r w:rsidR="00E869D3">
        <w:t>h</w:t>
      </w:r>
      <w:r w:rsidR="00C600E0">
        <w:t xml:space="preserve">. </w:t>
      </w:r>
      <w:r w:rsidR="00D66FA7">
        <w:t xml:space="preserve">W działaniach stanowiących </w:t>
      </w:r>
      <w:r w:rsidR="00153D02">
        <w:t>odpowiedź na zmiany klimatu</w:t>
      </w:r>
      <w:r w:rsidR="00571E12">
        <w:t xml:space="preserve">, </w:t>
      </w:r>
      <w:r w:rsidR="00D66FA7">
        <w:t>UE</w:t>
      </w:r>
      <w:r w:rsidR="00571E12">
        <w:t xml:space="preserve"> </w:t>
      </w:r>
      <w:r w:rsidR="00095AC4">
        <w:t>–</w:t>
      </w:r>
      <w:r w:rsidR="00EA719E">
        <w:t xml:space="preserve"> w tym</w:t>
      </w:r>
      <w:r w:rsidR="00571E12">
        <w:t xml:space="preserve"> </w:t>
      </w:r>
      <w:r w:rsidR="00EA719E">
        <w:t xml:space="preserve">Polska, </w:t>
      </w:r>
      <w:r w:rsidR="00D66FA7">
        <w:t>dostrzega także</w:t>
      </w:r>
      <w:r w:rsidR="00153D02">
        <w:t xml:space="preserve"> szansę na</w:t>
      </w:r>
      <w:r w:rsidR="003432D5">
        <w:t> </w:t>
      </w:r>
      <w:r w:rsidR="00153D02">
        <w:t>budowanie przewag konkurencyjnych</w:t>
      </w:r>
      <w:r w:rsidR="00E869D3">
        <w:t xml:space="preserve">. </w:t>
      </w:r>
      <w:r w:rsidR="00D66FA7">
        <w:t xml:space="preserve">Jedną z cech wyróżniających </w:t>
      </w:r>
      <w:r w:rsidR="003432D5">
        <w:t>U</w:t>
      </w:r>
      <w:r w:rsidR="00D66FA7">
        <w:t>ni</w:t>
      </w:r>
      <w:r w:rsidR="003432D5">
        <w:t>ę</w:t>
      </w:r>
      <w:r w:rsidR="00D66FA7">
        <w:t xml:space="preserve"> jest zachowanie </w:t>
      </w:r>
      <w:r>
        <w:t>jednolitych zasad</w:t>
      </w:r>
      <w:r w:rsidR="00D66FA7">
        <w:t xml:space="preserve"> funkcjonowania rynków, które obejmują także </w:t>
      </w:r>
      <w:r>
        <w:t>gwarantowani</w:t>
      </w:r>
      <w:r w:rsidR="00D66FA7">
        <w:t>e</w:t>
      </w:r>
      <w:r>
        <w:t xml:space="preserve"> konsumentom – </w:t>
      </w:r>
      <w:r w:rsidR="003432D5" w:rsidRPr="003432D5">
        <w:rPr>
          <w:i/>
          <w:iCs/>
        </w:rPr>
        <w:t xml:space="preserve">w tym </w:t>
      </w:r>
      <w:r w:rsidRPr="00D66FA7">
        <w:rPr>
          <w:i/>
          <w:iCs/>
        </w:rPr>
        <w:t>gospodarstwom domowym i przedsiębiorstwom</w:t>
      </w:r>
      <w:r>
        <w:t xml:space="preserve"> – bezpiecznych, przyjaznych dla środowiska i dostępnych</w:t>
      </w:r>
      <w:r w:rsidRPr="00FA55EA">
        <w:t xml:space="preserve"> </w:t>
      </w:r>
      <w:r w:rsidR="003432D5">
        <w:t>cenowo</w:t>
      </w:r>
      <w:r>
        <w:t xml:space="preserve"> dostaw </w:t>
      </w:r>
      <w:r w:rsidRPr="00FA55EA">
        <w:t>energii</w:t>
      </w:r>
      <w:r w:rsidR="00D66FA7">
        <w:t>. Odpowiadając na te wyzwania w</w:t>
      </w:r>
      <w:r>
        <w:t xml:space="preserve"> 2015 r. </w:t>
      </w:r>
      <w:r w:rsidR="00153D02">
        <w:t xml:space="preserve">określono </w:t>
      </w:r>
      <w:r>
        <w:t>unijn</w:t>
      </w:r>
      <w:r w:rsidR="00153D02">
        <w:t>ą</w:t>
      </w:r>
      <w:r>
        <w:t xml:space="preserve"> </w:t>
      </w:r>
      <w:r w:rsidRPr="00793F4E">
        <w:rPr>
          <w:i/>
          <w:iCs/>
        </w:rPr>
        <w:t>Strategi</w:t>
      </w:r>
      <w:r w:rsidR="00153D02" w:rsidRPr="00793F4E">
        <w:rPr>
          <w:i/>
          <w:iCs/>
        </w:rPr>
        <w:t>ę</w:t>
      </w:r>
      <w:r w:rsidRPr="00793F4E">
        <w:rPr>
          <w:i/>
          <w:iCs/>
        </w:rPr>
        <w:t xml:space="preserve"> ramow</w:t>
      </w:r>
      <w:r w:rsidR="00153D02" w:rsidRPr="00793F4E">
        <w:rPr>
          <w:i/>
          <w:iCs/>
        </w:rPr>
        <w:t>ą</w:t>
      </w:r>
      <w:r w:rsidRPr="00793F4E">
        <w:rPr>
          <w:i/>
          <w:iCs/>
        </w:rPr>
        <w:t xml:space="preserve"> na</w:t>
      </w:r>
      <w:r w:rsidR="003432D5">
        <w:rPr>
          <w:i/>
          <w:iCs/>
        </w:rPr>
        <w:t> </w:t>
      </w:r>
      <w:r w:rsidRPr="00793F4E">
        <w:rPr>
          <w:i/>
          <w:iCs/>
        </w:rPr>
        <w:t>rzecz stabilnej unii energetycznej opartej na przyszłościowej polityce w</w:t>
      </w:r>
      <w:r w:rsidR="00153D02" w:rsidRPr="00793F4E">
        <w:rPr>
          <w:i/>
          <w:iCs/>
        </w:rPr>
        <w:t> </w:t>
      </w:r>
      <w:r w:rsidRPr="00793F4E">
        <w:rPr>
          <w:i/>
          <w:iCs/>
        </w:rPr>
        <w:t>dziedzinie klimatu</w:t>
      </w:r>
      <w:r>
        <w:t>.</w:t>
      </w:r>
      <w:r w:rsidR="003432D5">
        <w:t xml:space="preserve"> </w:t>
      </w:r>
      <w:r>
        <w:t xml:space="preserve">Unię energetyczną oparto na </w:t>
      </w:r>
      <w:r w:rsidRPr="00153D02">
        <w:rPr>
          <w:b/>
          <w:bCs/>
        </w:rPr>
        <w:t>pięciu powiązanych i wzajemnie wzmacniających się wymiarach</w:t>
      </w:r>
      <w:r>
        <w:t>: bezpieczeństwo energetyczne, wewnętrzny rynek energii, efektywność energetyczn</w:t>
      </w:r>
      <w:r w:rsidR="003C499A">
        <w:t>a</w:t>
      </w:r>
      <w:r>
        <w:t xml:space="preserve">, obniżenie emisyjności </w:t>
      </w:r>
      <w:r w:rsidR="00153D02">
        <w:t>(ze</w:t>
      </w:r>
      <w:r w:rsidR="003432D5">
        <w:t> </w:t>
      </w:r>
      <w:r w:rsidR="00153D02">
        <w:t>szczególną rolą odnawialnych źródeł energii (OZE)</w:t>
      </w:r>
      <w:r w:rsidR="006E709D">
        <w:t>)</w:t>
      </w:r>
      <w:r w:rsidR="00153D02">
        <w:t xml:space="preserve"> </w:t>
      </w:r>
      <w:r>
        <w:t>oraz badania naukowe, innowacyjność i</w:t>
      </w:r>
      <w:r w:rsidR="00153D02">
        <w:t> </w:t>
      </w:r>
      <w:r>
        <w:t>konkurencyjność.</w:t>
      </w:r>
    </w:p>
    <w:p w14:paraId="5A62B66D" w14:textId="0F23F5FB" w:rsidR="00024875" w:rsidRDefault="00153D02" w:rsidP="00024875">
      <w:r>
        <w:t xml:space="preserve">W 2018 r. przyjęto rozporządzenie UE 2018/1999 </w:t>
      </w:r>
      <w:r w:rsidRPr="006B783C">
        <w:rPr>
          <w:i/>
          <w:iCs/>
        </w:rPr>
        <w:t>o zarządzaniu unią energetyczną</w:t>
      </w:r>
      <w:r>
        <w:t>, oblig</w:t>
      </w:r>
      <w:r w:rsidR="003432D5">
        <w:t>ujące</w:t>
      </w:r>
      <w:r>
        <w:t xml:space="preserve"> państwa członkowskie do opracowywania krajowych planów w dziedzinie energii i klimatu</w:t>
      </w:r>
      <w:r w:rsidR="00FA05D7">
        <w:rPr>
          <w:rStyle w:val="Odwoanieprzypisudolnego"/>
        </w:rPr>
        <w:footnoteReference w:id="2"/>
      </w:r>
      <w:r>
        <w:t xml:space="preserve">, które podlegają okresowej aktualizacji i sprawozdawczości. </w:t>
      </w:r>
      <w:r w:rsidR="000855B2">
        <w:t>Opracowanie tych dokumentów stanowi podstawę mechanizmu zarządzania unią energetyczną</w:t>
      </w:r>
      <w:r w:rsidR="00541635">
        <w:t xml:space="preserve"> – </w:t>
      </w:r>
      <w:r w:rsidR="000855B2">
        <w:t xml:space="preserve">pozwala na </w:t>
      </w:r>
      <w:r w:rsidR="00583F68">
        <w:t xml:space="preserve">analizę </w:t>
      </w:r>
      <w:r w:rsidR="00541635">
        <w:t>tego czy</w:t>
      </w:r>
      <w:r w:rsidR="00583F68">
        <w:t>, w oparciu o wkłady z państw członkowskich, UE</w:t>
      </w:r>
      <w:r w:rsidR="00541635">
        <w:t xml:space="preserve"> wywiąże się ze swoich </w:t>
      </w:r>
      <w:r w:rsidR="003432D5">
        <w:t>celów klimatyczno-energetycznych</w:t>
      </w:r>
      <w:r w:rsidR="00541635">
        <w:t xml:space="preserve">. Jednoznaczne określenie zakresu </w:t>
      </w:r>
      <w:r w:rsidR="006E2892">
        <w:t xml:space="preserve">dokumentu </w:t>
      </w:r>
      <w:r w:rsidR="00541635">
        <w:t>ma na celu zapewnienie</w:t>
      </w:r>
      <w:r w:rsidR="000855B2">
        <w:t xml:space="preserve"> przejrzystości, spójności, porównywalności i kompletności oraz szczegółowości </w:t>
      </w:r>
      <w:r w:rsidR="00541635">
        <w:t>informacji.</w:t>
      </w:r>
    </w:p>
    <w:p w14:paraId="46BD22C8" w14:textId="0B5AF05E" w:rsidR="0015304E" w:rsidRDefault="0015304E" w:rsidP="00024875">
      <w:r>
        <w:t xml:space="preserve">Choć obowiązek </w:t>
      </w:r>
      <w:r w:rsidRPr="005C7A1F">
        <w:t xml:space="preserve">opracowania </w:t>
      </w:r>
      <w:r w:rsidR="005C7A1F" w:rsidRPr="005C7A1F">
        <w:t>dokument</w:t>
      </w:r>
      <w:r w:rsidR="005C7A1F">
        <w:t xml:space="preserve">u </w:t>
      </w:r>
      <w:r>
        <w:t xml:space="preserve">wynika z regulacji UE, </w:t>
      </w:r>
      <w:r w:rsidR="005C7A1F" w:rsidRPr="005C7A1F">
        <w:rPr>
          <w:b/>
          <w:bCs/>
        </w:rPr>
        <w:t xml:space="preserve">aKPEiK </w:t>
      </w:r>
      <w:r w:rsidRPr="0015304E">
        <w:rPr>
          <w:b/>
          <w:bCs/>
        </w:rPr>
        <w:t>ma przede wszystkim służyć potrzebom krajowym</w:t>
      </w:r>
      <w:r>
        <w:t>. Obowiązkowy zakres jest bardzo obszerny, ale zdecydowano o włączeniu dodatkowych zagadnień tak, aby jak najlepiej odpowiadał potrzebom Polski w sposób możliwie kompleksowy.</w:t>
      </w:r>
    </w:p>
    <w:p w14:paraId="588F4A20" w14:textId="27FAF83B" w:rsidR="00A80E8F" w:rsidRDefault="00DA00F5" w:rsidP="001C7FF4">
      <w:pPr>
        <w:spacing w:before="960"/>
      </w:pPr>
      <w:r>
        <w:lastRenderedPageBreak/>
        <w:t xml:space="preserve">Niniejszy dokument stanowi </w:t>
      </w:r>
      <w:r w:rsidRPr="00641AE7">
        <w:rPr>
          <w:b/>
          <w:bCs/>
        </w:rPr>
        <w:t xml:space="preserve">aktualizację </w:t>
      </w:r>
      <w:r w:rsidRPr="00641AE7">
        <w:rPr>
          <w:b/>
          <w:bCs/>
          <w:i/>
          <w:iCs/>
        </w:rPr>
        <w:t>Krajowego planu na rzecz energii i klimatu na lata 2021–2030</w:t>
      </w:r>
      <w:r w:rsidR="00641AE7">
        <w:rPr>
          <w:b/>
          <w:bCs/>
          <w:i/>
          <w:iCs/>
        </w:rPr>
        <w:t xml:space="preserve"> </w:t>
      </w:r>
      <w:r w:rsidR="00641AE7" w:rsidRPr="00641AE7">
        <w:rPr>
          <w:b/>
          <w:bCs/>
        </w:rPr>
        <w:t>(aKPEiK)</w:t>
      </w:r>
      <w:r>
        <w:t xml:space="preserve"> </w:t>
      </w:r>
      <w:r w:rsidR="006324C5">
        <w:t xml:space="preserve">z </w:t>
      </w:r>
      <w:r>
        <w:t>2019 r.</w:t>
      </w:r>
      <w:r w:rsidR="00CC0A90">
        <w:t xml:space="preserve"> – nadano mu nazwę </w:t>
      </w:r>
      <w:r w:rsidR="00CC0A90" w:rsidRPr="00CC0A90">
        <w:rPr>
          <w:i/>
          <w:iCs/>
        </w:rPr>
        <w:t>Krajowy Plan w dziedzinie Energii i Klimatu</w:t>
      </w:r>
      <w:r w:rsidR="00CC0A90">
        <w:rPr>
          <w:i/>
          <w:iCs/>
        </w:rPr>
        <w:t xml:space="preserve"> do 2030 r.</w:t>
      </w:r>
      <w:r w:rsidR="00CC0A90">
        <w:t xml:space="preserve"> </w:t>
      </w:r>
      <w:r>
        <w:t xml:space="preserve"> Opracowanie dokumentu wynika wprost z </w:t>
      </w:r>
      <w:r w:rsidR="00641AE7">
        <w:t xml:space="preserve">art. </w:t>
      </w:r>
      <w:r w:rsidR="00583F68">
        <w:t>14</w:t>
      </w:r>
      <w:r w:rsidR="00641AE7">
        <w:t xml:space="preserve"> </w:t>
      </w:r>
      <w:r>
        <w:t>rozporządzeni</w:t>
      </w:r>
      <w:r w:rsidR="00641AE7">
        <w:t>a</w:t>
      </w:r>
      <w:r>
        <w:t xml:space="preserve"> UE 2018/1999, a art. 15ab ustawy – </w:t>
      </w:r>
      <w:r w:rsidRPr="00641AE7">
        <w:rPr>
          <w:i/>
          <w:iCs/>
        </w:rPr>
        <w:t>Prawo energetyczne</w:t>
      </w:r>
      <w:r>
        <w:t xml:space="preserve"> wskazuje, że za opracowanie</w:t>
      </w:r>
      <w:r w:rsidR="00641AE7">
        <w:t xml:space="preserve"> KPEiK, jego aktualizacji i</w:t>
      </w:r>
      <w:r w:rsidR="00314CA1">
        <w:t> </w:t>
      </w:r>
      <w:r w:rsidR="00641AE7">
        <w:t>sprawozdań odpowiada</w:t>
      </w:r>
      <w:r>
        <w:t xml:space="preserve"> </w:t>
      </w:r>
      <w:r w:rsidR="00641AE7">
        <w:t>m</w:t>
      </w:r>
      <w:r w:rsidR="00641AE7" w:rsidRPr="00641AE7">
        <w:t>inister właściwy do spraw energii, we współpracy z ministrem właściwym do</w:t>
      </w:r>
      <w:r w:rsidR="00314CA1">
        <w:t> </w:t>
      </w:r>
      <w:r w:rsidR="00641AE7" w:rsidRPr="00641AE7">
        <w:t>spraw klimatu</w:t>
      </w:r>
      <w:r w:rsidR="00641AE7">
        <w:t>.</w:t>
      </w:r>
      <w:r w:rsidR="00B15954">
        <w:t xml:space="preserve"> Aktualnie zadania obu działów wykonuje </w:t>
      </w:r>
      <w:r w:rsidR="00B15954" w:rsidRPr="00B15954">
        <w:t>Minister Klimatu i Środowiska</w:t>
      </w:r>
      <w:r w:rsidR="00B15954">
        <w:t xml:space="preserve">. </w:t>
      </w:r>
    </w:p>
    <w:p w14:paraId="0485B6CC" w14:textId="6128E83C" w:rsidR="00641AE7" w:rsidRDefault="00DE0CED" w:rsidP="00DA00F5">
      <w:pPr>
        <w:spacing w:before="360"/>
      </w:pPr>
      <w:r>
        <w:rPr>
          <w:noProof/>
        </w:rPr>
        <mc:AlternateContent>
          <mc:Choice Requires="wpg">
            <w:drawing>
              <wp:anchor distT="0" distB="0" distL="114300" distR="114300" simplePos="0" relativeHeight="251679744" behindDoc="0" locked="0" layoutInCell="1" allowOverlap="1" wp14:anchorId="29F6DF0B" wp14:editId="25A8022B">
                <wp:simplePos x="0" y="0"/>
                <wp:positionH relativeFrom="column">
                  <wp:posOffset>128270</wp:posOffset>
                </wp:positionH>
                <wp:positionV relativeFrom="paragraph">
                  <wp:posOffset>148590</wp:posOffset>
                </wp:positionV>
                <wp:extent cx="5329555" cy="2778760"/>
                <wp:effectExtent l="0" t="0" r="0" b="0"/>
                <wp:wrapNone/>
                <wp:docPr id="805494744" name="Grupa 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29555" cy="2778760"/>
                          <a:chOff x="0" y="0"/>
                          <a:chExt cx="5491630" cy="2816900"/>
                        </a:xfrm>
                      </wpg:grpSpPr>
                      <wps:wsp>
                        <wps:cNvPr id="336657226" name="Prostokąt: zaokrąglone rogi 336657226"/>
                        <wps:cNvSpPr/>
                        <wps:spPr>
                          <a:xfrm>
                            <a:off x="2467550" y="658418"/>
                            <a:ext cx="2520000" cy="324000"/>
                          </a:xfrm>
                          <a:prstGeom prst="roundRect">
                            <a:avLst/>
                          </a:prstGeom>
                          <a:solidFill>
                            <a:schemeClr val="accent3">
                              <a:lumMod val="20000"/>
                              <a:lumOff val="80000"/>
                            </a:schemeClr>
                          </a:solidFill>
                          <a:ln/>
                          <a:effectLst/>
                        </wps:spPr>
                        <wps:style>
                          <a:lnRef idx="0">
                            <a:schemeClr val="accent3"/>
                          </a:lnRef>
                          <a:fillRef idx="3">
                            <a:schemeClr val="accent3"/>
                          </a:fillRef>
                          <a:effectRef idx="3">
                            <a:schemeClr val="accent3"/>
                          </a:effectRef>
                          <a:fontRef idx="minor">
                            <a:schemeClr val="lt1"/>
                          </a:fontRef>
                        </wps:style>
                        <wps:txbx>
                          <w:txbxContent>
                            <w:p w14:paraId="298B2C8B" w14:textId="77777777" w:rsidR="00B15954" w:rsidRDefault="00B15954" w:rsidP="00314CA1">
                              <w:pPr>
                                <w:ind w:left="274" w:hanging="274"/>
                                <w:jc w:val="center"/>
                                <w:textAlignment w:val="baseline"/>
                                <w:rPr>
                                  <w:rFonts w:eastAsia="Calibri"/>
                                  <w:b/>
                                  <w:bCs/>
                                  <w:color w:val="000000"/>
                                  <w:sz w:val="18"/>
                                  <w:szCs w:val="18"/>
                                  <w14:ligatures w14:val="none"/>
                                </w:rPr>
                              </w:pPr>
                              <w:r>
                                <w:rPr>
                                  <w:rFonts w:eastAsia="Calibri"/>
                                  <w:b/>
                                  <w:bCs/>
                                  <w:color w:val="000000"/>
                                  <w:sz w:val="18"/>
                                  <w:szCs w:val="18"/>
                                </w:rPr>
                                <w:t xml:space="preserve"> obniżenie emisyjności</w:t>
                              </w:r>
                            </w:p>
                          </w:txbxContent>
                        </wps:txbx>
                        <wps:bodyPr rtlCol="0" anchor="ctr"/>
                      </wps:wsp>
                      <wps:wsp>
                        <wps:cNvPr id="924596139" name="Prostokąt: zaokrąglone rogi 924596139"/>
                        <wps:cNvSpPr/>
                        <wps:spPr>
                          <a:xfrm>
                            <a:off x="2521750" y="1078724"/>
                            <a:ext cx="2520000" cy="324000"/>
                          </a:xfrm>
                          <a:prstGeom prst="roundRect">
                            <a:avLst/>
                          </a:prstGeom>
                          <a:solidFill>
                            <a:schemeClr val="accent3">
                              <a:lumMod val="20000"/>
                              <a:lumOff val="80000"/>
                            </a:schemeClr>
                          </a:solidFill>
                          <a:ln/>
                          <a:effectLst/>
                        </wps:spPr>
                        <wps:style>
                          <a:lnRef idx="0">
                            <a:schemeClr val="accent3"/>
                          </a:lnRef>
                          <a:fillRef idx="3">
                            <a:schemeClr val="accent3"/>
                          </a:fillRef>
                          <a:effectRef idx="3">
                            <a:schemeClr val="accent3"/>
                          </a:effectRef>
                          <a:fontRef idx="minor">
                            <a:schemeClr val="lt1"/>
                          </a:fontRef>
                        </wps:style>
                        <wps:txbx>
                          <w:txbxContent>
                            <w:p w14:paraId="5B38A071" w14:textId="77777777" w:rsidR="00B15954" w:rsidRDefault="00B15954" w:rsidP="00314CA1">
                              <w:pPr>
                                <w:ind w:left="274" w:hanging="274"/>
                                <w:jc w:val="center"/>
                                <w:textAlignment w:val="baseline"/>
                                <w:rPr>
                                  <w:rFonts w:eastAsia="Calibri"/>
                                  <w:b/>
                                  <w:bCs/>
                                  <w:color w:val="000000"/>
                                  <w:sz w:val="18"/>
                                  <w:szCs w:val="18"/>
                                  <w14:ligatures w14:val="none"/>
                                </w:rPr>
                              </w:pPr>
                              <w:r>
                                <w:rPr>
                                  <w:rFonts w:eastAsia="Calibri"/>
                                  <w:b/>
                                  <w:bCs/>
                                  <w:color w:val="000000"/>
                                  <w:sz w:val="18"/>
                                  <w:szCs w:val="18"/>
                                </w:rPr>
                                <w:t xml:space="preserve"> efektywność energetyczna</w:t>
                              </w:r>
                            </w:p>
                          </w:txbxContent>
                        </wps:txbx>
                        <wps:bodyPr rtlCol="0" anchor="ctr"/>
                      </wps:wsp>
                      <wps:wsp>
                        <wps:cNvPr id="1857466661" name="Prostokąt: zaokrąglone rogi 1857466661"/>
                        <wps:cNvSpPr/>
                        <wps:spPr>
                          <a:xfrm>
                            <a:off x="2467550" y="1499030"/>
                            <a:ext cx="2520000" cy="324000"/>
                          </a:xfrm>
                          <a:prstGeom prst="roundRect">
                            <a:avLst/>
                          </a:prstGeom>
                          <a:solidFill>
                            <a:schemeClr val="accent3">
                              <a:lumMod val="20000"/>
                              <a:lumOff val="80000"/>
                            </a:schemeClr>
                          </a:solidFill>
                          <a:ln/>
                          <a:effectLst/>
                        </wps:spPr>
                        <wps:style>
                          <a:lnRef idx="0">
                            <a:schemeClr val="accent3"/>
                          </a:lnRef>
                          <a:fillRef idx="3">
                            <a:schemeClr val="accent3"/>
                          </a:fillRef>
                          <a:effectRef idx="3">
                            <a:schemeClr val="accent3"/>
                          </a:effectRef>
                          <a:fontRef idx="minor">
                            <a:schemeClr val="lt1"/>
                          </a:fontRef>
                        </wps:style>
                        <wps:txbx>
                          <w:txbxContent>
                            <w:p w14:paraId="267007FD" w14:textId="77777777" w:rsidR="00B15954" w:rsidRDefault="00B15954" w:rsidP="00314CA1">
                              <w:pPr>
                                <w:ind w:left="274" w:hanging="274"/>
                                <w:jc w:val="center"/>
                                <w:textAlignment w:val="baseline"/>
                                <w:rPr>
                                  <w:rFonts w:eastAsia="Calibri"/>
                                  <w:b/>
                                  <w:bCs/>
                                  <w:color w:val="000000"/>
                                  <w:sz w:val="18"/>
                                  <w:szCs w:val="18"/>
                                  <w14:ligatures w14:val="none"/>
                                </w:rPr>
                              </w:pPr>
                              <w:r>
                                <w:rPr>
                                  <w:rFonts w:eastAsia="Calibri"/>
                                  <w:b/>
                                  <w:bCs/>
                                  <w:color w:val="000000"/>
                                  <w:sz w:val="18"/>
                                  <w:szCs w:val="18"/>
                                </w:rPr>
                                <w:t xml:space="preserve"> bezpieczeństwo energetyczne</w:t>
                              </w:r>
                            </w:p>
                          </w:txbxContent>
                        </wps:txbx>
                        <wps:bodyPr rtlCol="0" anchor="ctr"/>
                      </wps:wsp>
                      <wps:wsp>
                        <wps:cNvPr id="1981903612" name="Prostokąt: zaokrąglone rogi 1981903612"/>
                        <wps:cNvSpPr/>
                        <wps:spPr>
                          <a:xfrm>
                            <a:off x="2528850" y="1919336"/>
                            <a:ext cx="2520000" cy="324000"/>
                          </a:xfrm>
                          <a:prstGeom prst="roundRect">
                            <a:avLst/>
                          </a:prstGeom>
                          <a:solidFill>
                            <a:schemeClr val="accent3">
                              <a:lumMod val="20000"/>
                              <a:lumOff val="80000"/>
                            </a:schemeClr>
                          </a:solidFill>
                          <a:ln/>
                          <a:effectLst/>
                        </wps:spPr>
                        <wps:style>
                          <a:lnRef idx="0">
                            <a:schemeClr val="accent3"/>
                          </a:lnRef>
                          <a:fillRef idx="3">
                            <a:schemeClr val="accent3"/>
                          </a:fillRef>
                          <a:effectRef idx="3">
                            <a:schemeClr val="accent3"/>
                          </a:effectRef>
                          <a:fontRef idx="minor">
                            <a:schemeClr val="lt1"/>
                          </a:fontRef>
                        </wps:style>
                        <wps:txbx>
                          <w:txbxContent>
                            <w:p w14:paraId="32EF2ED5" w14:textId="77777777" w:rsidR="00B15954" w:rsidRDefault="00B15954" w:rsidP="00314CA1">
                              <w:pPr>
                                <w:ind w:left="274" w:hanging="274"/>
                                <w:jc w:val="center"/>
                                <w:textAlignment w:val="baseline"/>
                                <w:rPr>
                                  <w:rFonts w:eastAsia="Calibri"/>
                                  <w:b/>
                                  <w:bCs/>
                                  <w:color w:val="000000"/>
                                  <w:sz w:val="18"/>
                                  <w:szCs w:val="18"/>
                                  <w14:ligatures w14:val="none"/>
                                </w:rPr>
                              </w:pPr>
                              <w:r>
                                <w:rPr>
                                  <w:rFonts w:eastAsia="Calibri"/>
                                  <w:b/>
                                  <w:bCs/>
                                  <w:color w:val="000000"/>
                                  <w:sz w:val="18"/>
                                  <w:szCs w:val="18"/>
                                </w:rPr>
                                <w:t xml:space="preserve"> wewnątrzunijny rynek energii</w:t>
                              </w:r>
                            </w:p>
                          </w:txbxContent>
                        </wps:txbx>
                        <wps:bodyPr rtlCol="0" anchor="ctr"/>
                      </wps:wsp>
                      <wps:wsp>
                        <wps:cNvPr id="254388489" name="Prostokąt: zaokrąglone rogi 254388489"/>
                        <wps:cNvSpPr/>
                        <wps:spPr>
                          <a:xfrm>
                            <a:off x="2467550" y="2339644"/>
                            <a:ext cx="2520000" cy="324000"/>
                          </a:xfrm>
                          <a:prstGeom prst="roundRect">
                            <a:avLst/>
                          </a:prstGeom>
                          <a:solidFill>
                            <a:schemeClr val="accent3">
                              <a:lumMod val="20000"/>
                              <a:lumOff val="80000"/>
                            </a:schemeClr>
                          </a:solidFill>
                          <a:ln/>
                          <a:effectLst/>
                        </wps:spPr>
                        <wps:style>
                          <a:lnRef idx="0">
                            <a:schemeClr val="accent3"/>
                          </a:lnRef>
                          <a:fillRef idx="3">
                            <a:schemeClr val="accent3"/>
                          </a:fillRef>
                          <a:effectRef idx="3">
                            <a:schemeClr val="accent3"/>
                          </a:effectRef>
                          <a:fontRef idx="minor">
                            <a:schemeClr val="lt1"/>
                          </a:fontRef>
                        </wps:style>
                        <wps:txbx>
                          <w:txbxContent>
                            <w:p w14:paraId="1CE46484" w14:textId="77777777" w:rsidR="00B15954" w:rsidRDefault="00B15954" w:rsidP="00314CA1">
                              <w:pPr>
                                <w:ind w:left="274" w:hanging="274"/>
                                <w:jc w:val="center"/>
                                <w:textAlignment w:val="baseline"/>
                                <w:rPr>
                                  <w:rFonts w:eastAsia="Calibri"/>
                                  <w:b/>
                                  <w:bCs/>
                                  <w:color w:val="000000"/>
                                  <w:sz w:val="18"/>
                                  <w:szCs w:val="18"/>
                                  <w14:ligatures w14:val="none"/>
                                </w:rPr>
                              </w:pPr>
                              <w:r>
                                <w:rPr>
                                  <w:rFonts w:eastAsia="Calibri"/>
                                  <w:b/>
                                  <w:bCs/>
                                  <w:color w:val="000000"/>
                                  <w:sz w:val="18"/>
                                  <w:szCs w:val="18"/>
                                </w:rPr>
                                <w:t xml:space="preserve"> badania, innowacje, konkurencyjność</w:t>
                              </w:r>
                            </w:p>
                          </w:txbxContent>
                        </wps:txbx>
                        <wps:bodyPr rtlCol="0" anchor="ctr"/>
                      </wps:wsp>
                      <wpg:grpSp>
                        <wpg:cNvPr id="31902104" name="Grupa 31902104"/>
                        <wpg:cNvGrpSpPr/>
                        <wpg:grpSpPr>
                          <a:xfrm>
                            <a:off x="1930100" y="522263"/>
                            <a:ext cx="648000" cy="601863"/>
                            <a:chOff x="1930100" y="522263"/>
                            <a:chExt cx="648000" cy="601863"/>
                          </a:xfrm>
                        </wpg:grpSpPr>
                        <wps:wsp>
                          <wps:cNvPr id="1180372833" name="Owal 1180372833"/>
                          <wps:cNvSpPr/>
                          <wps:spPr>
                            <a:xfrm>
                              <a:off x="1930100" y="522263"/>
                              <a:ext cx="648000" cy="601863"/>
                            </a:xfrm>
                            <a:prstGeom prst="ellipse">
                              <a:avLst/>
                            </a:prstGeom>
                            <a:solidFill>
                              <a:schemeClr val="accent3">
                                <a:lumMod val="20000"/>
                                <a:lumOff val="80000"/>
                              </a:schemeClr>
                            </a:solidFill>
                            <a:ln/>
                            <a:effectLst/>
                          </wps:spPr>
                          <wps:style>
                            <a:lnRef idx="0">
                              <a:schemeClr val="accent3"/>
                            </a:lnRef>
                            <a:fillRef idx="3">
                              <a:schemeClr val="accent3"/>
                            </a:fillRef>
                            <a:effectRef idx="3">
                              <a:schemeClr val="accent3"/>
                            </a:effectRef>
                            <a:fontRef idx="minor">
                              <a:schemeClr val="lt1"/>
                            </a:fontRef>
                          </wps:style>
                          <wps:bodyPr rtlCol="0" anchor="ctr"/>
                        </wps:wsp>
                        <pic:pic xmlns:pic="http://schemas.openxmlformats.org/drawingml/2006/picture">
                          <pic:nvPicPr>
                            <pic:cNvPr id="1068284685" name="Grafika 17" descr="Znaczek 1 z wypełnieniem pełnym"/>
                            <pic:cNvPicPr>
                              <a:picLocks noChangeAspect="1"/>
                            </pic:cNvPicPr>
                          </pic:nvPicPr>
                          <pic:blipFill>
                            <a:blip r:embed="rId12"/>
                            <a:stretch>
                              <a:fillRect/>
                            </a:stretch>
                          </pic:blipFill>
                          <pic:spPr>
                            <a:xfrm>
                              <a:off x="2003450" y="589137"/>
                              <a:ext cx="504000" cy="468115"/>
                            </a:xfrm>
                            <a:prstGeom prst="rect">
                              <a:avLst/>
                            </a:prstGeom>
                          </pic:spPr>
                        </pic:pic>
                      </wpg:grpSp>
                      <wpg:grpSp>
                        <wpg:cNvPr id="149511348" name="Grupa 149511348"/>
                        <wpg:cNvGrpSpPr/>
                        <wpg:grpSpPr>
                          <a:xfrm>
                            <a:off x="4812270" y="939793"/>
                            <a:ext cx="648000" cy="601863"/>
                            <a:chOff x="4812270" y="939793"/>
                            <a:chExt cx="648000" cy="601863"/>
                          </a:xfrm>
                        </wpg:grpSpPr>
                        <wps:wsp>
                          <wps:cNvPr id="1948532357" name="Owal 1948532357"/>
                          <wps:cNvSpPr/>
                          <wps:spPr>
                            <a:xfrm>
                              <a:off x="4812270" y="939793"/>
                              <a:ext cx="648000" cy="601863"/>
                            </a:xfrm>
                            <a:prstGeom prst="ellipse">
                              <a:avLst/>
                            </a:prstGeom>
                            <a:solidFill>
                              <a:schemeClr val="accent3">
                                <a:lumMod val="20000"/>
                                <a:lumOff val="80000"/>
                              </a:schemeClr>
                            </a:solidFill>
                            <a:ln/>
                            <a:effectLst/>
                          </wps:spPr>
                          <wps:style>
                            <a:lnRef idx="0">
                              <a:schemeClr val="accent3"/>
                            </a:lnRef>
                            <a:fillRef idx="3">
                              <a:schemeClr val="accent3"/>
                            </a:fillRef>
                            <a:effectRef idx="3">
                              <a:schemeClr val="accent3"/>
                            </a:effectRef>
                            <a:fontRef idx="minor">
                              <a:schemeClr val="lt1"/>
                            </a:fontRef>
                          </wps:style>
                          <wps:bodyPr rtlCol="0" anchor="ctr"/>
                        </wps:wsp>
                        <pic:pic xmlns:pic="http://schemas.openxmlformats.org/drawingml/2006/picture">
                          <pic:nvPicPr>
                            <pic:cNvPr id="1533648319" name="Grafika 19" descr="Znaczek z wypełnieniem pełnym"/>
                            <pic:cNvPicPr>
                              <a:picLocks noChangeAspect="1"/>
                            </pic:cNvPicPr>
                          </pic:nvPicPr>
                          <pic:blipFill>
                            <a:blip r:embed="rId13"/>
                            <a:stretch>
                              <a:fillRect/>
                            </a:stretch>
                          </pic:blipFill>
                          <pic:spPr>
                            <a:xfrm>
                              <a:off x="4884270" y="1006667"/>
                              <a:ext cx="504000" cy="468115"/>
                            </a:xfrm>
                            <a:prstGeom prst="rect">
                              <a:avLst/>
                            </a:prstGeom>
                          </pic:spPr>
                        </pic:pic>
                      </wpg:grpSp>
                      <wpg:grpSp>
                        <wpg:cNvPr id="1851364703" name="Grupa 1851364703"/>
                        <wpg:cNvGrpSpPr/>
                        <wpg:grpSpPr>
                          <a:xfrm>
                            <a:off x="4843630" y="1780404"/>
                            <a:ext cx="648000" cy="601863"/>
                            <a:chOff x="4843630" y="1780404"/>
                            <a:chExt cx="648000" cy="601863"/>
                          </a:xfrm>
                        </wpg:grpSpPr>
                        <wps:wsp>
                          <wps:cNvPr id="2076026566" name="Owal 2076026566"/>
                          <wps:cNvSpPr/>
                          <wps:spPr>
                            <a:xfrm>
                              <a:off x="4843630" y="1780404"/>
                              <a:ext cx="648000" cy="601863"/>
                            </a:xfrm>
                            <a:prstGeom prst="ellipse">
                              <a:avLst/>
                            </a:prstGeom>
                            <a:solidFill>
                              <a:schemeClr val="accent3">
                                <a:lumMod val="20000"/>
                                <a:lumOff val="80000"/>
                              </a:schemeClr>
                            </a:solidFill>
                            <a:ln/>
                            <a:effectLst/>
                          </wps:spPr>
                          <wps:style>
                            <a:lnRef idx="0">
                              <a:schemeClr val="accent3"/>
                            </a:lnRef>
                            <a:fillRef idx="3">
                              <a:schemeClr val="accent3"/>
                            </a:fillRef>
                            <a:effectRef idx="3">
                              <a:schemeClr val="accent3"/>
                            </a:effectRef>
                            <a:fontRef idx="minor">
                              <a:schemeClr val="lt1"/>
                            </a:fontRef>
                          </wps:style>
                          <wps:bodyPr rtlCol="0" anchor="ctr"/>
                        </wps:wsp>
                        <pic:pic xmlns:pic="http://schemas.openxmlformats.org/drawingml/2006/picture">
                          <pic:nvPicPr>
                            <pic:cNvPr id="2076921889" name="Grafika 23" descr="Znaczek 4 z wypełnieniem pełnym"/>
                            <pic:cNvPicPr>
                              <a:picLocks noChangeAspect="1"/>
                            </pic:cNvPicPr>
                          </pic:nvPicPr>
                          <pic:blipFill>
                            <a:blip r:embed="rId14"/>
                            <a:stretch>
                              <a:fillRect/>
                            </a:stretch>
                          </pic:blipFill>
                          <pic:spPr>
                            <a:xfrm>
                              <a:off x="4915630" y="1847278"/>
                              <a:ext cx="504000" cy="468115"/>
                            </a:xfrm>
                            <a:prstGeom prst="rect">
                              <a:avLst/>
                            </a:prstGeom>
                          </pic:spPr>
                        </pic:pic>
                      </wpg:grpSp>
                      <wpg:grpSp>
                        <wpg:cNvPr id="1004969855" name="Grupa 1004969855"/>
                        <wpg:cNvGrpSpPr/>
                        <wpg:grpSpPr>
                          <a:xfrm>
                            <a:off x="1949912" y="2215037"/>
                            <a:ext cx="648000" cy="601863"/>
                            <a:chOff x="1949912" y="2215037"/>
                            <a:chExt cx="648000" cy="601863"/>
                          </a:xfrm>
                        </wpg:grpSpPr>
                        <wps:wsp>
                          <wps:cNvPr id="850547100" name="Owal 850547100"/>
                          <wps:cNvSpPr/>
                          <wps:spPr>
                            <a:xfrm>
                              <a:off x="1949912" y="2215037"/>
                              <a:ext cx="648000" cy="601863"/>
                            </a:xfrm>
                            <a:prstGeom prst="ellipse">
                              <a:avLst/>
                            </a:prstGeom>
                            <a:solidFill>
                              <a:schemeClr val="accent3">
                                <a:lumMod val="20000"/>
                                <a:lumOff val="80000"/>
                              </a:schemeClr>
                            </a:solidFill>
                            <a:ln/>
                            <a:effectLst/>
                          </wps:spPr>
                          <wps:style>
                            <a:lnRef idx="0">
                              <a:schemeClr val="accent3"/>
                            </a:lnRef>
                            <a:fillRef idx="3">
                              <a:schemeClr val="accent3"/>
                            </a:fillRef>
                            <a:effectRef idx="3">
                              <a:schemeClr val="accent3"/>
                            </a:effectRef>
                            <a:fontRef idx="minor">
                              <a:schemeClr val="lt1"/>
                            </a:fontRef>
                          </wps:style>
                          <wps:bodyPr rtlCol="0" anchor="ctr"/>
                        </wps:wsp>
                        <pic:pic xmlns:pic="http://schemas.openxmlformats.org/drawingml/2006/picture">
                          <pic:nvPicPr>
                            <pic:cNvPr id="22315766" name="Grafika 25" descr="Znaczek 5 z wypełnieniem pełnym"/>
                            <pic:cNvPicPr>
                              <a:picLocks noChangeAspect="1"/>
                            </pic:cNvPicPr>
                          </pic:nvPicPr>
                          <pic:blipFill>
                            <a:blip r:embed="rId15"/>
                            <a:stretch>
                              <a:fillRect/>
                            </a:stretch>
                          </pic:blipFill>
                          <pic:spPr>
                            <a:xfrm>
                              <a:off x="2021912" y="2281910"/>
                              <a:ext cx="504000" cy="468115"/>
                            </a:xfrm>
                            <a:prstGeom prst="rect">
                              <a:avLst/>
                            </a:prstGeom>
                          </pic:spPr>
                        </pic:pic>
                      </wpg:grpSp>
                      <wpg:grpSp>
                        <wpg:cNvPr id="2126474685" name="Grupa 2126474685"/>
                        <wpg:cNvGrpSpPr/>
                        <wpg:grpSpPr>
                          <a:xfrm>
                            <a:off x="1949912" y="1357890"/>
                            <a:ext cx="648000" cy="601863"/>
                            <a:chOff x="1949912" y="1357890"/>
                            <a:chExt cx="648000" cy="601863"/>
                          </a:xfrm>
                        </wpg:grpSpPr>
                        <wps:wsp>
                          <wps:cNvPr id="482879580" name="Owal 482879580"/>
                          <wps:cNvSpPr/>
                          <wps:spPr>
                            <a:xfrm>
                              <a:off x="1949912" y="1357890"/>
                              <a:ext cx="648000" cy="601863"/>
                            </a:xfrm>
                            <a:prstGeom prst="ellipse">
                              <a:avLst/>
                            </a:prstGeom>
                            <a:solidFill>
                              <a:schemeClr val="accent3">
                                <a:lumMod val="20000"/>
                                <a:lumOff val="80000"/>
                              </a:schemeClr>
                            </a:solidFill>
                            <a:ln/>
                            <a:effectLst/>
                          </wps:spPr>
                          <wps:style>
                            <a:lnRef idx="0">
                              <a:schemeClr val="accent3"/>
                            </a:lnRef>
                            <a:fillRef idx="3">
                              <a:schemeClr val="accent3"/>
                            </a:fillRef>
                            <a:effectRef idx="3">
                              <a:schemeClr val="accent3"/>
                            </a:effectRef>
                            <a:fontRef idx="minor">
                              <a:schemeClr val="lt1"/>
                            </a:fontRef>
                          </wps:style>
                          <wps:bodyPr rtlCol="0" anchor="ctr"/>
                        </wps:wsp>
                        <pic:pic xmlns:pic="http://schemas.openxmlformats.org/drawingml/2006/picture">
                          <pic:nvPicPr>
                            <pic:cNvPr id="1039006368" name="Grafika 27" descr="Znaczek 3 z wypełnieniem pełnym"/>
                            <pic:cNvPicPr>
                              <a:picLocks noChangeAspect="1"/>
                            </pic:cNvPicPr>
                          </pic:nvPicPr>
                          <pic:blipFill>
                            <a:blip r:embed="rId16"/>
                            <a:stretch>
                              <a:fillRect/>
                            </a:stretch>
                          </pic:blipFill>
                          <pic:spPr>
                            <a:xfrm>
                              <a:off x="2021912" y="1424763"/>
                              <a:ext cx="504000" cy="468115"/>
                            </a:xfrm>
                            <a:prstGeom prst="rect">
                              <a:avLst/>
                            </a:prstGeom>
                          </pic:spPr>
                        </pic:pic>
                      </wpg:grpSp>
                      <wps:wsp>
                        <wps:cNvPr id="1818252759" name="pole tekstowe 28"/>
                        <wps:cNvSpPr txBox="1"/>
                        <wps:spPr>
                          <a:xfrm>
                            <a:off x="0" y="0"/>
                            <a:ext cx="5156200" cy="427355"/>
                          </a:xfrm>
                          <a:prstGeom prst="rect">
                            <a:avLst/>
                          </a:prstGeom>
                          <a:noFill/>
                        </wps:spPr>
                        <wps:txbx>
                          <w:txbxContent>
                            <w:p w14:paraId="00F0EC35" w14:textId="77777777" w:rsidR="00B15954" w:rsidRDefault="00B15954" w:rsidP="00314CA1">
                              <w:pPr>
                                <w:jc w:val="center"/>
                                <w:rPr>
                                  <w:rFonts w:asciiTheme="majorHAnsi" w:hAnsi="Calibri Light"/>
                                  <w:b/>
                                  <w:bCs/>
                                  <w:color w:val="000000" w:themeColor="text1"/>
                                  <w:kern w:val="24"/>
                                  <w:sz w:val="28"/>
                                  <w:szCs w:val="28"/>
                                  <w14:ligatures w14:val="none"/>
                                </w:rPr>
                              </w:pPr>
                              <w:r>
                                <w:rPr>
                                  <w:rFonts w:asciiTheme="majorHAnsi" w:hAnsi="Calibri Light"/>
                                  <w:b/>
                                  <w:bCs/>
                                  <w:color w:val="000000" w:themeColor="text1"/>
                                  <w:kern w:val="24"/>
                                  <w:sz w:val="28"/>
                                  <w:szCs w:val="28"/>
                                </w:rPr>
                                <w:t>Unia energetyczna Unii Europejskiej</w:t>
                              </w:r>
                            </w:p>
                          </w:txbxContent>
                        </wps:txbx>
                        <wps:bodyPr wrap="square" rtlCol="0">
                          <a:noAutofit/>
                        </wps:bodyPr>
                      </wps:wsp>
                      <wps:wsp>
                        <wps:cNvPr id="316068971" name="Prostokąt: zaokrąglone rogi 316068971"/>
                        <wps:cNvSpPr/>
                        <wps:spPr>
                          <a:xfrm>
                            <a:off x="265369" y="1745621"/>
                            <a:ext cx="1419601" cy="912478"/>
                          </a:xfrm>
                          <a:prstGeom prst="roundRect">
                            <a:avLst/>
                          </a:prstGeom>
                          <a:solidFill>
                            <a:schemeClr val="accent3">
                              <a:lumMod val="20000"/>
                              <a:lumOff val="80000"/>
                            </a:schemeClr>
                          </a:solidFill>
                          <a:ln/>
                          <a:effectLst/>
                        </wps:spPr>
                        <wps:style>
                          <a:lnRef idx="0">
                            <a:schemeClr val="accent3"/>
                          </a:lnRef>
                          <a:fillRef idx="3">
                            <a:schemeClr val="accent3"/>
                          </a:fillRef>
                          <a:effectRef idx="3">
                            <a:schemeClr val="accent3"/>
                          </a:effectRef>
                          <a:fontRef idx="minor">
                            <a:schemeClr val="lt1"/>
                          </a:fontRef>
                        </wps:style>
                        <wps:txbx>
                          <w:txbxContent>
                            <w:p w14:paraId="35A24EF9" w14:textId="2348740C" w:rsidR="00B15954" w:rsidRPr="00B15954" w:rsidRDefault="00B15954" w:rsidP="00314CA1">
                              <w:pPr>
                                <w:jc w:val="center"/>
                                <w:textAlignment w:val="baseline"/>
                                <w:rPr>
                                  <w:rFonts w:eastAsia="Calibri"/>
                                  <w:b/>
                                  <w:bCs/>
                                  <w:color w:val="000000"/>
                                  <w:sz w:val="18"/>
                                  <w:szCs w:val="18"/>
                                  <w14:ligatures w14:val="none"/>
                                </w:rPr>
                              </w:pPr>
                              <w:r>
                                <w:rPr>
                                  <w:rFonts w:eastAsia="Calibri"/>
                                  <w:b/>
                                  <w:bCs/>
                                  <w:i/>
                                  <w:iCs/>
                                  <w:color w:val="000000"/>
                                  <w:sz w:val="18"/>
                                  <w:szCs w:val="18"/>
                                </w:rPr>
                                <w:t xml:space="preserve">regulacja: </w:t>
                              </w:r>
                              <w:r w:rsidRPr="00B15954">
                                <w:rPr>
                                  <w:rFonts w:eastAsia="Calibri"/>
                                  <w:b/>
                                  <w:bCs/>
                                  <w:color w:val="000000"/>
                                  <w:sz w:val="18"/>
                                  <w:szCs w:val="18"/>
                                </w:rPr>
                                <w:t>rozporządzenie UE 2018/1999 o</w:t>
                              </w:r>
                              <w:r>
                                <w:rPr>
                                  <w:rFonts w:eastAsia="Calibri"/>
                                  <w:b/>
                                  <w:bCs/>
                                  <w:color w:val="000000"/>
                                  <w:sz w:val="18"/>
                                  <w:szCs w:val="18"/>
                                </w:rPr>
                                <w:t> z</w:t>
                              </w:r>
                              <w:r w:rsidRPr="00B15954">
                                <w:rPr>
                                  <w:rFonts w:eastAsia="Calibri"/>
                                  <w:b/>
                                  <w:bCs/>
                                  <w:color w:val="000000"/>
                                  <w:sz w:val="18"/>
                                  <w:szCs w:val="18"/>
                                </w:rPr>
                                <w:t>arządzeniu unią energetyczną</w:t>
                              </w:r>
                            </w:p>
                          </w:txbxContent>
                        </wps:txbx>
                        <wps:bodyPr rtlCol="0" anchor="ctr"/>
                      </wps:wsp>
                      <wps:wsp>
                        <wps:cNvPr id="1889587894" name="Prostokąt: zaokrąglone rogi 1889587894"/>
                        <wps:cNvSpPr/>
                        <wps:spPr>
                          <a:xfrm>
                            <a:off x="265369" y="563868"/>
                            <a:ext cx="1427275" cy="1087300"/>
                          </a:xfrm>
                          <a:prstGeom prst="roundRect">
                            <a:avLst/>
                          </a:prstGeom>
                          <a:solidFill>
                            <a:schemeClr val="accent3">
                              <a:lumMod val="20000"/>
                              <a:lumOff val="80000"/>
                            </a:schemeClr>
                          </a:solidFill>
                          <a:ln/>
                          <a:effectLst/>
                        </wps:spPr>
                        <wps:style>
                          <a:lnRef idx="0">
                            <a:schemeClr val="accent3"/>
                          </a:lnRef>
                          <a:fillRef idx="3">
                            <a:schemeClr val="accent3"/>
                          </a:fillRef>
                          <a:effectRef idx="3">
                            <a:schemeClr val="accent3"/>
                          </a:effectRef>
                          <a:fontRef idx="minor">
                            <a:schemeClr val="lt1"/>
                          </a:fontRef>
                        </wps:style>
                        <wps:txbx>
                          <w:txbxContent>
                            <w:p w14:paraId="2EBC7642" w14:textId="211CFA82" w:rsidR="00B15954" w:rsidRDefault="00B15954" w:rsidP="00314CA1">
                              <w:pPr>
                                <w:jc w:val="center"/>
                                <w:rPr>
                                  <w:rFonts w:eastAsia="Calibri"/>
                                  <w:b/>
                                  <w:bCs/>
                                  <w:color w:val="000000"/>
                                  <w:sz w:val="18"/>
                                  <w:szCs w:val="18"/>
                                  <w14:ligatures w14:val="none"/>
                                </w:rPr>
                              </w:pPr>
                              <w:r>
                                <w:rPr>
                                  <w:rFonts w:eastAsia="Calibri"/>
                                  <w:b/>
                                  <w:bCs/>
                                  <w:color w:val="000000"/>
                                  <w:sz w:val="18"/>
                                  <w:szCs w:val="18"/>
                                </w:rPr>
                                <w:t xml:space="preserve">27 państwach członkowskich UE opracowuje krajowe plany w dziedzinie energii i klimatu </w:t>
                              </w:r>
                              <w:r>
                                <w:rPr>
                                  <w:rFonts w:eastAsia="Calibri"/>
                                  <w:b/>
                                  <w:bCs/>
                                  <w:color w:val="000000"/>
                                  <w:sz w:val="18"/>
                                  <w:szCs w:val="18"/>
                                </w:rPr>
                                <w:br/>
                                <w:t xml:space="preserve">w 5 wymiarach </w:t>
                              </w:r>
                            </w:p>
                          </w:txbxContent>
                        </wps:txbx>
                        <wps:bodyPr rtlCol="0" anchor="ctr"/>
                      </wps:wsp>
                      <wps:wsp>
                        <wps:cNvPr id="1610639769" name="pole tekstowe 31"/>
                        <wps:cNvSpPr txBox="1"/>
                        <wps:spPr>
                          <a:xfrm>
                            <a:off x="2467483" y="354337"/>
                            <a:ext cx="2511425" cy="360045"/>
                          </a:xfrm>
                          <a:prstGeom prst="rect">
                            <a:avLst/>
                          </a:prstGeom>
                          <a:noFill/>
                        </wps:spPr>
                        <wps:txbx>
                          <w:txbxContent>
                            <w:p w14:paraId="0F119214" w14:textId="77777777" w:rsidR="00B15954" w:rsidRDefault="00B15954" w:rsidP="00314CA1">
                              <w:pPr>
                                <w:jc w:val="center"/>
                                <w:rPr>
                                  <w:rFonts w:asciiTheme="minorHAnsi" w:hAnsi="Calibri"/>
                                  <w:color w:val="000000" w:themeColor="text1"/>
                                  <w:kern w:val="24"/>
                                  <w:szCs w:val="20"/>
                                  <w14:ligatures w14:val="none"/>
                                </w:rPr>
                              </w:pPr>
                              <w:r>
                                <w:rPr>
                                  <w:rFonts w:asciiTheme="minorHAnsi" w:hAnsi="Calibri"/>
                                  <w:color w:val="000000" w:themeColor="text1"/>
                                  <w:kern w:val="24"/>
                                  <w:szCs w:val="20"/>
                                </w:rPr>
                                <w:t>wymiary</w:t>
                              </w:r>
                            </w:p>
                          </w:txbxContent>
                        </wps:txbx>
                        <wps:bodyPr wrap="square" rtlCol="0">
                          <a:noAutofit/>
                        </wps:bodyPr>
                      </wps:wsp>
                      <wps:wsp>
                        <wps:cNvPr id="1256316213" name="Łącznik prosty 1256316213"/>
                        <wps:cNvCnPr/>
                        <wps:spPr>
                          <a:xfrm flipH="1">
                            <a:off x="1817833" y="496540"/>
                            <a:ext cx="7100" cy="2268725"/>
                          </a:xfrm>
                          <a:prstGeom prst="line">
                            <a:avLst/>
                          </a:prstGeom>
                          <a:ln>
                            <a:prstDash val="dash"/>
                          </a:ln>
                        </wps:spPr>
                        <wps:style>
                          <a:lnRef idx="1">
                            <a:schemeClr val="accent3"/>
                          </a:lnRef>
                          <a:fillRef idx="0">
                            <a:schemeClr val="accent3"/>
                          </a:fillRef>
                          <a:effectRef idx="0">
                            <a:schemeClr val="accent3"/>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29F6DF0B" id="Grupa 89" o:spid="_x0000_s1029" style="position:absolute;left:0;text-align:left;margin-left:10.1pt;margin-top:11.7pt;width:419.65pt;height:218.8pt;z-index:251679744;mso-width-relative:margin;mso-height-relative:margin" coordsize="54916,2816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">
                <v:roundrect id="Prostokąt: zaokrąglone rogi 336657226" o:spid="_x0000_s1030" style="position:absolute;left:24675;top:6584;width:25200;height:324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" fillcolor="#ededed [662]" stroked="f">
                  <v:textbox>
                    <w:txbxContent>
                      <w:p w14:paraId="298B2C8B" w14:textId="77777777" w:rsidR="00B15954" w:rsidRDefault="00B15954" w:rsidP="00314CA1">
                        <w:pPr>
                          <w:ind w:left="274" w:hanging="274"/>
                          <w:jc w:val="center"/>
                          <w:textAlignment w:val="baseline"/>
                          <w:rPr>
                            <w:rFonts w:eastAsia="Calibri"/>
                            <w:b/>
                            <w:bCs/>
                            <w:color w:val="000000"/>
                            <w:sz w:val="18"/>
                            <w:szCs w:val="18"/>
                            <w14:ligatures w14:val="none"/>
                          </w:rPr>
                        </w:pPr>
                        <w:r>
                          <w:rPr>
                            <w:rFonts w:eastAsia="Calibri"/>
                            <w:b/>
                            <w:bCs/>
                            <w:color w:val="000000"/>
                            <w:sz w:val="18"/>
                            <w:szCs w:val="18"/>
                          </w:rPr>
                          <w:t xml:space="preserve"> obniżenie emisyjności</w:t>
                        </w:r>
                      </w:p>
                    </w:txbxContent>
                  </v:textbox>
                </v:roundrect>
                <v:roundrect id="Prostokąt: zaokrąglone rogi 924596139" o:spid="_x0000_s1031" style="position:absolute;left:25217;top:10787;width:25200;height:324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" fillcolor="#ededed [662]" stroked="f">
                  <v:textbox>
                    <w:txbxContent>
                      <w:p w14:paraId="5B38A071" w14:textId="77777777" w:rsidR="00B15954" w:rsidRDefault="00B15954" w:rsidP="00314CA1">
                        <w:pPr>
                          <w:ind w:left="274" w:hanging="274"/>
                          <w:jc w:val="center"/>
                          <w:textAlignment w:val="baseline"/>
                          <w:rPr>
                            <w:rFonts w:eastAsia="Calibri"/>
                            <w:b/>
                            <w:bCs/>
                            <w:color w:val="000000"/>
                            <w:sz w:val="18"/>
                            <w:szCs w:val="18"/>
                            <w14:ligatures w14:val="none"/>
                          </w:rPr>
                        </w:pPr>
                        <w:r>
                          <w:rPr>
                            <w:rFonts w:eastAsia="Calibri"/>
                            <w:b/>
                            <w:bCs/>
                            <w:color w:val="000000"/>
                            <w:sz w:val="18"/>
                            <w:szCs w:val="18"/>
                          </w:rPr>
                          <w:t xml:space="preserve"> efektywność energetyczna</w:t>
                        </w:r>
                      </w:p>
                    </w:txbxContent>
                  </v:textbox>
                </v:roundrect>
                <v:roundrect id="Prostokąt: zaokrąglone rogi 1857466661" o:spid="_x0000_s1032" style="position:absolute;left:24675;top:14990;width:25200;height:324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" fillcolor="#ededed [662]" stroked="f">
                  <v:textbox>
                    <w:txbxContent>
                      <w:p w14:paraId="267007FD" w14:textId="77777777" w:rsidR="00B15954" w:rsidRDefault="00B15954" w:rsidP="00314CA1">
                        <w:pPr>
                          <w:ind w:left="274" w:hanging="274"/>
                          <w:jc w:val="center"/>
                          <w:textAlignment w:val="baseline"/>
                          <w:rPr>
                            <w:rFonts w:eastAsia="Calibri"/>
                            <w:b/>
                            <w:bCs/>
                            <w:color w:val="000000"/>
                            <w:sz w:val="18"/>
                            <w:szCs w:val="18"/>
                            <w14:ligatures w14:val="none"/>
                          </w:rPr>
                        </w:pPr>
                        <w:r>
                          <w:rPr>
                            <w:rFonts w:eastAsia="Calibri"/>
                            <w:b/>
                            <w:bCs/>
                            <w:color w:val="000000"/>
                            <w:sz w:val="18"/>
                            <w:szCs w:val="18"/>
                          </w:rPr>
                          <w:t xml:space="preserve"> bezpieczeństwo energetyczne</w:t>
                        </w:r>
                      </w:p>
                    </w:txbxContent>
                  </v:textbox>
                </v:roundrect>
                <v:roundrect id="Prostokąt: zaokrąglone rogi 1981903612" o:spid="_x0000_s1033" style="position:absolute;left:25288;top:19193;width:25200;height:324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" fillcolor="#ededed [662]" stroked="f">
                  <v:textbox>
                    <w:txbxContent>
                      <w:p w14:paraId="32EF2ED5" w14:textId="77777777" w:rsidR="00B15954" w:rsidRDefault="00B15954" w:rsidP="00314CA1">
                        <w:pPr>
                          <w:ind w:left="274" w:hanging="274"/>
                          <w:jc w:val="center"/>
                          <w:textAlignment w:val="baseline"/>
                          <w:rPr>
                            <w:rFonts w:eastAsia="Calibri"/>
                            <w:b/>
                            <w:bCs/>
                            <w:color w:val="000000"/>
                            <w:sz w:val="18"/>
                            <w:szCs w:val="18"/>
                            <w14:ligatures w14:val="none"/>
                          </w:rPr>
                        </w:pPr>
                        <w:r>
                          <w:rPr>
                            <w:rFonts w:eastAsia="Calibri"/>
                            <w:b/>
                            <w:bCs/>
                            <w:color w:val="000000"/>
                            <w:sz w:val="18"/>
                            <w:szCs w:val="18"/>
                          </w:rPr>
                          <w:t xml:space="preserve"> wewnątrzunijny rynek energii</w:t>
                        </w:r>
                      </w:p>
                    </w:txbxContent>
                  </v:textbox>
                </v:roundrect>
                <v:roundrect id="Prostokąt: zaokrąglone rogi 254388489" o:spid="_x0000_s1034" style="position:absolute;left:24675;top:23396;width:25200;height:324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" fillcolor="#ededed [662]" stroked="f">
                  <v:textbox>
                    <w:txbxContent>
                      <w:p w14:paraId="1CE46484" w14:textId="77777777" w:rsidR="00B15954" w:rsidRDefault="00B15954" w:rsidP="00314CA1">
                        <w:pPr>
                          <w:ind w:left="274" w:hanging="274"/>
                          <w:jc w:val="center"/>
                          <w:textAlignment w:val="baseline"/>
                          <w:rPr>
                            <w:rFonts w:eastAsia="Calibri"/>
                            <w:b/>
                            <w:bCs/>
                            <w:color w:val="000000"/>
                            <w:sz w:val="18"/>
                            <w:szCs w:val="18"/>
                            <w14:ligatures w14:val="none"/>
                          </w:rPr>
                        </w:pPr>
                        <w:r>
                          <w:rPr>
                            <w:rFonts w:eastAsia="Calibri"/>
                            <w:b/>
                            <w:bCs/>
                            <w:color w:val="000000"/>
                            <w:sz w:val="18"/>
                            <w:szCs w:val="18"/>
                          </w:rPr>
                          <w:t xml:space="preserve"> badania, innowacje, konkurencyjność</w:t>
                        </w:r>
                      </w:p>
                    </w:txbxContent>
                  </v:textbox>
                </v:roundrect>
                <v:group id="Grupa 31902104" o:spid="_x0000_s1035" style="position:absolute;left:19301;top:5222;width:6480;height:6019" coordorigin="19301,5222" coordsize="6480,60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">
                  <v:oval id="Owal 1180372833" o:spid="_x0000_s1036" style="position:absolute;left:19301;top:5222;width:6480;height:6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" fillcolor="#ededed [662]" stroke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a 17" o:spid="_x0000_s1037" type="#_x0000_t75" alt="Znaczek 1 z wypełnieniem pełnym" style="position:absolute;left:20034;top:5891;width:5040;height:46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">
                    <v:imagedata r:id="rId17" o:title="Znaczek 1 z wypełnieniem pełnym"/>
                  </v:shape>
                </v:group>
                <v:group id="Grupa 149511348" o:spid="_x0000_s1038" style="position:absolute;left:48122;top:9397;width:6480;height:6019" coordorigin="48122,9397" coordsize="6480,60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">
                  <v:oval id="Owal 1948532357" o:spid="_x0000_s1039" style="position:absolute;left:48122;top:9397;width:6480;height:6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" fillcolor="#ededed [662]" stroked="f"/>
                  <v:shape id="Grafika 19" o:spid="_x0000_s1040" type="#_x0000_t75" alt="Znaczek z wypełnieniem pełnym" style="position:absolute;left:48842;top:10066;width:5040;height:46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">
                    <v:imagedata r:id="rId18" o:title="Znaczek z wypełnieniem pełnym"/>
                  </v:shape>
                </v:group>
                <v:group id="Grupa 1851364703" o:spid="_x0000_s1041" style="position:absolute;left:48436;top:17804;width:6480;height:6018" coordorigin="48436,17804" coordsize="6480,60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">
                  <v:oval id="Owal 2076026566" o:spid="_x0000_s1042" style="position:absolute;left:48436;top:17804;width:6480;height:60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" fillcolor="#ededed [662]" stroked="f"/>
                  <v:shape id="Grafika 23" o:spid="_x0000_s1043" type="#_x0000_t75" alt="Znaczek 4 z wypełnieniem pełnym" style="position:absolute;left:49156;top:18472;width:5040;height:46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">
                    <v:imagedata r:id="rId19" o:title="Znaczek 4 z wypełnieniem pełnym"/>
                  </v:shape>
                </v:group>
                <v:group id="Grupa 1004969855" o:spid="_x0000_s1044" style="position:absolute;left:19499;top:22150;width:6480;height:6019" coordorigin="19499,22150" coordsize="6480,60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">
                  <v:oval id="Owal 850547100" o:spid="_x0000_s1045" style="position:absolute;left:19499;top:22150;width:6480;height:6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" fillcolor="#ededed [662]" stroked="f"/>
                  <v:shape id="Grafika 25" o:spid="_x0000_s1046" type="#_x0000_t75" alt="Znaczek 5 z wypełnieniem pełnym" style="position:absolute;left:20219;top:22819;width:5040;height:46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">
                    <v:imagedata r:id="rId20" o:title="Znaczek 5 z wypełnieniem pełnym"/>
                  </v:shape>
                </v:group>
                <v:group id="Grupa 2126474685" o:spid="_x0000_s1047" style="position:absolute;left:19499;top:13578;width:6480;height:6019" coordorigin="19499,13578" coordsize="6480,60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">
                  <v:oval id="Owal 482879580" o:spid="_x0000_s1048" style="position:absolute;left:19499;top:13578;width:6480;height:6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" fillcolor="#ededed [662]" stroked="f"/>
                  <v:shape id="Grafika 27" o:spid="_x0000_s1049" type="#_x0000_t75" alt="Znaczek 3 z wypełnieniem pełnym" style="position:absolute;left:20219;top:14247;width:5040;height:46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">
                    <v:imagedata r:id="rId21" o:title="Znaczek 3 z wypełnieniem pełnym"/>
                  </v:shape>
                </v:group>
                <v:shape id="pole tekstowe 28" o:spid="_x0000_s1050" type="#_x0000_t202" style="position:absolute;width:51562;height:4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" filled="f" stroked="f">
                  <v:textbox>
                    <w:txbxContent>
                      <w:p w14:paraId="00F0EC35" w14:textId="77777777" w:rsidR="00B15954" w:rsidRDefault="00B15954" w:rsidP="00314CA1">
                        <w:pPr>
                          <w:jc w:val="center"/>
                          <w:rPr>
                            <w:rFonts w:asciiTheme="majorHAnsi" w:hAnsi="Calibri Light"/>
                            <w:b/>
                            <w:bCs/>
                            <w:color w:val="000000" w:themeColor="text1"/>
                            <w:kern w:val="24"/>
                            <w:sz w:val="28"/>
                            <w:szCs w:val="28"/>
                            <w14:ligatures w14:val="none"/>
                          </w:rPr>
                        </w:pPr>
                        <w:r>
                          <w:rPr>
                            <w:rFonts w:asciiTheme="majorHAnsi" w:hAnsi="Calibri Light"/>
                            <w:b/>
                            <w:bCs/>
                            <w:color w:val="000000" w:themeColor="text1"/>
                            <w:kern w:val="24"/>
                            <w:sz w:val="28"/>
                            <w:szCs w:val="28"/>
                          </w:rPr>
                          <w:t>Unia energetyczna Unii Europejskiej</w:t>
                        </w:r>
                      </w:p>
                    </w:txbxContent>
                  </v:textbox>
                </v:shape>
                <v:roundrect id="Prostokąt: zaokrąglone rogi 316068971" o:spid="_x0000_s1051" style="position:absolute;left:2653;top:17456;width:14196;height:91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" fillcolor="#ededed [662]" stroked="f">
                  <v:textbox>
                    <w:txbxContent>
                      <w:p w14:paraId="35A24EF9" w14:textId="2348740C" w:rsidR="00B15954" w:rsidRPr="00B15954" w:rsidRDefault="00B15954" w:rsidP="00314CA1">
                        <w:pPr>
                          <w:jc w:val="center"/>
                          <w:textAlignment w:val="baseline"/>
                          <w:rPr>
                            <w:rFonts w:eastAsia="Calibri"/>
                            <w:b/>
                            <w:bCs/>
                            <w:color w:val="000000"/>
                            <w:sz w:val="18"/>
                            <w:szCs w:val="18"/>
                            <w14:ligatures w14:val="none"/>
                          </w:rPr>
                        </w:pPr>
                        <w:r>
                          <w:rPr>
                            <w:rFonts w:eastAsia="Calibri"/>
                            <w:b/>
                            <w:bCs/>
                            <w:i/>
                            <w:iCs/>
                            <w:color w:val="000000"/>
                            <w:sz w:val="18"/>
                            <w:szCs w:val="18"/>
                          </w:rPr>
                          <w:t xml:space="preserve">regulacja: </w:t>
                        </w:r>
                        <w:r w:rsidRPr="00B15954">
                          <w:rPr>
                            <w:rFonts w:eastAsia="Calibri"/>
                            <w:b/>
                            <w:bCs/>
                            <w:color w:val="000000"/>
                            <w:sz w:val="18"/>
                            <w:szCs w:val="18"/>
                          </w:rPr>
                          <w:t>rozporządzenie UE 2018/1999 o</w:t>
                        </w:r>
                        <w:r>
                          <w:rPr>
                            <w:rFonts w:eastAsia="Calibri"/>
                            <w:b/>
                            <w:bCs/>
                            <w:color w:val="000000"/>
                            <w:sz w:val="18"/>
                            <w:szCs w:val="18"/>
                          </w:rPr>
                          <w:t> z</w:t>
                        </w:r>
                        <w:r w:rsidRPr="00B15954">
                          <w:rPr>
                            <w:rFonts w:eastAsia="Calibri"/>
                            <w:b/>
                            <w:bCs/>
                            <w:color w:val="000000"/>
                            <w:sz w:val="18"/>
                            <w:szCs w:val="18"/>
                          </w:rPr>
                          <w:t>arządzeniu unią energetyczną</w:t>
                        </w:r>
                      </w:p>
                    </w:txbxContent>
                  </v:textbox>
                </v:roundrect>
                <v:roundrect id="Prostokąt: zaokrąglone rogi 1889587894" o:spid="_x0000_s1052" style="position:absolute;left:2653;top:5638;width:14273;height:1087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" fillcolor="#ededed [662]" stroked="f">
                  <v:textbox>
                    <w:txbxContent>
                      <w:p w14:paraId="2EBC7642" w14:textId="211CFA82" w:rsidR="00B15954" w:rsidRDefault="00B15954" w:rsidP="00314CA1">
                        <w:pPr>
                          <w:jc w:val="center"/>
                          <w:rPr>
                            <w:rFonts w:eastAsia="Calibri"/>
                            <w:b/>
                            <w:bCs/>
                            <w:color w:val="000000"/>
                            <w:sz w:val="18"/>
                            <w:szCs w:val="18"/>
                            <w14:ligatures w14:val="none"/>
                          </w:rPr>
                        </w:pPr>
                        <w:r>
                          <w:rPr>
                            <w:rFonts w:eastAsia="Calibri"/>
                            <w:b/>
                            <w:bCs/>
                            <w:color w:val="000000"/>
                            <w:sz w:val="18"/>
                            <w:szCs w:val="18"/>
                          </w:rPr>
                          <w:t xml:space="preserve">27 państwach członkowskich UE opracowuje krajowe plany w dziedzinie energii i klimatu </w:t>
                        </w:r>
                        <w:r>
                          <w:rPr>
                            <w:rFonts w:eastAsia="Calibri"/>
                            <w:b/>
                            <w:bCs/>
                            <w:color w:val="000000"/>
                            <w:sz w:val="18"/>
                            <w:szCs w:val="18"/>
                          </w:rPr>
                          <w:br/>
                          <w:t xml:space="preserve">w 5 wymiarach </w:t>
                        </w:r>
                      </w:p>
                    </w:txbxContent>
                  </v:textbox>
                </v:roundrect>
                <v:shape id="pole tekstowe 31" o:spid="_x0000_s1053" type="#_x0000_t202" style="position:absolute;left:24674;top:3543;width:25115;height:3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" filled="f" stroked="f">
                  <v:textbox>
                    <w:txbxContent>
                      <w:p w14:paraId="0F119214" w14:textId="77777777" w:rsidR="00B15954" w:rsidRDefault="00B15954" w:rsidP="00314CA1">
                        <w:pPr>
                          <w:jc w:val="center"/>
                          <w:rPr>
                            <w:rFonts w:asciiTheme="minorHAnsi" w:hAnsi="Calibri"/>
                            <w:color w:val="000000" w:themeColor="text1"/>
                            <w:kern w:val="24"/>
                            <w:szCs w:val="20"/>
                            <w14:ligatures w14:val="none"/>
                          </w:rPr>
                        </w:pPr>
                        <w:r>
                          <w:rPr>
                            <w:rFonts w:asciiTheme="minorHAnsi" w:hAnsi="Calibri"/>
                            <w:color w:val="000000" w:themeColor="text1"/>
                            <w:kern w:val="24"/>
                            <w:szCs w:val="20"/>
                          </w:rPr>
                          <w:t>wymiary</w:t>
                        </w:r>
                      </w:p>
                    </w:txbxContent>
                  </v:textbox>
                </v:shape>
                <v:line id="Łącznik prosty 1256316213" o:spid="_x0000_s1054" style="position:absolute;flip:x;visibility:visible;mso-wrap-style:square" from="18178,4965" to="18249,276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" strokecolor="#a5a5a5 [3206]" strokeweight=".5pt">
                  <v:stroke dashstyle="dash" joinstyle="miter"/>
                </v:line>
              </v:group>
            </w:pict>
          </mc:Fallback>
        </mc:AlternateContent>
      </w:r>
    </w:p>
    <w:p w14:paraId="46B7871E" w14:textId="77777777" w:rsidR="001C7FF4" w:rsidRDefault="001C7FF4" w:rsidP="00DA00F5">
      <w:pPr>
        <w:spacing w:before="360"/>
      </w:pPr>
    </w:p>
    <w:p w14:paraId="3FDFEBA1" w14:textId="77777777" w:rsidR="001C7FF4" w:rsidRDefault="001C7FF4" w:rsidP="00DA00F5">
      <w:pPr>
        <w:spacing w:before="360"/>
      </w:pPr>
    </w:p>
    <w:p w14:paraId="7A4FC23D" w14:textId="77777777" w:rsidR="001C7FF4" w:rsidRDefault="001C7FF4" w:rsidP="00DA00F5">
      <w:pPr>
        <w:spacing w:before="360"/>
      </w:pPr>
    </w:p>
    <w:p w14:paraId="3BC11643" w14:textId="77777777" w:rsidR="001C7FF4" w:rsidRDefault="001C7FF4" w:rsidP="00DA00F5">
      <w:pPr>
        <w:spacing w:before="360"/>
      </w:pPr>
    </w:p>
    <w:p w14:paraId="4319FF80" w14:textId="77777777" w:rsidR="001C7FF4" w:rsidRDefault="001C7FF4" w:rsidP="00DA00F5">
      <w:pPr>
        <w:spacing w:before="360"/>
      </w:pPr>
    </w:p>
    <w:p w14:paraId="3621D0C1" w14:textId="77777777" w:rsidR="001C7FF4" w:rsidRDefault="001C7FF4" w:rsidP="00DA00F5">
      <w:pPr>
        <w:spacing w:before="360"/>
      </w:pPr>
    </w:p>
    <w:p w14:paraId="04CD2B0E" w14:textId="7383658B" w:rsidR="00AA5A87" w:rsidRDefault="00D442B9" w:rsidP="00D121F4">
      <w:pPr>
        <w:pStyle w:val="Nagwek2"/>
        <w:numPr>
          <w:ilvl w:val="0"/>
          <w:numId w:val="12"/>
        </w:numPr>
        <w:spacing w:before="960"/>
        <w:ind w:left="709"/>
      </w:pPr>
      <w:bookmarkStart w:id="9" w:name="_Toc159598280"/>
      <w:bookmarkStart w:id="10" w:name="_Toc179536928"/>
      <w:r>
        <w:t>Jak zbudowany jest KPEiK</w:t>
      </w:r>
      <w:bookmarkEnd w:id="9"/>
      <w:bookmarkEnd w:id="10"/>
    </w:p>
    <w:p w14:paraId="66E5A5DD" w14:textId="153BA79E" w:rsidR="000855B2" w:rsidRDefault="00432A9E" w:rsidP="00314CA1">
      <w:pPr>
        <w:spacing w:after="240"/>
      </w:pPr>
      <w:r>
        <w:t>Zakres</w:t>
      </w:r>
      <w:r w:rsidR="003B48D6">
        <w:t xml:space="preserve"> </w:t>
      </w:r>
      <w:r>
        <w:t xml:space="preserve">krajowych planów w dziedzinie energii i klimatu </w:t>
      </w:r>
      <w:r w:rsidR="003B48D6">
        <w:t xml:space="preserve">reguluje </w:t>
      </w:r>
      <w:r>
        <w:t xml:space="preserve">załącznik I do </w:t>
      </w:r>
      <w:r w:rsidR="003B48D6">
        <w:t>rozporządzeni</w:t>
      </w:r>
      <w:r>
        <w:t>a</w:t>
      </w:r>
      <w:r w:rsidR="003B48D6">
        <w:t xml:space="preserve"> </w:t>
      </w:r>
      <w:r>
        <w:t xml:space="preserve">UE </w:t>
      </w:r>
      <w:r w:rsidR="003B48D6">
        <w:t>2018/1999</w:t>
      </w:r>
      <w:r>
        <w:t>. KPEiK powinien zawierać</w:t>
      </w:r>
      <w:r w:rsidR="000855B2">
        <w:t>:</w:t>
      </w:r>
    </w:p>
    <w:tbl>
      <w:tblPr>
        <w:tblStyle w:val="Tabela-Siatka"/>
        <w:tblW w:w="93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02"/>
        <w:gridCol w:w="6520"/>
      </w:tblGrid>
      <w:tr w:rsidR="00530C4D" w14:paraId="725A05A5" w14:textId="77777777" w:rsidTr="00530C4D">
        <w:tc>
          <w:tcPr>
            <w:tcW w:w="2802" w:type="dxa"/>
          </w:tcPr>
          <w:p w14:paraId="2885E5FB" w14:textId="77777777" w:rsidR="00530C4D" w:rsidRDefault="00530C4D" w:rsidP="00D121F4">
            <w:pPr>
              <w:pStyle w:val="Akapitzlist"/>
              <w:numPr>
                <w:ilvl w:val="0"/>
                <w:numId w:val="9"/>
              </w:numPr>
              <w:spacing w:after="40"/>
              <w:ind w:left="567" w:hanging="357"/>
              <w:contextualSpacing w:val="0"/>
            </w:pPr>
            <w:r>
              <w:t xml:space="preserve">zarys ogólny, </w:t>
            </w:r>
          </w:p>
          <w:p w14:paraId="33D49418" w14:textId="77777777" w:rsidR="00530C4D" w:rsidRDefault="00530C4D" w:rsidP="00D121F4">
            <w:pPr>
              <w:pStyle w:val="Akapitzlist"/>
              <w:numPr>
                <w:ilvl w:val="0"/>
                <w:numId w:val="9"/>
              </w:numPr>
              <w:spacing w:after="40"/>
              <w:ind w:left="567" w:hanging="357"/>
              <w:contextualSpacing w:val="0"/>
            </w:pPr>
            <w:r>
              <w:t xml:space="preserve">założenia i cele, </w:t>
            </w:r>
          </w:p>
          <w:p w14:paraId="1C251020" w14:textId="42D8E619" w:rsidR="00530C4D" w:rsidRDefault="00530C4D" w:rsidP="00D121F4">
            <w:pPr>
              <w:pStyle w:val="Akapitzlist"/>
              <w:numPr>
                <w:ilvl w:val="0"/>
                <w:numId w:val="9"/>
              </w:numPr>
              <w:spacing w:after="40"/>
              <w:ind w:left="567" w:hanging="357"/>
              <w:contextualSpacing w:val="0"/>
            </w:pPr>
            <w:r>
              <w:t>polityki i działania</w:t>
            </w:r>
            <w:r>
              <w:rPr>
                <w:rStyle w:val="Odwoanieprzypisudolnego"/>
              </w:rPr>
              <w:footnoteReference w:id="3"/>
            </w:r>
            <w:r>
              <w:t>,</w:t>
            </w:r>
          </w:p>
        </w:tc>
        <w:tc>
          <w:tcPr>
            <w:tcW w:w="6520" w:type="dxa"/>
          </w:tcPr>
          <w:p w14:paraId="71CF3113" w14:textId="0239A3D4" w:rsidR="00530C4D" w:rsidRDefault="00530C4D" w:rsidP="00D121F4">
            <w:pPr>
              <w:pStyle w:val="Akapitzlist"/>
              <w:numPr>
                <w:ilvl w:val="0"/>
                <w:numId w:val="9"/>
              </w:numPr>
              <w:spacing w:after="40"/>
              <w:ind w:left="426" w:hanging="357"/>
              <w:contextualSpacing w:val="0"/>
              <w:jc w:val="left"/>
            </w:pPr>
            <w:r>
              <w:t xml:space="preserve">podstawę analityczną przy wdrożonych politykach i działaniach – scenariusz WEM (ang. </w:t>
            </w:r>
            <w:r w:rsidRPr="000855B2">
              <w:rPr>
                <w:i/>
                <w:iCs/>
              </w:rPr>
              <w:t>with existing measure</w:t>
            </w:r>
            <w:r>
              <w:t xml:space="preserve">s), </w:t>
            </w:r>
          </w:p>
          <w:p w14:paraId="54E8643B" w14:textId="5F230562" w:rsidR="00530C4D" w:rsidRDefault="00530C4D" w:rsidP="00D121F4">
            <w:pPr>
              <w:pStyle w:val="Akapitzlist"/>
              <w:numPr>
                <w:ilvl w:val="0"/>
                <w:numId w:val="9"/>
              </w:numPr>
              <w:spacing w:after="80"/>
              <w:ind w:left="426" w:hanging="357"/>
              <w:contextualSpacing w:val="0"/>
            </w:pPr>
            <w:r>
              <w:t xml:space="preserve">podstawę analityczną stanowiącą ocenę skutków dodatkowych polityk i działań – scenariusz WAM (ang. </w:t>
            </w:r>
            <w:r w:rsidRPr="000855B2">
              <w:rPr>
                <w:i/>
                <w:iCs/>
              </w:rPr>
              <w:t>with additional measure</w:t>
            </w:r>
            <w:r>
              <w:t xml:space="preserve">s). </w:t>
            </w:r>
          </w:p>
        </w:tc>
      </w:tr>
    </w:tbl>
    <w:p w14:paraId="47C33875" w14:textId="69FE9AB6" w:rsidR="00432A9E" w:rsidRDefault="006B783C" w:rsidP="00314CA1">
      <w:pPr>
        <w:spacing w:before="240"/>
      </w:pPr>
      <w:r>
        <w:t xml:space="preserve">Aby ułatwić odbiór </w:t>
      </w:r>
      <w:r w:rsidR="003369C8">
        <w:t>treści aktualizacji KPEiK</w:t>
      </w:r>
      <w:r w:rsidR="00641AE7">
        <w:t>,</w:t>
      </w:r>
      <w:r>
        <w:t xml:space="preserve"> opracowano </w:t>
      </w:r>
      <w:r w:rsidR="003369C8">
        <w:t>ją</w:t>
      </w:r>
      <w:r>
        <w:t xml:space="preserve"> w nieco zmodyfikowany sposób w</w:t>
      </w:r>
      <w:r w:rsidR="003369C8">
        <w:t> </w:t>
      </w:r>
      <w:r>
        <w:t>porównaniu do</w:t>
      </w:r>
      <w:r w:rsidR="00583F68">
        <w:t> </w:t>
      </w:r>
      <w:r w:rsidRPr="006B783C">
        <w:rPr>
          <w:i/>
          <w:iCs/>
        </w:rPr>
        <w:t xml:space="preserve">Krajowego planu na rzecz energii i </w:t>
      </w:r>
      <w:r w:rsidR="00C32B22" w:rsidRPr="006B783C">
        <w:rPr>
          <w:i/>
          <w:iCs/>
        </w:rPr>
        <w:t>klimatu</w:t>
      </w:r>
      <w:r w:rsidRPr="006B783C">
        <w:rPr>
          <w:i/>
          <w:iCs/>
        </w:rPr>
        <w:t xml:space="preserve"> na lata 2021–2030</w:t>
      </w:r>
      <w:r w:rsidR="00C234E4">
        <w:t xml:space="preserve"> z 2019 r.</w:t>
      </w:r>
      <w:r w:rsidR="00793F4E">
        <w:t xml:space="preserve"> Poniższy rysunek przedstawia w uproszczony sposób </w:t>
      </w:r>
      <w:r w:rsidR="0088560C">
        <w:t xml:space="preserve">elementy i </w:t>
      </w:r>
      <w:r w:rsidR="00793F4E">
        <w:t>budowę dokumentu</w:t>
      </w:r>
      <w:r w:rsidR="0088560C">
        <w:t>. W</w:t>
      </w:r>
      <w:r w:rsidR="00793F4E">
        <w:t xml:space="preserve"> części zasadniczej </w:t>
      </w:r>
      <w:r w:rsidR="0088560C">
        <w:t>(</w:t>
      </w:r>
      <w:r w:rsidR="005C7A1F">
        <w:t>a</w:t>
      </w:r>
      <w:r w:rsidR="0088560C">
        <w:t xml:space="preserve">KPEiK) </w:t>
      </w:r>
      <w:r w:rsidR="00793F4E">
        <w:t xml:space="preserve">przedstawiono </w:t>
      </w:r>
      <w:r w:rsidR="00D6225F">
        <w:t>(II</w:t>
      </w:r>
      <w:r w:rsidR="00C27477">
        <w:t>)</w:t>
      </w:r>
      <w:r w:rsidR="00D6225F">
        <w:t> </w:t>
      </w:r>
      <w:r w:rsidR="0088560C" w:rsidRPr="0088560C">
        <w:rPr>
          <w:b/>
          <w:bCs/>
        </w:rPr>
        <w:t>ZAŁOŻENIA I CELE</w:t>
      </w:r>
      <w:r w:rsidR="0088560C">
        <w:t xml:space="preserve"> </w:t>
      </w:r>
      <w:r w:rsidR="00B97B50">
        <w:t xml:space="preserve">w pięciu wymiarach unii energetycznej w podziale na </w:t>
      </w:r>
      <w:r w:rsidR="00B97B50" w:rsidRPr="0088560C">
        <w:rPr>
          <w:b/>
          <w:bCs/>
        </w:rPr>
        <w:t>obszary</w:t>
      </w:r>
      <w:r w:rsidR="00B97B50">
        <w:t>, w</w:t>
      </w:r>
      <w:r w:rsidR="00C27477">
        <w:t> </w:t>
      </w:r>
      <w:r w:rsidR="00B97B50">
        <w:t xml:space="preserve">ramach których zgrupowano poszczególne </w:t>
      </w:r>
      <w:r w:rsidR="00B97B50" w:rsidRPr="0088560C">
        <w:rPr>
          <w:b/>
          <w:bCs/>
        </w:rPr>
        <w:t>cele</w:t>
      </w:r>
      <w:r w:rsidR="00B97B50">
        <w:t xml:space="preserve"> w ujęciu tematycznym</w:t>
      </w:r>
      <w:r w:rsidR="0088560C">
        <w:t xml:space="preserve">. </w:t>
      </w:r>
      <w:r w:rsidR="0088560C" w:rsidRPr="0088560C">
        <w:rPr>
          <w:b/>
          <w:bCs/>
        </w:rPr>
        <w:t>C</w:t>
      </w:r>
      <w:r w:rsidR="00B97B50" w:rsidRPr="0088560C">
        <w:rPr>
          <w:b/>
          <w:bCs/>
        </w:rPr>
        <w:t>el</w:t>
      </w:r>
      <w:r w:rsidR="0088560C">
        <w:rPr>
          <w:b/>
          <w:bCs/>
        </w:rPr>
        <w:t xml:space="preserve">e </w:t>
      </w:r>
      <w:r w:rsidR="0088560C">
        <w:t>(oznaczone szarym polem)</w:t>
      </w:r>
      <w:r w:rsidR="00B97B50">
        <w:t xml:space="preserve"> </w:t>
      </w:r>
      <w:r w:rsidR="0088560C">
        <w:t xml:space="preserve">poprzedza krótki </w:t>
      </w:r>
      <w:r w:rsidR="00B97B50">
        <w:t xml:space="preserve">opis </w:t>
      </w:r>
      <w:r w:rsidR="0088560C">
        <w:t xml:space="preserve">kontekstowy, a następnie zwięźle określono </w:t>
      </w:r>
      <w:r w:rsidR="0088560C" w:rsidRPr="0088560C">
        <w:rPr>
          <w:b/>
          <w:bCs/>
        </w:rPr>
        <w:t>politykę</w:t>
      </w:r>
      <w:r w:rsidR="00C27477">
        <w:t xml:space="preserve"> w zakresie ich osiągania</w:t>
      </w:r>
      <w:r w:rsidR="0088560C">
        <w:t xml:space="preserve"> oraz wylistowano </w:t>
      </w:r>
      <w:r w:rsidR="0088560C" w:rsidRPr="0088560C">
        <w:rPr>
          <w:b/>
          <w:bCs/>
        </w:rPr>
        <w:t>kluczow</w:t>
      </w:r>
      <w:r w:rsidR="0088560C">
        <w:rPr>
          <w:b/>
          <w:bCs/>
        </w:rPr>
        <w:t>e</w:t>
      </w:r>
      <w:r w:rsidR="0088560C">
        <w:t xml:space="preserve"> </w:t>
      </w:r>
      <w:r w:rsidR="0088560C" w:rsidRPr="00FB43D9">
        <w:rPr>
          <w:b/>
          <w:bCs/>
        </w:rPr>
        <w:t>działa</w:t>
      </w:r>
      <w:r w:rsidR="000840AF" w:rsidRPr="00FB43D9">
        <w:rPr>
          <w:b/>
          <w:bCs/>
        </w:rPr>
        <w:t>nia</w:t>
      </w:r>
      <w:r w:rsidR="00583F68" w:rsidRPr="00FB43D9">
        <w:rPr>
          <w:b/>
          <w:bCs/>
        </w:rPr>
        <w:t xml:space="preserve"> </w:t>
      </w:r>
      <w:r w:rsidR="005C7A1F">
        <w:t>(</w:t>
      </w:r>
      <w:r w:rsidR="00583F68" w:rsidRPr="00FB43D9">
        <w:t>kierunkowo spójne z systematyką zawartą w pierwszym sprawozdaniu z KPEiK, opracowanym w 2023 r.</w:t>
      </w:r>
      <w:r w:rsidR="005C7A1F">
        <w:t>)</w:t>
      </w:r>
      <w:r w:rsidR="0088560C" w:rsidRPr="00FB43D9">
        <w:t>.</w:t>
      </w:r>
      <w:r w:rsidR="001B04FC">
        <w:t xml:space="preserve"> Nazwy poszczególnych działań stanowią hiperłącza, które pozwalają na przeniesienie się do części (III) </w:t>
      </w:r>
      <w:r w:rsidR="001B04FC">
        <w:rPr>
          <w:b/>
          <w:bCs/>
        </w:rPr>
        <w:t>DZIAŁANIA</w:t>
      </w:r>
      <w:r w:rsidR="001B04FC">
        <w:t>., gdzie zabrane są wszystkie działania</w:t>
      </w:r>
      <w:r w:rsidR="001B04FC" w:rsidRPr="00FB43D9">
        <w:t xml:space="preserve"> </w:t>
      </w:r>
      <w:r w:rsidR="001B04FC">
        <w:t>wraz z opisami</w:t>
      </w:r>
      <w:r w:rsidR="000840AF" w:rsidRPr="000840AF">
        <w:t>.</w:t>
      </w:r>
      <w:r w:rsidR="00D6225F">
        <w:t xml:space="preserve"> Zostały one przyporządkowane do wymiaru unii energetycznej, ale mog</w:t>
      </w:r>
      <w:r w:rsidR="00A373B1">
        <w:t>ą</w:t>
      </w:r>
      <w:r w:rsidR="00D6225F">
        <w:t xml:space="preserve"> odnosić się również do innych wymiarów.</w:t>
      </w:r>
      <w:r w:rsidR="001B04FC" w:rsidRPr="001B04FC">
        <w:t xml:space="preserve"> </w:t>
      </w:r>
      <w:r w:rsidR="001B04FC">
        <w:t>Odwzorowanie opisanej powyżej struktury stanowi w uproszczeniu grafika poniżej.</w:t>
      </w:r>
    </w:p>
    <w:p w14:paraId="0CEB6A4A" w14:textId="7A94BA53" w:rsidR="00432A9E" w:rsidRDefault="00D50314" w:rsidP="00D54B26">
      <w:r>
        <w:rPr>
          <w:noProof/>
        </w:rPr>
        <w:lastRenderedPageBreak/>
        <mc:AlternateContent>
          <mc:Choice Requires="wps">
            <w:drawing>
              <wp:anchor distT="0" distB="0" distL="114300" distR="114300" simplePos="0" relativeHeight="251681792" behindDoc="0" locked="0" layoutInCell="1" allowOverlap="1" wp14:anchorId="67A75307" wp14:editId="1B5F123A">
                <wp:simplePos x="0" y="0"/>
                <wp:positionH relativeFrom="column">
                  <wp:posOffset>46503</wp:posOffset>
                </wp:positionH>
                <wp:positionV relativeFrom="paragraph">
                  <wp:posOffset>3085199</wp:posOffset>
                </wp:positionV>
                <wp:extent cx="2062613" cy="1426210"/>
                <wp:effectExtent l="19050" t="19050" r="13970" b="21590"/>
                <wp:wrapNone/>
                <wp:docPr id="320720028" name="Rectangle 2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62613" cy="1426210"/>
                        </a:xfrm>
                        <a:prstGeom prst="rect">
                          <a:avLst/>
                        </a:prstGeom>
                        <a:solidFill>
                          <a:schemeClr val="bg1">
                            <a:lumMod val="100000"/>
                            <a:lumOff val="0"/>
                          </a:schemeClr>
                        </a:solidFill>
                        <a:ln w="38100">
                          <a:solidFill>
                            <a:schemeClr val="accent3">
                              <a:lumMod val="100000"/>
                              <a:lumOff val="0"/>
                            </a:schemeClr>
                          </a:solidFill>
                          <a:miter lim="800000"/>
                          <a:headEnd/>
                          <a:tailEnd/>
                        </a:ln>
                      </wps:spPr>
                      <wps:txbx>
                        <w:txbxContent>
                          <w:p w14:paraId="4AE5E19B" w14:textId="1408187A" w:rsidR="00793F4E" w:rsidRPr="00793F4E" w:rsidRDefault="00793F4E" w:rsidP="00C32B22">
                            <w:pPr>
                              <w:ind w:left="142"/>
                              <w:jc w:val="left"/>
                              <w:rPr>
                                <w:rFonts w:ascii="Bahnschrift" w:hAnsi="Bahnschrift"/>
                                <w:b/>
                                <w:bCs/>
                                <w:color w:val="000000" w:themeColor="text1"/>
                                <w:sz w:val="32"/>
                                <w:szCs w:val="36"/>
                              </w:rPr>
                            </w:pPr>
                            <w:r w:rsidRPr="00793F4E">
                              <w:rPr>
                                <w:rFonts w:ascii="Bahnschrift" w:hAnsi="Bahnschrift"/>
                                <w:b/>
                                <w:bCs/>
                                <w:color w:val="000000" w:themeColor="text1"/>
                                <w:sz w:val="32"/>
                                <w:szCs w:val="36"/>
                              </w:rPr>
                              <w:t>aKPEiK</w:t>
                            </w:r>
                          </w:p>
                          <w:p w14:paraId="0146631A" w14:textId="1580AD8E" w:rsidR="00C32B22" w:rsidRPr="00EA1B3C" w:rsidRDefault="00C32B22" w:rsidP="001D4BA5">
                            <w:pPr>
                              <w:pStyle w:val="Akapitzlist"/>
                              <w:numPr>
                                <w:ilvl w:val="0"/>
                                <w:numId w:val="14"/>
                              </w:numPr>
                              <w:spacing w:after="60"/>
                              <w:ind w:left="425" w:hanging="153"/>
                              <w:contextualSpacing w:val="0"/>
                              <w:jc w:val="left"/>
                              <w:rPr>
                                <w:rFonts w:ascii="Bahnschrift" w:hAnsi="Bahnschrift"/>
                                <w:color w:val="404040" w:themeColor="text1" w:themeTint="BF"/>
                                <w:sz w:val="19"/>
                                <w:szCs w:val="19"/>
                              </w:rPr>
                            </w:pPr>
                            <w:r w:rsidRPr="00EA1B3C">
                              <w:rPr>
                                <w:rFonts w:ascii="Bahnschrift" w:hAnsi="Bahnschrift"/>
                                <w:color w:val="404040" w:themeColor="text1" w:themeTint="BF"/>
                                <w:sz w:val="19"/>
                                <w:szCs w:val="19"/>
                              </w:rPr>
                              <w:t>Wprowadzenie</w:t>
                            </w:r>
                          </w:p>
                          <w:p w14:paraId="048EFD65" w14:textId="2B752DB8" w:rsidR="00220A47" w:rsidRPr="00EA1B3C" w:rsidRDefault="00C32B22" w:rsidP="001D4BA5">
                            <w:pPr>
                              <w:pStyle w:val="Akapitzlist"/>
                              <w:numPr>
                                <w:ilvl w:val="0"/>
                                <w:numId w:val="14"/>
                              </w:numPr>
                              <w:spacing w:after="0"/>
                              <w:ind w:left="425" w:hanging="153"/>
                              <w:contextualSpacing w:val="0"/>
                              <w:jc w:val="left"/>
                              <w:rPr>
                                <w:rFonts w:ascii="Bahnschrift" w:hAnsi="Bahnschrift"/>
                                <w:color w:val="404040" w:themeColor="text1" w:themeTint="BF"/>
                                <w:sz w:val="19"/>
                                <w:szCs w:val="19"/>
                              </w:rPr>
                            </w:pPr>
                            <w:r w:rsidRPr="00EA1B3C">
                              <w:rPr>
                                <w:rFonts w:ascii="Bahnschrift" w:hAnsi="Bahnschrift"/>
                                <w:color w:val="404040" w:themeColor="text1" w:themeTint="BF"/>
                                <w:sz w:val="19"/>
                                <w:szCs w:val="19"/>
                              </w:rPr>
                              <w:t>Założenie i cele oraz polityki obszarowe</w:t>
                            </w:r>
                          </w:p>
                          <w:p w14:paraId="0B291AE8" w14:textId="30085FD6" w:rsidR="00220A47" w:rsidRPr="00EA1B3C" w:rsidRDefault="00220A47" w:rsidP="00D6225F">
                            <w:pPr>
                              <w:pStyle w:val="Akapitzlist"/>
                              <w:spacing w:after="60"/>
                              <w:ind w:left="425"/>
                              <w:contextualSpacing w:val="0"/>
                              <w:jc w:val="left"/>
                              <w:rPr>
                                <w:rFonts w:ascii="Bahnschrift" w:hAnsi="Bahnschrift"/>
                                <w:color w:val="404040" w:themeColor="text1" w:themeTint="BF"/>
                                <w:sz w:val="19"/>
                                <w:szCs w:val="19"/>
                              </w:rPr>
                            </w:pPr>
                            <w:r w:rsidRPr="00EA1B3C">
                              <w:rPr>
                                <w:rFonts w:ascii="Bahnschrift" w:hAnsi="Bahnschrift"/>
                                <w:color w:val="404040" w:themeColor="text1" w:themeTint="BF"/>
                                <w:sz w:val="19"/>
                                <w:szCs w:val="19"/>
                              </w:rPr>
                              <w:t>w 5 wymiarach</w:t>
                            </w:r>
                          </w:p>
                          <w:p w14:paraId="4E3877BF" w14:textId="37DDC1ED" w:rsidR="00C32B22" w:rsidRPr="00EA1B3C" w:rsidRDefault="00C32B22" w:rsidP="006D3F4A">
                            <w:pPr>
                              <w:pStyle w:val="Akapitzlist"/>
                              <w:numPr>
                                <w:ilvl w:val="0"/>
                                <w:numId w:val="14"/>
                              </w:numPr>
                              <w:spacing w:after="60"/>
                              <w:ind w:left="425" w:hanging="153"/>
                              <w:contextualSpacing w:val="0"/>
                              <w:jc w:val="left"/>
                              <w:rPr>
                                <w:rFonts w:ascii="Bahnschrift" w:hAnsi="Bahnschrift"/>
                                <w:color w:val="404040" w:themeColor="text1" w:themeTint="BF"/>
                                <w:sz w:val="19"/>
                                <w:szCs w:val="19"/>
                              </w:rPr>
                            </w:pPr>
                            <w:r w:rsidRPr="00EA1B3C">
                              <w:rPr>
                                <w:rFonts w:ascii="Bahnschrift" w:hAnsi="Bahnschrift"/>
                                <w:color w:val="404040" w:themeColor="text1" w:themeTint="BF"/>
                                <w:sz w:val="19"/>
                                <w:szCs w:val="19"/>
                              </w:rPr>
                              <w:t>Działania</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67A75307" id="Rectangle 202" o:spid="_x0000_s1055" style="position:absolute;left:0;text-align:left;margin-left:3.65pt;margin-top:242.95pt;width:162.4pt;height:112.3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" fillcolor="white [3212]" strokecolor="#a5a5a5 [3206]" strokeweight="3pt">
                <v:textbox>
                  <w:txbxContent>
                    <w:p w14:paraId="4AE5E19B" w14:textId="1408187A" w:rsidR="00793F4E" w:rsidRPr="00793F4E" w:rsidRDefault="00793F4E" w:rsidP="00C32B22">
                      <w:pPr>
                        <w:ind w:left="142"/>
                        <w:jc w:val="left"/>
                        <w:rPr>
                          <w:rFonts w:ascii="Bahnschrift" w:hAnsi="Bahnschrift"/>
                          <w:b/>
                          <w:bCs/>
                          <w:color w:val="000000" w:themeColor="text1"/>
                          <w:sz w:val="32"/>
                          <w:szCs w:val="36"/>
                        </w:rPr>
                      </w:pPr>
                      <w:r w:rsidRPr="00793F4E">
                        <w:rPr>
                          <w:rFonts w:ascii="Bahnschrift" w:hAnsi="Bahnschrift"/>
                          <w:b/>
                          <w:bCs/>
                          <w:color w:val="000000" w:themeColor="text1"/>
                          <w:sz w:val="32"/>
                          <w:szCs w:val="36"/>
                        </w:rPr>
                        <w:t>aKPEiK</w:t>
                      </w:r>
                    </w:p>
                    <w:p w14:paraId="0146631A" w14:textId="1580AD8E" w:rsidR="00C32B22" w:rsidRPr="00EA1B3C" w:rsidRDefault="00C32B22" w:rsidP="001D4BA5">
                      <w:pPr>
                        <w:pStyle w:val="Akapitzlist"/>
                        <w:numPr>
                          <w:ilvl w:val="0"/>
                          <w:numId w:val="14"/>
                        </w:numPr>
                        <w:spacing w:after="60"/>
                        <w:ind w:left="425" w:hanging="153"/>
                        <w:contextualSpacing w:val="0"/>
                        <w:jc w:val="left"/>
                        <w:rPr>
                          <w:rFonts w:ascii="Bahnschrift" w:hAnsi="Bahnschrift"/>
                          <w:color w:val="404040" w:themeColor="text1" w:themeTint="BF"/>
                          <w:sz w:val="19"/>
                          <w:szCs w:val="19"/>
                        </w:rPr>
                      </w:pPr>
                      <w:r w:rsidRPr="00EA1B3C">
                        <w:rPr>
                          <w:rFonts w:ascii="Bahnschrift" w:hAnsi="Bahnschrift"/>
                          <w:color w:val="404040" w:themeColor="text1" w:themeTint="BF"/>
                          <w:sz w:val="19"/>
                          <w:szCs w:val="19"/>
                        </w:rPr>
                        <w:t>Wprowadzenie</w:t>
                      </w:r>
                    </w:p>
                    <w:p w14:paraId="048EFD65" w14:textId="2B752DB8" w:rsidR="00220A47" w:rsidRPr="00EA1B3C" w:rsidRDefault="00C32B22" w:rsidP="001D4BA5">
                      <w:pPr>
                        <w:pStyle w:val="Akapitzlist"/>
                        <w:numPr>
                          <w:ilvl w:val="0"/>
                          <w:numId w:val="14"/>
                        </w:numPr>
                        <w:spacing w:after="0"/>
                        <w:ind w:left="425" w:hanging="153"/>
                        <w:contextualSpacing w:val="0"/>
                        <w:jc w:val="left"/>
                        <w:rPr>
                          <w:rFonts w:ascii="Bahnschrift" w:hAnsi="Bahnschrift"/>
                          <w:color w:val="404040" w:themeColor="text1" w:themeTint="BF"/>
                          <w:sz w:val="19"/>
                          <w:szCs w:val="19"/>
                        </w:rPr>
                      </w:pPr>
                      <w:r w:rsidRPr="00EA1B3C">
                        <w:rPr>
                          <w:rFonts w:ascii="Bahnschrift" w:hAnsi="Bahnschrift"/>
                          <w:color w:val="404040" w:themeColor="text1" w:themeTint="BF"/>
                          <w:sz w:val="19"/>
                          <w:szCs w:val="19"/>
                        </w:rPr>
                        <w:t>Założenie i cele oraz polityki obszarowe</w:t>
                      </w:r>
                    </w:p>
                    <w:p w14:paraId="0B291AE8" w14:textId="30085FD6" w:rsidR="00220A47" w:rsidRPr="00EA1B3C" w:rsidRDefault="00220A47" w:rsidP="00D6225F">
                      <w:pPr>
                        <w:pStyle w:val="Akapitzlist"/>
                        <w:spacing w:after="60"/>
                        <w:ind w:left="425"/>
                        <w:contextualSpacing w:val="0"/>
                        <w:jc w:val="left"/>
                        <w:rPr>
                          <w:rFonts w:ascii="Bahnschrift" w:hAnsi="Bahnschrift"/>
                          <w:color w:val="404040" w:themeColor="text1" w:themeTint="BF"/>
                          <w:sz w:val="19"/>
                          <w:szCs w:val="19"/>
                        </w:rPr>
                      </w:pPr>
                      <w:r w:rsidRPr="00EA1B3C">
                        <w:rPr>
                          <w:rFonts w:ascii="Bahnschrift" w:hAnsi="Bahnschrift"/>
                          <w:color w:val="404040" w:themeColor="text1" w:themeTint="BF"/>
                          <w:sz w:val="19"/>
                          <w:szCs w:val="19"/>
                        </w:rPr>
                        <w:t>w 5 wymiarach</w:t>
                      </w:r>
                    </w:p>
                    <w:p w14:paraId="4E3877BF" w14:textId="37DDC1ED" w:rsidR="00C32B22" w:rsidRPr="00EA1B3C" w:rsidRDefault="00C32B22" w:rsidP="006D3F4A">
                      <w:pPr>
                        <w:pStyle w:val="Akapitzlist"/>
                        <w:numPr>
                          <w:ilvl w:val="0"/>
                          <w:numId w:val="14"/>
                        </w:numPr>
                        <w:spacing w:after="60"/>
                        <w:ind w:left="425" w:hanging="153"/>
                        <w:contextualSpacing w:val="0"/>
                        <w:jc w:val="left"/>
                        <w:rPr>
                          <w:rFonts w:ascii="Bahnschrift" w:hAnsi="Bahnschrift"/>
                          <w:color w:val="404040" w:themeColor="text1" w:themeTint="BF"/>
                          <w:sz w:val="19"/>
                          <w:szCs w:val="19"/>
                        </w:rPr>
                      </w:pPr>
                      <w:r w:rsidRPr="00EA1B3C">
                        <w:rPr>
                          <w:rFonts w:ascii="Bahnschrift" w:hAnsi="Bahnschrift"/>
                          <w:color w:val="404040" w:themeColor="text1" w:themeTint="BF"/>
                          <w:sz w:val="19"/>
                          <w:szCs w:val="19"/>
                        </w:rPr>
                        <w:t>Działania</w:t>
                      </w:r>
                    </w:p>
                  </w:txbxContent>
                </v:textbox>
              </v:rect>
            </w:pict>
          </mc:Fallback>
        </mc:AlternateContent>
      </w:r>
      <w:r w:rsidR="001D264E" w:rsidRPr="001D264E">
        <w:rPr>
          <w:noProof/>
        </w:rPr>
        <w:drawing>
          <wp:anchor distT="0" distB="0" distL="114300" distR="114300" simplePos="0" relativeHeight="251849728" behindDoc="0" locked="0" layoutInCell="1" allowOverlap="1" wp14:anchorId="51AB0BF0" wp14:editId="22FCBE3E">
            <wp:simplePos x="0" y="0"/>
            <wp:positionH relativeFrom="margin">
              <wp:posOffset>2327910</wp:posOffset>
            </wp:positionH>
            <wp:positionV relativeFrom="paragraph">
              <wp:posOffset>163195</wp:posOffset>
            </wp:positionV>
            <wp:extent cx="3397250" cy="4350385"/>
            <wp:effectExtent l="38100" t="38100" r="31750" b="31115"/>
            <wp:wrapTight wrapText="bothSides">
              <wp:wrapPolygon edited="0">
                <wp:start x="-242" y="-189"/>
                <wp:lineTo x="-242" y="21660"/>
                <wp:lineTo x="21681" y="21660"/>
                <wp:lineTo x="21681" y="-189"/>
                <wp:lineTo x="-242" y="-189"/>
              </wp:wrapPolygon>
            </wp:wrapTight>
            <wp:docPr id="1236898118" name="Obraz 1" descr="Obraz zawierający tekst, zrzut ekranu, Czcion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6898118" name="Obraz 1" descr="Obraz zawierający tekst, zrzut ekranu, Czcionka&#10;&#10;Opis wygenerowany automatycznie"/>
                    <pic:cNvPicPr/>
                  </pic:nvPicPr>
                  <pic:blipFill rotWithShape="1">
                    <a:blip r:embed="rId22"/>
                    <a:srcRect t="-6949" b="-1"/>
                    <a:stretch/>
                  </pic:blipFill>
                  <pic:spPr bwMode="auto">
                    <a:xfrm>
                      <a:off x="0" y="0"/>
                      <a:ext cx="3397250" cy="4350385"/>
                    </a:xfrm>
                    <a:prstGeom prst="rect">
                      <a:avLst/>
                    </a:prstGeom>
                    <a:ln w="38100" cap="flat" cmpd="sng" algn="ctr">
                      <a:solidFill>
                        <a:sysClr val="window" lastClr="FFFFFF">
                          <a:lumMod val="65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D264E" w:rsidRPr="001D264E">
        <w:rPr>
          <w:noProof/>
        </w:rPr>
        <w:drawing>
          <wp:anchor distT="0" distB="0" distL="114300" distR="114300" simplePos="0" relativeHeight="251847680" behindDoc="0" locked="0" layoutInCell="1" allowOverlap="1" wp14:anchorId="452C80EA" wp14:editId="6BADD31B">
            <wp:simplePos x="0" y="0"/>
            <wp:positionH relativeFrom="margin">
              <wp:align>left</wp:align>
            </wp:positionH>
            <wp:positionV relativeFrom="paragraph">
              <wp:posOffset>100549</wp:posOffset>
            </wp:positionV>
            <wp:extent cx="2140964" cy="2880000"/>
            <wp:effectExtent l="0" t="0" r="0" b="0"/>
            <wp:wrapTight wrapText="bothSides">
              <wp:wrapPolygon edited="0">
                <wp:start x="0" y="0"/>
                <wp:lineTo x="0" y="21433"/>
                <wp:lineTo x="21337" y="21433"/>
                <wp:lineTo x="21337" y="0"/>
                <wp:lineTo x="0" y="0"/>
              </wp:wrapPolygon>
            </wp:wrapTight>
            <wp:docPr id="601820912" name="Obraz 1" descr="Obraz zawierający tekst, zrzut ekranu, drzewo, roślin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820912" name="Obraz 1" descr="Obraz zawierający tekst, zrzut ekranu, drzewo, roślina&#10;&#10;Opis wygenerowany automatycznie"/>
                    <pic:cNvPicPr/>
                  </pic:nvPicPr>
                  <pic:blipFill>
                    <a:blip r:embed="rId23"/>
                    <a:stretch>
                      <a:fillRect/>
                    </a:stretch>
                  </pic:blipFill>
                  <pic:spPr>
                    <a:xfrm>
                      <a:off x="0" y="0"/>
                      <a:ext cx="2140964" cy="2880000"/>
                    </a:xfrm>
                    <a:prstGeom prst="rect">
                      <a:avLst/>
                    </a:prstGeom>
                  </pic:spPr>
                </pic:pic>
              </a:graphicData>
            </a:graphic>
            <wp14:sizeRelH relativeFrom="margin">
              <wp14:pctWidth>0</wp14:pctWidth>
            </wp14:sizeRelH>
            <wp14:sizeRelV relativeFrom="margin">
              <wp14:pctHeight>0</wp14:pctHeight>
            </wp14:sizeRelV>
          </wp:anchor>
        </w:drawing>
      </w:r>
    </w:p>
    <w:p w14:paraId="034911CC" w14:textId="2ACFA25E" w:rsidR="00432A9E" w:rsidRDefault="00432A9E" w:rsidP="00D54B26"/>
    <w:p w14:paraId="42D115DA" w14:textId="195750A9" w:rsidR="00212281" w:rsidRDefault="001B04FC" w:rsidP="00D54B26">
      <w:r>
        <w:rPr>
          <w:rFonts w:ascii="Bahnschrift" w:hAnsi="Bahnschrift"/>
          <w:b/>
          <w:bCs/>
          <w:noProof/>
          <w:color w:val="000000" w:themeColor="text1"/>
        </w:rPr>
        <w:drawing>
          <wp:anchor distT="0" distB="0" distL="114300" distR="114300" simplePos="0" relativeHeight="251850752" behindDoc="0" locked="0" layoutInCell="1" allowOverlap="1" wp14:anchorId="60DB4FFF" wp14:editId="057DC231">
            <wp:simplePos x="0" y="0"/>
            <wp:positionH relativeFrom="column">
              <wp:posOffset>1817619</wp:posOffset>
            </wp:positionH>
            <wp:positionV relativeFrom="paragraph">
              <wp:posOffset>4196</wp:posOffset>
            </wp:positionV>
            <wp:extent cx="673967" cy="673967"/>
            <wp:effectExtent l="0" t="0" r="0" b="0"/>
            <wp:wrapNone/>
            <wp:docPr id="911553509" name="Grafika 3" descr="Strzałka: zakrzywiona w prawo z wypełnieniem pełny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1553509" name="Grafika 911553509" descr="Strzałka: zakrzywiona w prawo z wypełnieniem pełnym"/>
                    <pic:cNvPicPr/>
                  </pic:nvPicPr>
                  <pic:blipFill>
                    <a:blip r:embed="rId24">
                      <a:extLst>
                        <a:ext uri="{28A0092B-C50C-407E-A947-70E740481C1C}">
                          <a14:useLocalDpi xmlns:a14="http://schemas.microsoft.com/office/drawing/2010/main" val="0"/>
                        </a:ext>
                        <a:ext uri="{96DAC541-7B7A-43D3-8B79-37D633B846F1}">
                          <asvg:svgBlip xmlns:asvg="http://schemas.microsoft.com/office/drawing/2016/SVG/main" r:embed="rId25"/>
                        </a:ext>
                      </a:extLst>
                    </a:blip>
                    <a:stretch>
                      <a:fillRect/>
                    </a:stretch>
                  </pic:blipFill>
                  <pic:spPr>
                    <a:xfrm rot="3045772" flipH="1">
                      <a:off x="0" y="0"/>
                      <a:ext cx="673967" cy="673967"/>
                    </a:xfrm>
                    <a:prstGeom prst="rect">
                      <a:avLst/>
                    </a:prstGeom>
                  </pic:spPr>
                </pic:pic>
              </a:graphicData>
            </a:graphic>
            <wp14:sizeRelH relativeFrom="page">
              <wp14:pctWidth>0</wp14:pctWidth>
            </wp14:sizeRelH>
            <wp14:sizeRelV relativeFrom="page">
              <wp14:pctHeight>0</wp14:pctHeight>
            </wp14:sizeRelV>
          </wp:anchor>
        </w:drawing>
      </w:r>
    </w:p>
    <w:p w14:paraId="0F3B0840" w14:textId="008F6D0E" w:rsidR="00677406" w:rsidRDefault="00677406" w:rsidP="00D54B26"/>
    <w:p w14:paraId="664502C8" w14:textId="56C91F26" w:rsidR="00677406" w:rsidRDefault="00677406" w:rsidP="00D54B26"/>
    <w:p w14:paraId="11E4716A" w14:textId="76675803" w:rsidR="00677406" w:rsidRDefault="00677406" w:rsidP="00D54B26"/>
    <w:p w14:paraId="376AE47A" w14:textId="15F2BAD0" w:rsidR="00677406" w:rsidRDefault="00677406" w:rsidP="00D54B26"/>
    <w:p w14:paraId="47A8344C" w14:textId="5A57787A" w:rsidR="00677406" w:rsidRDefault="00677406" w:rsidP="00D54B26"/>
    <w:p w14:paraId="361E4CCC" w14:textId="65BE8E1C" w:rsidR="001A4FCA" w:rsidRDefault="001A4FCA" w:rsidP="009D2834">
      <w:pPr>
        <w:spacing w:before="240"/>
      </w:pPr>
      <w:r>
        <w:t>Do dokumentu zasadniczego opracowano sześć załączników</w:t>
      </w:r>
      <w:r w:rsidR="00614188">
        <w:t>:</w:t>
      </w:r>
    </w:p>
    <w:p w14:paraId="24B3696E" w14:textId="61363353" w:rsidR="00614188" w:rsidRDefault="00614188" w:rsidP="00612B5D">
      <w:pPr>
        <w:pStyle w:val="Akapitzlist"/>
        <w:numPr>
          <w:ilvl w:val="0"/>
          <w:numId w:val="56"/>
        </w:numPr>
        <w:spacing w:before="80" w:after="80"/>
        <w:ind w:left="426" w:hanging="357"/>
        <w:contextualSpacing w:val="0"/>
      </w:pPr>
      <w:r>
        <w:t xml:space="preserve">Załącznik 1. </w:t>
      </w:r>
      <w:r w:rsidRPr="00D50314">
        <w:rPr>
          <w:b/>
          <w:bCs/>
        </w:rPr>
        <w:t xml:space="preserve">Scenariusz WAM </w:t>
      </w:r>
      <w:r w:rsidRPr="00614F6C">
        <w:t>–</w:t>
      </w:r>
      <w:r>
        <w:t xml:space="preserve"> scenariusz </w:t>
      </w:r>
      <w:r w:rsidR="00EA719E">
        <w:t xml:space="preserve">aktywnej </w:t>
      </w:r>
      <w:r>
        <w:t>transformacji (cele bieżącego dokumentu odnoszą się do scenariusza WAM);</w:t>
      </w:r>
    </w:p>
    <w:p w14:paraId="11E078DB" w14:textId="7DEBD055" w:rsidR="00614188" w:rsidRDefault="00614188" w:rsidP="00612B5D">
      <w:pPr>
        <w:pStyle w:val="Akapitzlist"/>
        <w:numPr>
          <w:ilvl w:val="0"/>
          <w:numId w:val="56"/>
        </w:numPr>
        <w:spacing w:before="80" w:after="80"/>
        <w:ind w:left="426" w:hanging="357"/>
        <w:contextualSpacing w:val="0"/>
      </w:pPr>
      <w:r>
        <w:t xml:space="preserve">Załącznik 2. </w:t>
      </w:r>
      <w:r w:rsidRPr="00D50314">
        <w:rPr>
          <w:b/>
          <w:bCs/>
        </w:rPr>
        <w:t>Scenariusz WEM</w:t>
      </w:r>
      <w:r>
        <w:t xml:space="preserve"> – </w:t>
      </w:r>
      <w:r w:rsidR="00EA719E">
        <w:t>scenariusz</w:t>
      </w:r>
      <w:r w:rsidR="00EE4871">
        <w:t xml:space="preserve"> transformacji w ścieżce zbliżonej do</w:t>
      </w:r>
      <w:r w:rsidR="00EA719E">
        <w:t xml:space="preserve"> „biznes jak zwykle” (</w:t>
      </w:r>
      <w:r w:rsidR="00EA719E" w:rsidRPr="00EE4871">
        <w:rPr>
          <w:i/>
          <w:iCs/>
        </w:rPr>
        <w:t>business as usual</w:t>
      </w:r>
      <w:r w:rsidR="00EA719E">
        <w:t>)</w:t>
      </w:r>
      <w:r>
        <w:t>;</w:t>
      </w:r>
    </w:p>
    <w:p w14:paraId="5E11A37A" w14:textId="51390A62" w:rsidR="00614188" w:rsidRDefault="00614188" w:rsidP="00612B5D">
      <w:pPr>
        <w:pStyle w:val="Akapitzlist"/>
        <w:numPr>
          <w:ilvl w:val="0"/>
          <w:numId w:val="56"/>
        </w:numPr>
        <w:spacing w:before="80" w:after="80"/>
        <w:ind w:left="426" w:hanging="357"/>
        <w:contextualSpacing w:val="0"/>
      </w:pPr>
      <w:r>
        <w:t>Załącznik 3</w:t>
      </w:r>
      <w:r w:rsidRPr="00D50314">
        <w:t xml:space="preserve">. </w:t>
      </w:r>
      <w:r w:rsidRPr="00D50314">
        <w:rPr>
          <w:b/>
          <w:bCs/>
        </w:rPr>
        <w:t xml:space="preserve">Założenia analitycznych </w:t>
      </w:r>
      <w:bookmarkStart w:id="11" w:name="_Hlk175214991"/>
      <w:r w:rsidRPr="00D50314">
        <w:rPr>
          <w:b/>
          <w:bCs/>
        </w:rPr>
        <w:t>i metodyka prognozowani</w:t>
      </w:r>
      <w:bookmarkEnd w:id="11"/>
      <w:r w:rsidRPr="00D50314">
        <w:rPr>
          <w:b/>
          <w:bCs/>
        </w:rPr>
        <w:t>a</w:t>
      </w:r>
      <w:r>
        <w:t xml:space="preserve"> (dla obu scenariuszy);</w:t>
      </w:r>
    </w:p>
    <w:p w14:paraId="65DE80CC" w14:textId="03EBEF63" w:rsidR="001A4FCA" w:rsidRDefault="005B1896" w:rsidP="00612B5D">
      <w:pPr>
        <w:pStyle w:val="Akapitzlist"/>
        <w:numPr>
          <w:ilvl w:val="0"/>
          <w:numId w:val="56"/>
        </w:numPr>
        <w:spacing w:before="80" w:after="80"/>
        <w:ind w:left="426" w:hanging="357"/>
        <w:contextualSpacing w:val="0"/>
      </w:pPr>
      <w:r w:rsidRPr="00FB43D9">
        <w:t xml:space="preserve">Załącznik </w:t>
      </w:r>
      <w:r w:rsidR="001A4FCA">
        <w:t>4</w:t>
      </w:r>
      <w:r w:rsidR="00614188">
        <w:t xml:space="preserve">. </w:t>
      </w:r>
      <w:r w:rsidR="00614188" w:rsidRPr="00D50314">
        <w:rPr>
          <w:b/>
          <w:bCs/>
        </w:rPr>
        <w:t>Opis środków poprawy efektywności energetycznej i współczynnika PEF w sieci elektroenergetycznej</w:t>
      </w:r>
      <w:r w:rsidRPr="00FB43D9">
        <w:t xml:space="preserve"> </w:t>
      </w:r>
      <w:r w:rsidR="00614188">
        <w:t>(</w:t>
      </w:r>
      <w:r w:rsidRPr="00FB43D9">
        <w:t>opisuje środki mające na celu realizację wymaganych oszczędności końcowego zużycia energii, o których mowa w art. 8 ust. 1 dyrektywy 2023/1791 oraz wartości współczynnika nakładu energii pierwotnej dla energii elektrycznej z sieci elektroenergetycznej (ang. Primary Energy Factor – PEF) dla Polski</w:t>
      </w:r>
      <w:r w:rsidR="0080523D" w:rsidRPr="00FB43D9">
        <w:t xml:space="preserve">, na podstawie art. </w:t>
      </w:r>
      <w:r w:rsidR="00F42BD5" w:rsidRPr="00FB43D9">
        <w:t>31</w:t>
      </w:r>
      <w:r w:rsidR="0080523D" w:rsidRPr="00FB43D9">
        <w:t xml:space="preserve"> dyrektywy 2023/1791</w:t>
      </w:r>
      <w:r w:rsidR="00614188">
        <w:t>);</w:t>
      </w:r>
    </w:p>
    <w:p w14:paraId="334B9BC6" w14:textId="474E56C2" w:rsidR="000D00EF" w:rsidRDefault="000D00EF" w:rsidP="00612B5D">
      <w:pPr>
        <w:pStyle w:val="Akapitzlist"/>
        <w:numPr>
          <w:ilvl w:val="0"/>
          <w:numId w:val="56"/>
        </w:numPr>
        <w:spacing w:before="80" w:after="80"/>
        <w:ind w:left="426" w:hanging="357"/>
        <w:contextualSpacing w:val="0"/>
      </w:pPr>
      <w:r>
        <w:t>Załącznik 5</w:t>
      </w:r>
      <w:r w:rsidR="00614188">
        <w:t>.</w:t>
      </w:r>
      <w:r>
        <w:t xml:space="preserve"> </w:t>
      </w:r>
      <w:r w:rsidR="00614188" w:rsidRPr="00D50314">
        <w:rPr>
          <w:b/>
          <w:bCs/>
        </w:rPr>
        <w:t>F</w:t>
      </w:r>
      <w:r w:rsidRPr="00D50314">
        <w:rPr>
          <w:b/>
          <w:bCs/>
        </w:rPr>
        <w:t xml:space="preserve">inansowanie transformacji klimatyczno-energetycznej </w:t>
      </w:r>
      <w:r w:rsidR="00614188">
        <w:t>(</w:t>
      </w:r>
      <w:r>
        <w:t xml:space="preserve">w tym </w:t>
      </w:r>
      <w:r w:rsidR="00614188">
        <w:t xml:space="preserve">opis </w:t>
      </w:r>
      <w:r>
        <w:t>potrzeb inwestycyjn</w:t>
      </w:r>
      <w:r w:rsidR="00614188">
        <w:t>ych)</w:t>
      </w:r>
      <w:r w:rsidR="00E051C9">
        <w:t>;</w:t>
      </w:r>
    </w:p>
    <w:p w14:paraId="5B3DE947" w14:textId="561A069A" w:rsidR="000D00EF" w:rsidRDefault="000D00EF" w:rsidP="00612B5D">
      <w:pPr>
        <w:pStyle w:val="Akapitzlist"/>
        <w:numPr>
          <w:ilvl w:val="0"/>
          <w:numId w:val="56"/>
        </w:numPr>
        <w:spacing w:before="80" w:after="80"/>
        <w:ind w:left="426" w:hanging="357"/>
        <w:contextualSpacing w:val="0"/>
      </w:pPr>
      <w:r>
        <w:t>Załącznik 6</w:t>
      </w:r>
      <w:r w:rsidR="00614188">
        <w:t>.</w:t>
      </w:r>
      <w:r>
        <w:t xml:space="preserve"> </w:t>
      </w:r>
      <w:r w:rsidR="00614188" w:rsidRPr="00D50314">
        <w:rPr>
          <w:b/>
          <w:bCs/>
        </w:rPr>
        <w:t>O</w:t>
      </w:r>
      <w:r w:rsidRPr="00D50314">
        <w:rPr>
          <w:b/>
          <w:bCs/>
        </w:rPr>
        <w:t>dniesienie do zaleceń Komisji Europejskiej do projektu aKPEiK z 29 lutego 2024 r.</w:t>
      </w:r>
    </w:p>
    <w:p w14:paraId="0CB68240" w14:textId="1C227CE2" w:rsidR="001A4FCA" w:rsidRDefault="001A4FCA" w:rsidP="009D2834">
      <w:pPr>
        <w:spacing w:before="240"/>
      </w:pPr>
    </w:p>
    <w:p w14:paraId="113960F4" w14:textId="18F9C44B" w:rsidR="001A4FCA" w:rsidRDefault="001A4FCA" w:rsidP="009D2834">
      <w:pPr>
        <w:spacing w:before="240"/>
      </w:pPr>
    </w:p>
    <w:p w14:paraId="7289A6A7" w14:textId="544B67EE" w:rsidR="001A4FCA" w:rsidRDefault="001A4FCA" w:rsidP="009D2834">
      <w:pPr>
        <w:spacing w:before="240"/>
      </w:pPr>
    </w:p>
    <w:p w14:paraId="529059A4" w14:textId="5F79A4BA" w:rsidR="001A4FCA" w:rsidRDefault="001A4FCA" w:rsidP="009D2834">
      <w:pPr>
        <w:spacing w:before="240"/>
      </w:pPr>
    </w:p>
    <w:p w14:paraId="79234F8F" w14:textId="01371085" w:rsidR="001A4FCA" w:rsidRDefault="006F1524" w:rsidP="009D2834">
      <w:pPr>
        <w:spacing w:before="240"/>
      </w:pPr>
      <w:r w:rsidRPr="006F1524">
        <w:rPr>
          <w:noProof/>
        </w:rPr>
        <w:drawing>
          <wp:anchor distT="0" distB="0" distL="114300" distR="114300" simplePos="0" relativeHeight="251888298" behindDoc="1" locked="0" layoutInCell="1" allowOverlap="1" wp14:anchorId="438D3E56" wp14:editId="35BB8E89">
            <wp:simplePos x="0" y="0"/>
            <wp:positionH relativeFrom="column">
              <wp:posOffset>3583305</wp:posOffset>
            </wp:positionH>
            <wp:positionV relativeFrom="paragraph">
              <wp:posOffset>66040</wp:posOffset>
            </wp:positionV>
            <wp:extent cx="2101850" cy="2879725"/>
            <wp:effectExtent l="0" t="0" r="0" b="0"/>
            <wp:wrapNone/>
            <wp:docPr id="1137300807" name="Obraz 1" descr="Obraz zawierający tekst, osoba, zrzut ekranu, komputer&#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300807" name="Obraz 1" descr="Obraz zawierający tekst, osoba, zrzut ekranu, komputer&#10;&#10;Opis wygenerowany automatycznie"/>
                    <pic:cNvPicPr/>
                  </pic:nvPicPr>
                  <pic:blipFill>
                    <a:blip r:embed="rId26"/>
                    <a:stretch>
                      <a:fillRect/>
                    </a:stretch>
                  </pic:blipFill>
                  <pic:spPr>
                    <a:xfrm>
                      <a:off x="0" y="0"/>
                      <a:ext cx="2101850" cy="2879725"/>
                    </a:xfrm>
                    <a:prstGeom prst="rect">
                      <a:avLst/>
                    </a:prstGeom>
                  </pic:spPr>
                </pic:pic>
              </a:graphicData>
            </a:graphic>
            <wp14:sizeRelH relativeFrom="margin">
              <wp14:pctWidth>0</wp14:pctWidth>
            </wp14:sizeRelH>
            <wp14:sizeRelV relativeFrom="margin">
              <wp14:pctHeight>0</wp14:pctHeight>
            </wp14:sizeRelV>
          </wp:anchor>
        </w:drawing>
      </w:r>
    </w:p>
    <w:p w14:paraId="7002A60D" w14:textId="11E5CD6D" w:rsidR="001A4FCA" w:rsidRDefault="00614F6C" w:rsidP="009D2834">
      <w:pPr>
        <w:spacing w:before="240"/>
      </w:pPr>
      <w:r w:rsidRPr="00614F6C">
        <w:rPr>
          <w:noProof/>
        </w:rPr>
        <w:drawing>
          <wp:anchor distT="0" distB="0" distL="114300" distR="114300" simplePos="0" relativeHeight="251888980" behindDoc="0" locked="0" layoutInCell="1" allowOverlap="1" wp14:anchorId="1F33CDE5" wp14:editId="7757EB78">
            <wp:simplePos x="0" y="0"/>
            <wp:positionH relativeFrom="column">
              <wp:posOffset>502920</wp:posOffset>
            </wp:positionH>
            <wp:positionV relativeFrom="paragraph">
              <wp:posOffset>-252095</wp:posOffset>
            </wp:positionV>
            <wp:extent cx="2014964" cy="2880000"/>
            <wp:effectExtent l="0" t="0" r="4445" b="0"/>
            <wp:wrapTight wrapText="bothSides">
              <wp:wrapPolygon edited="0">
                <wp:start x="0" y="0"/>
                <wp:lineTo x="0" y="21433"/>
                <wp:lineTo x="21443" y="21433"/>
                <wp:lineTo x="21443" y="0"/>
                <wp:lineTo x="0" y="0"/>
              </wp:wrapPolygon>
            </wp:wrapTight>
            <wp:docPr id="1060613351" name="Obraz 1" descr="Obraz zawierający tekst, osoba, zrzut ekranu, komputer&#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613351" name="Obraz 1" descr="Obraz zawierający tekst, osoba, zrzut ekranu, komputer&#10;&#10;Opis wygenerowany automatycznie"/>
                    <pic:cNvPicPr/>
                  </pic:nvPicPr>
                  <pic:blipFill>
                    <a:blip r:embed="rId27"/>
                    <a:stretch>
                      <a:fillRect/>
                    </a:stretch>
                  </pic:blipFill>
                  <pic:spPr>
                    <a:xfrm>
                      <a:off x="0" y="0"/>
                      <a:ext cx="2014964" cy="2880000"/>
                    </a:xfrm>
                    <a:prstGeom prst="rect">
                      <a:avLst/>
                    </a:prstGeom>
                  </pic:spPr>
                </pic:pic>
              </a:graphicData>
            </a:graphic>
            <wp14:sizeRelH relativeFrom="margin">
              <wp14:pctWidth>0</wp14:pctWidth>
            </wp14:sizeRelH>
            <wp14:sizeRelV relativeFrom="margin">
              <wp14:pctHeight>0</wp14:pctHeight>
            </wp14:sizeRelV>
          </wp:anchor>
        </w:drawing>
      </w:r>
    </w:p>
    <w:p w14:paraId="396169D5" w14:textId="5ADE841B" w:rsidR="001A4FCA" w:rsidRDefault="001A4FCA" w:rsidP="009D2834">
      <w:pPr>
        <w:spacing w:before="240"/>
      </w:pPr>
    </w:p>
    <w:p w14:paraId="304EFE96" w14:textId="49DE7E41" w:rsidR="001A4FCA" w:rsidRDefault="001A4FCA" w:rsidP="009D2834">
      <w:pPr>
        <w:spacing w:before="240"/>
      </w:pPr>
    </w:p>
    <w:p w14:paraId="26BB335F" w14:textId="5A1E95D0" w:rsidR="001A4FCA" w:rsidRDefault="001A4FCA" w:rsidP="009D2834">
      <w:pPr>
        <w:spacing w:before="240"/>
      </w:pPr>
    </w:p>
    <w:p w14:paraId="328661DC" w14:textId="62664306" w:rsidR="001A4FCA" w:rsidRDefault="00EE4871" w:rsidP="009D2834">
      <w:pPr>
        <w:spacing w:before="240"/>
      </w:pPr>
      <w:r w:rsidRPr="00EE4871">
        <w:rPr>
          <w:noProof/>
        </w:rPr>
        <w:drawing>
          <wp:anchor distT="0" distB="0" distL="114300" distR="114300" simplePos="0" relativeHeight="251906048" behindDoc="0" locked="0" layoutInCell="1" allowOverlap="1" wp14:anchorId="1C226ACA" wp14:editId="01D9BAD4">
            <wp:simplePos x="0" y="0"/>
            <wp:positionH relativeFrom="column">
              <wp:posOffset>2057400</wp:posOffset>
            </wp:positionH>
            <wp:positionV relativeFrom="paragraph">
              <wp:posOffset>147320</wp:posOffset>
            </wp:positionV>
            <wp:extent cx="2024348" cy="2880000"/>
            <wp:effectExtent l="0" t="0" r="0" b="0"/>
            <wp:wrapTight wrapText="bothSides">
              <wp:wrapPolygon edited="0">
                <wp:start x="0" y="0"/>
                <wp:lineTo x="0" y="21433"/>
                <wp:lineTo x="21349" y="21433"/>
                <wp:lineTo x="21349" y="0"/>
                <wp:lineTo x="0" y="0"/>
              </wp:wrapPolygon>
            </wp:wrapTight>
            <wp:docPr id="474468349" name="Obraz 1" descr="Obraz zawierający tekst, osoba, komputer, zrzut ekran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468349" name="Obraz 1" descr="Obraz zawierający tekst, osoba, komputer, zrzut ekranu&#10;&#10;Opis wygenerowany automatycznie"/>
                    <pic:cNvPicPr/>
                  </pic:nvPicPr>
                  <pic:blipFill>
                    <a:blip r:embed="rId28"/>
                    <a:stretch>
                      <a:fillRect/>
                    </a:stretch>
                  </pic:blipFill>
                  <pic:spPr>
                    <a:xfrm>
                      <a:off x="0" y="0"/>
                      <a:ext cx="2024348" cy="2880000"/>
                    </a:xfrm>
                    <a:prstGeom prst="rect">
                      <a:avLst/>
                    </a:prstGeom>
                  </pic:spPr>
                </pic:pic>
              </a:graphicData>
            </a:graphic>
            <wp14:sizeRelH relativeFrom="margin">
              <wp14:pctWidth>0</wp14:pctWidth>
            </wp14:sizeRelH>
            <wp14:sizeRelV relativeFrom="margin">
              <wp14:pctHeight>0</wp14:pctHeight>
            </wp14:sizeRelV>
          </wp:anchor>
        </w:drawing>
      </w:r>
    </w:p>
    <w:p w14:paraId="757BEA62" w14:textId="6CDF0BA5" w:rsidR="001A4FCA" w:rsidRDefault="001A4FCA" w:rsidP="009D2834">
      <w:pPr>
        <w:spacing w:before="240"/>
      </w:pPr>
    </w:p>
    <w:p w14:paraId="0559E43B" w14:textId="18BC5768" w:rsidR="00614188" w:rsidRDefault="000268B6" w:rsidP="00614188">
      <w:pPr>
        <w:jc w:val="left"/>
      </w:pPr>
      <w:r w:rsidRPr="000268B6">
        <w:rPr>
          <w:noProof/>
        </w:rPr>
        <w:t xml:space="preserve"> </w:t>
      </w:r>
    </w:p>
    <w:p w14:paraId="7470A304" w14:textId="355451F6" w:rsidR="00614188" w:rsidRDefault="00614188" w:rsidP="00614188">
      <w:pPr>
        <w:jc w:val="left"/>
      </w:pPr>
    </w:p>
    <w:p w14:paraId="6FB97D90" w14:textId="13378378" w:rsidR="00614188" w:rsidRDefault="00614188" w:rsidP="00614188">
      <w:pPr>
        <w:jc w:val="left"/>
      </w:pPr>
    </w:p>
    <w:p w14:paraId="4D0AA5CC" w14:textId="4933FEF2" w:rsidR="00614188" w:rsidRDefault="00614188" w:rsidP="00614188">
      <w:pPr>
        <w:jc w:val="left"/>
      </w:pPr>
    </w:p>
    <w:p w14:paraId="59EABA3E" w14:textId="7071704E" w:rsidR="00614188" w:rsidRDefault="00614188" w:rsidP="00614188">
      <w:pPr>
        <w:jc w:val="left"/>
      </w:pPr>
    </w:p>
    <w:p w14:paraId="1D4DA1A6" w14:textId="3F7F0483" w:rsidR="00677406" w:rsidRDefault="00DD4568" w:rsidP="00614188">
      <w:pPr>
        <w:jc w:val="left"/>
      </w:pPr>
      <w:r w:rsidRPr="00DC32A1">
        <w:rPr>
          <w:noProof/>
        </w:rPr>
        <w:drawing>
          <wp:anchor distT="0" distB="0" distL="114300" distR="114300" simplePos="0" relativeHeight="251904000" behindDoc="0" locked="0" layoutInCell="1" allowOverlap="1" wp14:anchorId="513A4F7D" wp14:editId="0E95F7C0">
            <wp:simplePos x="0" y="0"/>
            <wp:positionH relativeFrom="margin">
              <wp:posOffset>1643380</wp:posOffset>
            </wp:positionH>
            <wp:positionV relativeFrom="paragraph">
              <wp:posOffset>2437765</wp:posOffset>
            </wp:positionV>
            <wp:extent cx="2880000" cy="2017040"/>
            <wp:effectExtent l="0" t="0" r="0" b="2540"/>
            <wp:wrapTight wrapText="bothSides">
              <wp:wrapPolygon edited="0">
                <wp:start x="0" y="0"/>
                <wp:lineTo x="0" y="21423"/>
                <wp:lineTo x="21433" y="21423"/>
                <wp:lineTo x="21433" y="0"/>
                <wp:lineTo x="0" y="0"/>
              </wp:wrapPolygon>
            </wp:wrapTight>
            <wp:docPr id="1030926216" name="Obraz 1" descr="Obraz zawierający tekst, zrzut ekranu, design&#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926216" name="Obraz 1" descr="Obraz zawierający tekst, zrzut ekranu, design&#10;&#10;Opis wygenerowany automatycznie"/>
                    <pic:cNvPicPr/>
                  </pic:nvPicPr>
                  <pic:blipFill>
                    <a:blip r:embed="rId29"/>
                    <a:stretch>
                      <a:fillRect/>
                    </a:stretch>
                  </pic:blipFill>
                  <pic:spPr>
                    <a:xfrm>
                      <a:off x="0" y="0"/>
                      <a:ext cx="2880000" cy="2017040"/>
                    </a:xfrm>
                    <a:prstGeom prst="rect">
                      <a:avLst/>
                    </a:prstGeom>
                  </pic:spPr>
                </pic:pic>
              </a:graphicData>
            </a:graphic>
            <wp14:sizeRelH relativeFrom="margin">
              <wp14:pctWidth>0</wp14:pctWidth>
            </wp14:sizeRelH>
            <wp14:sizeRelV relativeFrom="margin">
              <wp14:pctHeight>0</wp14:pctHeight>
            </wp14:sizeRelV>
          </wp:anchor>
        </w:drawing>
      </w:r>
      <w:r w:rsidR="00DC32A1" w:rsidRPr="006F1524">
        <w:rPr>
          <w:noProof/>
        </w:rPr>
        <w:drawing>
          <wp:anchor distT="0" distB="0" distL="114300" distR="114300" simplePos="0" relativeHeight="251908096" behindDoc="0" locked="0" layoutInCell="1" allowOverlap="1" wp14:anchorId="014CBCB9" wp14:editId="39D23C54">
            <wp:simplePos x="0" y="0"/>
            <wp:positionH relativeFrom="margin">
              <wp:posOffset>3464560</wp:posOffset>
            </wp:positionH>
            <wp:positionV relativeFrom="paragraph">
              <wp:posOffset>11430</wp:posOffset>
            </wp:positionV>
            <wp:extent cx="2042160" cy="2879725"/>
            <wp:effectExtent l="0" t="0" r="0" b="0"/>
            <wp:wrapTight wrapText="bothSides">
              <wp:wrapPolygon edited="0">
                <wp:start x="0" y="0"/>
                <wp:lineTo x="0" y="21433"/>
                <wp:lineTo x="21358" y="21433"/>
                <wp:lineTo x="21358" y="0"/>
                <wp:lineTo x="0" y="0"/>
              </wp:wrapPolygon>
            </wp:wrapTight>
            <wp:docPr id="1125185452" name="Obraz 1" descr="Obraz zawierający tekst, zrzut ekranu, roślina, donic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5185452" name="Obraz 1" descr="Obraz zawierający tekst, zrzut ekranu, roślina, donica&#10;&#10;Opis wygenerowany automatycznie"/>
                    <pic:cNvPicPr/>
                  </pic:nvPicPr>
                  <pic:blipFill>
                    <a:blip r:embed="rId30"/>
                    <a:stretch>
                      <a:fillRect/>
                    </a:stretch>
                  </pic:blipFill>
                  <pic:spPr>
                    <a:xfrm>
                      <a:off x="0" y="0"/>
                      <a:ext cx="2042160" cy="2879725"/>
                    </a:xfrm>
                    <a:prstGeom prst="rect">
                      <a:avLst/>
                    </a:prstGeom>
                  </pic:spPr>
                </pic:pic>
              </a:graphicData>
            </a:graphic>
            <wp14:sizeRelH relativeFrom="margin">
              <wp14:pctWidth>0</wp14:pctWidth>
            </wp14:sizeRelH>
            <wp14:sizeRelV relativeFrom="margin">
              <wp14:pctHeight>0</wp14:pctHeight>
            </wp14:sizeRelV>
          </wp:anchor>
        </w:drawing>
      </w:r>
      <w:r w:rsidR="00DC32A1" w:rsidRPr="006F1524">
        <w:rPr>
          <w:noProof/>
        </w:rPr>
        <w:drawing>
          <wp:anchor distT="0" distB="0" distL="114300" distR="114300" simplePos="0" relativeHeight="251907072" behindDoc="0" locked="0" layoutInCell="1" allowOverlap="1" wp14:anchorId="0DB590E6" wp14:editId="1466763A">
            <wp:simplePos x="0" y="0"/>
            <wp:positionH relativeFrom="column">
              <wp:posOffset>622300</wp:posOffset>
            </wp:positionH>
            <wp:positionV relativeFrom="paragraph">
              <wp:posOffset>14605</wp:posOffset>
            </wp:positionV>
            <wp:extent cx="2107710" cy="2880000"/>
            <wp:effectExtent l="0" t="0" r="6985" b="0"/>
            <wp:wrapTight wrapText="bothSides">
              <wp:wrapPolygon edited="0">
                <wp:start x="0" y="0"/>
                <wp:lineTo x="0" y="21433"/>
                <wp:lineTo x="21476" y="21433"/>
                <wp:lineTo x="21476" y="0"/>
                <wp:lineTo x="0" y="0"/>
              </wp:wrapPolygon>
            </wp:wrapTight>
            <wp:docPr id="1160259474" name="Obraz 1" descr="Obraz zawierający tekst, zrzut ekranu, projekt graficzny, design&#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259474" name="Obraz 1" descr="Obraz zawierający tekst, zrzut ekranu, projekt graficzny, design&#10;&#10;Opis wygenerowany automatycznie"/>
                    <pic:cNvPicPr/>
                  </pic:nvPicPr>
                  <pic:blipFill>
                    <a:blip r:embed="rId31"/>
                    <a:stretch>
                      <a:fillRect/>
                    </a:stretch>
                  </pic:blipFill>
                  <pic:spPr>
                    <a:xfrm>
                      <a:off x="0" y="0"/>
                      <a:ext cx="2107710" cy="2880000"/>
                    </a:xfrm>
                    <a:prstGeom prst="rect">
                      <a:avLst/>
                    </a:prstGeom>
                  </pic:spPr>
                </pic:pic>
              </a:graphicData>
            </a:graphic>
            <wp14:sizeRelH relativeFrom="margin">
              <wp14:pctWidth>0</wp14:pctWidth>
            </wp14:sizeRelH>
            <wp14:sizeRelV relativeFrom="margin">
              <wp14:pctHeight>0</wp14:pctHeight>
            </wp14:sizeRelV>
          </wp:anchor>
        </w:drawing>
      </w:r>
      <w:r w:rsidR="00677406">
        <w:br w:type="page"/>
      </w:r>
    </w:p>
    <w:p w14:paraId="43A0539D" w14:textId="25930D0F" w:rsidR="00AA5A87" w:rsidRDefault="00677406" w:rsidP="00D121F4">
      <w:pPr>
        <w:pStyle w:val="Nagwek2"/>
        <w:numPr>
          <w:ilvl w:val="0"/>
          <w:numId w:val="13"/>
        </w:numPr>
        <w:ind w:left="709"/>
      </w:pPr>
      <w:bookmarkStart w:id="12" w:name="_Toc159598281"/>
      <w:bookmarkStart w:id="13" w:name="_Toc179536929"/>
      <w:r>
        <w:lastRenderedPageBreak/>
        <w:t>Scenariusz WEM i WAM</w:t>
      </w:r>
      <w:bookmarkEnd w:id="12"/>
      <w:bookmarkEnd w:id="13"/>
    </w:p>
    <w:p w14:paraId="258E1635" w14:textId="3257AA10" w:rsidR="00677406" w:rsidRDefault="00677406" w:rsidP="00677406">
      <w:r>
        <w:t xml:space="preserve">Rozporządzenie UE 2018/1999 wskazuje, że KPEiK </w:t>
      </w:r>
      <w:r w:rsidR="00793F4E">
        <w:t>zawiera</w:t>
      </w:r>
      <w:r>
        <w:t xml:space="preserve"> dwa scenariusze</w:t>
      </w:r>
      <w:r w:rsidR="00793F4E">
        <w:t xml:space="preserve"> analityczne</w:t>
      </w:r>
      <w:r>
        <w:t>: scenariusz WEM – z istniejącymi politykami i środkami; oraz scenariusz WAM – z dodatkowymi politykami i</w:t>
      </w:r>
      <w:r w:rsidR="00530C4D">
        <w:t> </w:t>
      </w:r>
      <w:r>
        <w:t>środkami.</w:t>
      </w:r>
    </w:p>
    <w:p w14:paraId="2D947715" w14:textId="24252F15" w:rsidR="00D50314" w:rsidRDefault="00D50314" w:rsidP="00677406">
      <w:r>
        <w:t xml:space="preserve">Aby ułatwić odbiór i jednoznacznie wskazać, że Polska chce realizować </w:t>
      </w:r>
      <w:r w:rsidR="00EA719E">
        <w:t xml:space="preserve">aktywną </w:t>
      </w:r>
      <w:r>
        <w:t xml:space="preserve">politykę </w:t>
      </w:r>
      <w:r w:rsidR="00EA719E">
        <w:t>transformacji energetyczno-klimatycznej</w:t>
      </w:r>
      <w:r>
        <w:t>, inaczej niż dotychczas</w:t>
      </w:r>
      <w:r w:rsidR="009F20A2">
        <w:t xml:space="preserve"> oznaczono scenariusz WAM jako załącznik 1, a</w:t>
      </w:r>
      <w:r w:rsidR="00571E12">
        <w:t> </w:t>
      </w:r>
      <w:r w:rsidR="009F20A2">
        <w:t>scenariusz WEM jako załącznik 2.</w:t>
      </w:r>
      <w:r>
        <w:t xml:space="preserve"> </w:t>
      </w:r>
    </w:p>
    <w:p w14:paraId="67D96C2A" w14:textId="77777777" w:rsidR="00530C4D" w:rsidRDefault="00530C4D" w:rsidP="00095015">
      <w:pPr>
        <w:pStyle w:val="Bezodstpw"/>
      </w:pPr>
    </w:p>
    <w:p w14:paraId="1A467340" w14:textId="6F21341F" w:rsidR="00677406" w:rsidRDefault="00793F4E" w:rsidP="00C7414A">
      <w:pPr>
        <w:spacing w:after="120"/>
      </w:pPr>
      <w:r>
        <w:t>W</w:t>
      </w:r>
      <w:r w:rsidR="00710199">
        <w:t> </w:t>
      </w:r>
      <w:r>
        <w:t>aKPEIK</w:t>
      </w:r>
      <w:r w:rsidR="003352F5">
        <w:t xml:space="preserve"> </w:t>
      </w:r>
      <w:r w:rsidR="007636C1">
        <w:t xml:space="preserve">scenariusze </w:t>
      </w:r>
      <w:r w:rsidR="003352F5">
        <w:t xml:space="preserve">są </w:t>
      </w:r>
      <w:r>
        <w:t>rozumi</w:t>
      </w:r>
      <w:r w:rsidR="003352F5">
        <w:t>ane</w:t>
      </w:r>
      <w:r>
        <w:t xml:space="preserve"> w </w:t>
      </w:r>
      <w:r w:rsidR="00B97B50">
        <w:t>następujący</w:t>
      </w:r>
      <w:r>
        <w:t xml:space="preserve"> sposób:</w:t>
      </w:r>
    </w:p>
    <w:p w14:paraId="500E0495" w14:textId="371894CE" w:rsidR="00FC07BC" w:rsidRPr="003839A0" w:rsidRDefault="00FC07BC" w:rsidP="00FC07BC">
      <w:r w:rsidRPr="00B97B50">
        <w:rPr>
          <w:rFonts w:ascii="Bahnschrift" w:hAnsi="Bahnschrift"/>
          <w:b/>
          <w:bCs/>
          <w:color w:val="008000"/>
          <w:sz w:val="24"/>
          <w:szCs w:val="28"/>
        </w:rPr>
        <w:t>Scenariusz WAM</w:t>
      </w:r>
      <w:r w:rsidRPr="00B97B50">
        <w:rPr>
          <w:sz w:val="24"/>
          <w:szCs w:val="28"/>
        </w:rPr>
        <w:t xml:space="preserve"> </w:t>
      </w:r>
      <w:r w:rsidRPr="00B97B50">
        <w:t xml:space="preserve">(załącznik </w:t>
      </w:r>
      <w:r>
        <w:t>1</w:t>
      </w:r>
      <w:r w:rsidRPr="00B97B50">
        <w:t>)</w:t>
      </w:r>
      <w:r>
        <w:rPr>
          <w:sz w:val="24"/>
          <w:szCs w:val="28"/>
        </w:rPr>
        <w:t xml:space="preserve"> </w:t>
      </w:r>
      <w:r>
        <w:t xml:space="preserve">rozumiany jest </w:t>
      </w:r>
      <w:r w:rsidRPr="003839A0">
        <w:t xml:space="preserve">jako scenariusz </w:t>
      </w:r>
      <w:r w:rsidR="00EA719E">
        <w:t xml:space="preserve">aktywnej </w:t>
      </w:r>
      <w:r>
        <w:t>transformacji, dążący do</w:t>
      </w:r>
      <w:r w:rsidR="00DC5106">
        <w:t> </w:t>
      </w:r>
      <w:r>
        <w:t xml:space="preserve">realizacji założeń i celów </w:t>
      </w:r>
      <w:r w:rsidRPr="004A21D2">
        <w:rPr>
          <w:i/>
          <w:iCs/>
        </w:rPr>
        <w:t>Fit for 55</w:t>
      </w:r>
      <w:r>
        <w:t>.</w:t>
      </w:r>
      <w:r w:rsidRPr="003839A0">
        <w:t xml:space="preserve"> </w:t>
      </w:r>
      <w:r>
        <w:t xml:space="preserve">Przewiduje </w:t>
      </w:r>
      <w:r w:rsidRPr="003839A0">
        <w:t xml:space="preserve">wdrażanie nowych </w:t>
      </w:r>
      <w:r w:rsidRPr="00E70F29">
        <w:t>instrumentów polityki klimatyczno-energetycznej</w:t>
      </w:r>
      <w:r>
        <w:t xml:space="preserve"> w stosunku do </w:t>
      </w:r>
      <w:r w:rsidR="002F3F8A">
        <w:t>dotychczasowych rozwiązań</w:t>
      </w:r>
      <w:r w:rsidRPr="00E70F29">
        <w:t xml:space="preserve">, celem przyspieszenia </w:t>
      </w:r>
      <w:r w:rsidR="00B30588">
        <w:t>rozwoju i</w:t>
      </w:r>
      <w:r w:rsidR="00571E12">
        <w:t> </w:t>
      </w:r>
      <w:r w:rsidR="00B30588">
        <w:t>konkurencyjności oraz</w:t>
      </w:r>
      <w:r w:rsidRPr="00E70F29">
        <w:t xml:space="preserve"> dążenia do neutralności klimatycznej. </w:t>
      </w:r>
      <w:r w:rsidR="000C60E4">
        <w:t xml:space="preserve">Mimo tego, że scenariusz WAM wskazuje </w:t>
      </w:r>
      <w:r w:rsidR="00B30588">
        <w:t xml:space="preserve">szerszy wachlarz rozwiązań i działań inwestycyjnych, Polska osiąga w nim tylko część wskaźników i celów zawartych w pakiecie Fit for 55, w tym </w:t>
      </w:r>
      <w:r w:rsidR="000C60E4">
        <w:t>50</w:t>
      </w:r>
      <w:r w:rsidR="00B30588">
        <w:t>,4</w:t>
      </w:r>
      <w:r w:rsidR="000C60E4">
        <w:t>% redukcji emisji gazów cieplarnianych</w:t>
      </w:r>
      <w:r w:rsidR="00B30588">
        <w:t xml:space="preserve"> (w</w:t>
      </w:r>
      <w:r w:rsidR="00571E12">
        <w:t> </w:t>
      </w:r>
      <w:r w:rsidR="00B30588">
        <w:t>porównaniu do celu UE na poziomie 55%). Wynika to ze znacznego zapóźnienia w procesie transformacji i niedługiego horyzontu czasowego pozostałego do roku 2030, co znacząco determinuje możliwości wdrożenia nowych inwestycji i rozwiązań. Niemniej jednak w perspektywie do roku 2040</w:t>
      </w:r>
      <w:r w:rsidR="00571E12">
        <w:t xml:space="preserve"> r.</w:t>
      </w:r>
      <w:r w:rsidR="00B30588">
        <w:t xml:space="preserve"> Polska jest w stanie znacząco przyspieszyć proces transformacji, a co za tym idzie – wyraźnie poprawić główne wskaźniki gospodarcze i klimatyczne oraz znacząco obniżyć koszty wytwarzania energii. </w:t>
      </w:r>
      <w:r w:rsidR="000C60E4">
        <w:t xml:space="preserve">. </w:t>
      </w:r>
    </w:p>
    <w:p w14:paraId="53626168" w14:textId="077742A6" w:rsidR="00A8085C" w:rsidRDefault="00793F4E" w:rsidP="00B97B50">
      <w:pPr>
        <w:spacing w:after="80"/>
      </w:pPr>
      <w:r w:rsidRPr="00B97B50">
        <w:rPr>
          <w:rFonts w:ascii="Bahnschrift" w:hAnsi="Bahnschrift"/>
          <w:b/>
          <w:bCs/>
          <w:color w:val="0070C0"/>
          <w:sz w:val="24"/>
          <w:szCs w:val="28"/>
        </w:rPr>
        <w:t>Scenariusz WEM</w:t>
      </w:r>
      <w:r w:rsidRPr="00B97B50">
        <w:rPr>
          <w:color w:val="0070C0"/>
          <w:sz w:val="24"/>
          <w:szCs w:val="28"/>
        </w:rPr>
        <w:t xml:space="preserve"> </w:t>
      </w:r>
      <w:r w:rsidR="00B97B50">
        <w:t xml:space="preserve">(załącznik </w:t>
      </w:r>
      <w:r w:rsidR="00DC0C8A">
        <w:t>2</w:t>
      </w:r>
      <w:r w:rsidR="00B97B50">
        <w:t xml:space="preserve">) </w:t>
      </w:r>
      <w:r>
        <w:t xml:space="preserve">rozumiany jest jako </w:t>
      </w:r>
      <w:r w:rsidR="001C0370">
        <w:t xml:space="preserve">bazowy </w:t>
      </w:r>
      <w:r w:rsidRPr="00B97B50">
        <w:rPr>
          <w:b/>
          <w:bCs/>
        </w:rPr>
        <w:t>scenariusz transformacji</w:t>
      </w:r>
      <w:r w:rsidR="00571E12">
        <w:rPr>
          <w:b/>
          <w:bCs/>
        </w:rPr>
        <w:t xml:space="preserve"> </w:t>
      </w:r>
      <w:r w:rsidRPr="00A20883">
        <w:t>– prognozy</w:t>
      </w:r>
      <w:r>
        <w:t xml:space="preserve"> </w:t>
      </w:r>
      <w:r w:rsidR="009F20A2">
        <w:t xml:space="preserve">opierają się na </w:t>
      </w:r>
      <w:r w:rsidR="00B34B5F">
        <w:t>założeniu zbliżonego do aktualnego (</w:t>
      </w:r>
      <w:r w:rsidR="00B34B5F" w:rsidRPr="00B34B5F">
        <w:rPr>
          <w:i/>
          <w:iCs/>
        </w:rPr>
        <w:t>business as usual</w:t>
      </w:r>
      <w:r w:rsidR="00B34B5F">
        <w:t xml:space="preserve"> – z ang. biznes jak zwykle) </w:t>
      </w:r>
      <w:r w:rsidR="009F20A2">
        <w:t xml:space="preserve">tempa rozwoju </w:t>
      </w:r>
      <w:r>
        <w:t>techniczn</w:t>
      </w:r>
      <w:r w:rsidR="009F20A2">
        <w:t>ego</w:t>
      </w:r>
      <w:r>
        <w:t>, organizacyjn</w:t>
      </w:r>
      <w:r w:rsidR="009F20A2">
        <w:t>ego</w:t>
      </w:r>
      <w:r>
        <w:t xml:space="preserve"> i</w:t>
      </w:r>
      <w:r w:rsidR="00530C4D">
        <w:t> </w:t>
      </w:r>
      <w:r>
        <w:t>ekonomiczn</w:t>
      </w:r>
      <w:r w:rsidR="00A8085C">
        <w:t>ego</w:t>
      </w:r>
      <w:r w:rsidR="00B97B50">
        <w:t xml:space="preserve">. </w:t>
      </w:r>
    </w:p>
    <w:p w14:paraId="1DD15C06" w14:textId="77777777" w:rsidR="00A8085C" w:rsidRDefault="00A8085C" w:rsidP="00B97B50">
      <w:pPr>
        <w:spacing w:after="80"/>
      </w:pPr>
    </w:p>
    <w:p w14:paraId="2A0E00E5" w14:textId="0544A037" w:rsidR="00793F4E" w:rsidRDefault="00A8085C" w:rsidP="00B97B50">
      <w:pPr>
        <w:spacing w:after="80"/>
      </w:pPr>
      <w:r>
        <w:t>Warto podkreślić, że w obu scenariuszach – o</w:t>
      </w:r>
      <w:r w:rsidR="00793F4E">
        <w:t xml:space="preserve">bok trendów związanych z dążeniem do </w:t>
      </w:r>
      <w:r w:rsidR="00B30588">
        <w:t>zero</w:t>
      </w:r>
      <w:r w:rsidR="00793F4E">
        <w:t>emisyjności</w:t>
      </w:r>
      <w:r w:rsidR="00422A69">
        <w:t>,</w:t>
      </w:r>
      <w:r w:rsidR="00793F4E">
        <w:t xml:space="preserve"> pod uwagę brane </w:t>
      </w:r>
      <w:r>
        <w:t>były również inne aspekty</w:t>
      </w:r>
      <w:r w:rsidR="006E709D">
        <w:t>,</w:t>
      </w:r>
      <w:r>
        <w:t xml:space="preserve"> </w:t>
      </w:r>
      <w:r w:rsidR="00793F4E">
        <w:t>w szczególności:</w:t>
      </w:r>
    </w:p>
    <w:p w14:paraId="33A7194D" w14:textId="34C32384" w:rsidR="00B97B50" w:rsidRDefault="00793F4E" w:rsidP="00D121F4">
      <w:pPr>
        <w:pStyle w:val="Akapitzlist"/>
        <w:numPr>
          <w:ilvl w:val="2"/>
          <w:numId w:val="10"/>
        </w:numPr>
        <w:spacing w:after="80"/>
        <w:ind w:left="426"/>
        <w:contextualSpacing w:val="0"/>
      </w:pPr>
      <w:r>
        <w:t xml:space="preserve">w sektorze energetycznym – technicznie możliwe tempo odstawień źródeł węglowych, tak aby przyrostowi mocy zeroemisyjnych towarzyszył </w:t>
      </w:r>
      <w:r w:rsidR="007636C1">
        <w:t xml:space="preserve">adekwatny poziom mocy dyspozycyjnych oraz </w:t>
      </w:r>
      <w:r>
        <w:t xml:space="preserve">rozwój technologii i rozwiązań gwarantujących </w:t>
      </w:r>
      <w:r w:rsidRPr="007509CC">
        <w:rPr>
          <w:b/>
          <w:bCs/>
        </w:rPr>
        <w:t>pewnoś</w:t>
      </w:r>
      <w:r w:rsidR="007636C1">
        <w:rPr>
          <w:b/>
          <w:bCs/>
        </w:rPr>
        <w:t>ć i stabilność</w:t>
      </w:r>
      <w:r w:rsidRPr="007509CC">
        <w:rPr>
          <w:b/>
          <w:bCs/>
        </w:rPr>
        <w:t xml:space="preserve"> dostaw energii</w:t>
      </w:r>
      <w:r>
        <w:t xml:space="preserve"> (wystarczalność mocy); </w:t>
      </w:r>
      <w:r w:rsidR="007636C1">
        <w:t>bran</w:t>
      </w:r>
      <w:r w:rsidR="00284572">
        <w:t xml:space="preserve">e są pod uwagę trwające i planowane inwestycje, </w:t>
      </w:r>
      <w:r>
        <w:t>dostępność nowych technologii, które zagwarantują rezerwowanie OZE</w:t>
      </w:r>
      <w:r w:rsidR="006D6589">
        <w:t>,</w:t>
      </w:r>
      <w:r>
        <w:t xml:space="preserve"> </w:t>
      </w:r>
      <w:r w:rsidR="00FC6BEA">
        <w:t xml:space="preserve">przeprowadzona jest </w:t>
      </w:r>
      <w:r w:rsidR="00284572">
        <w:t xml:space="preserve">optymalizacja ekonomiczna w symulacjach prognostycznych opartych na modelach sektorowych, </w:t>
      </w:r>
    </w:p>
    <w:p w14:paraId="1E4E61F3" w14:textId="38E26707" w:rsidR="00B97B50" w:rsidRPr="001D643A" w:rsidRDefault="00793F4E" w:rsidP="00D121F4">
      <w:pPr>
        <w:pStyle w:val="Akapitzlist"/>
        <w:numPr>
          <w:ilvl w:val="2"/>
          <w:numId w:val="10"/>
        </w:numPr>
        <w:spacing w:after="80"/>
        <w:ind w:left="426"/>
        <w:contextualSpacing w:val="0"/>
      </w:pPr>
      <w:r>
        <w:t>w przemyśle – ocena</w:t>
      </w:r>
      <w:r w:rsidR="00A8085C">
        <w:t xml:space="preserve"> </w:t>
      </w:r>
      <w:r>
        <w:t>tempa i głębokości zmian, które mogą zajść w przedsiębiorstwach – mając na względzie nakłady, techniczną możliwość zmiany urządzeń</w:t>
      </w:r>
      <w:r w:rsidR="006D6589">
        <w:t xml:space="preserve"> i procesów</w:t>
      </w:r>
      <w:r>
        <w:t xml:space="preserve"> </w:t>
      </w:r>
      <w:r w:rsidRPr="00B97B50">
        <w:t>oraz dostępność nowych</w:t>
      </w:r>
      <w:r>
        <w:t xml:space="preserve"> </w:t>
      </w:r>
      <w:r w:rsidRPr="001D643A">
        <w:t>technologii</w:t>
      </w:r>
      <w:r w:rsidR="006D6589">
        <w:t>,</w:t>
      </w:r>
    </w:p>
    <w:p w14:paraId="3009F91B" w14:textId="5E8BE311" w:rsidR="00B97B50" w:rsidRPr="001D643A" w:rsidRDefault="00793F4E" w:rsidP="00D121F4">
      <w:pPr>
        <w:pStyle w:val="Akapitzlist"/>
        <w:numPr>
          <w:ilvl w:val="2"/>
          <w:numId w:val="10"/>
        </w:numPr>
        <w:spacing w:after="80"/>
        <w:ind w:left="426"/>
        <w:contextualSpacing w:val="0"/>
      </w:pPr>
      <w:r w:rsidRPr="001D643A">
        <w:t>wpływ na rynek pracy – poza wsparciem pracowników związanych z gospodarką węglową uwzględni</w:t>
      </w:r>
      <w:r w:rsidR="001D643A" w:rsidRPr="001D643A">
        <w:t>a się</w:t>
      </w:r>
      <w:r w:rsidRPr="001D643A">
        <w:t xml:space="preserve"> to, że wygenerowane w ramach transformacji miejsca pracy powinny być trwałe – </w:t>
      </w:r>
      <w:r w:rsidR="001D643A" w:rsidRPr="001D643A">
        <w:t xml:space="preserve">szybko wygenerowany wysoki popyt na </w:t>
      </w:r>
      <w:r w:rsidRPr="001D643A">
        <w:t>now</w:t>
      </w:r>
      <w:r w:rsidR="001D643A" w:rsidRPr="001D643A">
        <w:t>e</w:t>
      </w:r>
      <w:r w:rsidRPr="001D643A">
        <w:t xml:space="preserve"> technologi</w:t>
      </w:r>
      <w:r w:rsidR="001D643A" w:rsidRPr="001D643A">
        <w:t>e</w:t>
      </w:r>
      <w:r w:rsidRPr="001D643A">
        <w:t xml:space="preserve"> powoduje </w:t>
      </w:r>
      <w:r w:rsidR="00C600E0">
        <w:t>du</w:t>
      </w:r>
      <w:r w:rsidRPr="001D643A">
        <w:t>ży</w:t>
      </w:r>
      <w:r w:rsidR="00C600E0">
        <w:t>,</w:t>
      </w:r>
      <w:r w:rsidRPr="001D643A">
        <w:t xml:space="preserve"> </w:t>
      </w:r>
      <w:r w:rsidR="003352F5">
        <w:t xml:space="preserve">ale </w:t>
      </w:r>
      <w:r w:rsidR="003352F5" w:rsidRPr="001D643A">
        <w:t xml:space="preserve">tymczasowy </w:t>
      </w:r>
      <w:r w:rsidRPr="001D643A">
        <w:t xml:space="preserve">wzrost zapotrzebowania na </w:t>
      </w:r>
      <w:r w:rsidR="001D643A" w:rsidRPr="001D643A">
        <w:t>określon</w:t>
      </w:r>
      <w:r w:rsidR="007636C1">
        <w:t>ą</w:t>
      </w:r>
      <w:r w:rsidR="001D643A" w:rsidRPr="001D643A">
        <w:t xml:space="preserve"> pracę</w:t>
      </w:r>
      <w:r w:rsidRPr="001D643A">
        <w:t xml:space="preserve">, </w:t>
      </w:r>
      <w:r w:rsidR="00FC6BEA">
        <w:t xml:space="preserve">dlatego należy mitygować ryzyka, że </w:t>
      </w:r>
      <w:r w:rsidRPr="001D643A">
        <w:t xml:space="preserve">znaczna część </w:t>
      </w:r>
      <w:r w:rsidR="001D643A" w:rsidRPr="001D643A">
        <w:t>miejsc pracy</w:t>
      </w:r>
      <w:r w:rsidR="006D6589">
        <w:t xml:space="preserve"> może</w:t>
      </w:r>
      <w:r w:rsidR="001D643A" w:rsidRPr="001D643A">
        <w:t xml:space="preserve"> szybko </w:t>
      </w:r>
      <w:r w:rsidRPr="001D643A">
        <w:t>znikn</w:t>
      </w:r>
      <w:r w:rsidR="006D6589">
        <w:t xml:space="preserve">ąć </w:t>
      </w:r>
      <w:r w:rsidRPr="001D643A">
        <w:t>z rynku</w:t>
      </w:r>
      <w:r w:rsidR="006D6589">
        <w:t>,</w:t>
      </w:r>
      <w:r w:rsidR="001078E9">
        <w:t xml:space="preserve"> </w:t>
      </w:r>
    </w:p>
    <w:p w14:paraId="2BD687C7" w14:textId="4A0B28CA" w:rsidR="00530C4D" w:rsidRDefault="00793F4E" w:rsidP="00206B42">
      <w:pPr>
        <w:pStyle w:val="Akapitzlist"/>
        <w:numPr>
          <w:ilvl w:val="0"/>
          <w:numId w:val="11"/>
        </w:numPr>
        <w:spacing w:after="80"/>
        <w:ind w:left="425" w:hanging="357"/>
        <w:contextualSpacing w:val="0"/>
        <w:sectPr w:rsidR="00530C4D" w:rsidSect="005209BA">
          <w:headerReference w:type="even" r:id="rId32"/>
          <w:headerReference w:type="default" r:id="rId33"/>
          <w:headerReference w:type="first" r:id="rId34"/>
          <w:pgSz w:w="11906" w:h="16838"/>
          <w:pgMar w:top="1417" w:right="1417" w:bottom="1417" w:left="1417" w:header="708" w:footer="708" w:gutter="0"/>
          <w:cols w:space="708"/>
          <w:docGrid w:linePitch="360"/>
        </w:sectPr>
      </w:pPr>
      <w:r>
        <w:t xml:space="preserve">wpływ na rozwój gospodarczy – przyjmuje się, że </w:t>
      </w:r>
      <w:r w:rsidR="00795826">
        <w:t xml:space="preserve">dążenie do </w:t>
      </w:r>
      <w:r w:rsidR="00FE3A61">
        <w:t xml:space="preserve">redukcji emisji gazów cieplarnianych oraz obniżenia </w:t>
      </w:r>
      <w:r w:rsidR="00795826">
        <w:t>zużycia energii</w:t>
      </w:r>
      <w:r w:rsidR="00C600E0">
        <w:t xml:space="preserve"> </w:t>
      </w:r>
      <w:r w:rsidR="00795826">
        <w:t xml:space="preserve">nie powinno </w:t>
      </w:r>
      <w:r w:rsidR="001D643A">
        <w:t>ograniczać</w:t>
      </w:r>
      <w:r w:rsidR="00795826">
        <w:t xml:space="preserve"> rozw</w:t>
      </w:r>
      <w:r w:rsidR="001D643A">
        <w:t>oju</w:t>
      </w:r>
      <w:r w:rsidR="00795826">
        <w:t xml:space="preserve"> gospodarcz</w:t>
      </w:r>
      <w:r w:rsidR="001D643A">
        <w:t>ego</w:t>
      </w:r>
      <w:r w:rsidR="00795826">
        <w:t xml:space="preserve"> Polski</w:t>
      </w:r>
      <w:r w:rsidR="0020457B">
        <w:t>, wręcz przeciwnie – ma sprzyjać rozwojowi i poprawie konkurencyjności na arenie europejskiej i globalnej</w:t>
      </w:r>
      <w:r w:rsidR="00795826">
        <w:t>.</w:t>
      </w:r>
    </w:p>
    <w:p w14:paraId="163D5CCE" w14:textId="7FB4CBA8" w:rsidR="00BE10C2" w:rsidRDefault="00CE5AEF" w:rsidP="00FF5725">
      <w:r w:rsidRPr="00D165C3">
        <w:rPr>
          <w:noProof/>
        </w:rPr>
        <w:lastRenderedPageBreak/>
        <w:drawing>
          <wp:anchor distT="0" distB="0" distL="114300" distR="114300" simplePos="0" relativeHeight="251625984" behindDoc="0" locked="0" layoutInCell="1" allowOverlap="1" wp14:anchorId="277C3B23" wp14:editId="14955894">
            <wp:simplePos x="0" y="0"/>
            <wp:positionH relativeFrom="margin">
              <wp:align>center</wp:align>
            </wp:positionH>
            <wp:positionV relativeFrom="paragraph">
              <wp:posOffset>-582295</wp:posOffset>
            </wp:positionV>
            <wp:extent cx="6983730" cy="7580630"/>
            <wp:effectExtent l="0" t="0" r="7620" b="1270"/>
            <wp:wrapNone/>
            <wp:docPr id="10" name="Obraz 9" descr="Obraz zawierający osoba, paznokieć, w pomieszczeniu, tekst&#10;&#10;Opis wygenerowany automatycznie">
              <a:extLst xmlns:a="http://schemas.openxmlformats.org/drawingml/2006/main">
                <a:ext uri="{FF2B5EF4-FFF2-40B4-BE49-F238E27FC236}">
                  <a16:creationId xmlns:a16="http://schemas.microsoft.com/office/drawing/2014/main" id="{4A91F2C6-AF31-BFD0-E940-5161F468AE6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braz 9" descr="Obraz zawierający osoba, paznokieć, w pomieszczeniu, tekst&#10;&#10;Opis wygenerowany automatycznie">
                      <a:extLst>
                        <a:ext uri="{FF2B5EF4-FFF2-40B4-BE49-F238E27FC236}">
                          <a16:creationId xmlns:a16="http://schemas.microsoft.com/office/drawing/2014/main" id="{4A91F2C6-AF31-BFD0-E940-5161F468AE66}"/>
                        </a:ext>
                      </a:extLst>
                    </pic:cNvPr>
                    <pic:cNvPicPr>
                      <a:picLocks noChangeAspect="1"/>
                    </pic:cNvPicPr>
                  </pic:nvPicPr>
                  <pic:blipFill rotWithShape="1">
                    <a:blip r:embed="rId35" cstate="print">
                      <a:extLst>
                        <a:ext uri="{28A0092B-C50C-407E-A947-70E740481C1C}">
                          <a14:useLocalDpi xmlns:a14="http://schemas.microsoft.com/office/drawing/2010/main" val="0"/>
                        </a:ext>
                      </a:extLst>
                    </a:blip>
                    <a:srcRect/>
                    <a:stretch/>
                  </pic:blipFill>
                  <pic:spPr>
                    <a:xfrm>
                      <a:off x="0" y="0"/>
                      <a:ext cx="6983730" cy="7580630"/>
                    </a:xfrm>
                    <a:prstGeom prst="rect">
                      <a:avLst/>
                    </a:prstGeom>
                  </pic:spPr>
                </pic:pic>
              </a:graphicData>
            </a:graphic>
            <wp14:sizeRelH relativeFrom="page">
              <wp14:pctWidth>0</wp14:pctWidth>
            </wp14:sizeRelH>
            <wp14:sizeRelV relativeFrom="page">
              <wp14:pctHeight>0</wp14:pctHeight>
            </wp14:sizeRelV>
          </wp:anchor>
        </w:drawing>
      </w:r>
    </w:p>
    <w:p w14:paraId="23280032" w14:textId="06A8403B" w:rsidR="00E4780F" w:rsidRDefault="00E4780F" w:rsidP="00E4780F"/>
    <w:p w14:paraId="3B734584" w14:textId="46BDB8D0" w:rsidR="00200D01" w:rsidRDefault="004429F3" w:rsidP="00E4780F">
      <w:pPr>
        <w:pStyle w:val="Nagwek1"/>
        <w:jc w:val="center"/>
      </w:pPr>
      <w:bookmarkStart w:id="14" w:name="_Toc159598282"/>
      <w:bookmarkStart w:id="15" w:name="_Toc179536930"/>
      <w:r>
        <w:t>Z</w:t>
      </w:r>
      <w:r w:rsidR="00200D01">
        <w:t>AŁOŻENIA I CEL</w:t>
      </w:r>
      <w:r>
        <w:t>E</w:t>
      </w:r>
      <w:r w:rsidR="00EF4A99">
        <w:t xml:space="preserve"> ORAZ POLITYKI OBSZAROWE</w:t>
      </w:r>
      <w:bookmarkEnd w:id="14"/>
      <w:bookmarkEnd w:id="15"/>
    </w:p>
    <w:p w14:paraId="640F22FD" w14:textId="6E1828B9" w:rsidR="00E80B03" w:rsidRPr="00E80B03" w:rsidRDefault="00E80B03" w:rsidP="00E80B03"/>
    <w:p w14:paraId="4464D53C" w14:textId="5C953360" w:rsidR="008D7F51" w:rsidRDefault="00CE5AEF" w:rsidP="00E4780F">
      <w:r>
        <w:rPr>
          <w:noProof/>
        </w:rPr>
        <mc:AlternateContent>
          <mc:Choice Requires="wps">
            <w:drawing>
              <wp:anchor distT="0" distB="0" distL="114300" distR="114300" simplePos="0" relativeHeight="251613184" behindDoc="0" locked="0" layoutInCell="1" allowOverlap="1" wp14:anchorId="6D4BD5B6" wp14:editId="4FD1F3B8">
                <wp:simplePos x="0" y="0"/>
                <wp:positionH relativeFrom="margin">
                  <wp:align>left</wp:align>
                </wp:positionH>
                <wp:positionV relativeFrom="paragraph">
                  <wp:posOffset>6724650</wp:posOffset>
                </wp:positionV>
                <wp:extent cx="5606415" cy="540385"/>
                <wp:effectExtent l="0" t="0" r="0" b="0"/>
                <wp:wrapNone/>
                <wp:docPr id="153426292" name="Pole tekstowe 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06415" cy="540385"/>
                        </a:xfrm>
                        <a:prstGeom prst="rect">
                          <a:avLst/>
                        </a:prstGeom>
                      </wps:spPr>
                      <wps:txbx>
                        <w:txbxContent>
                          <w:p w14:paraId="35AB4B7D" w14:textId="77777777" w:rsidR="005F4621" w:rsidRDefault="005F4621" w:rsidP="00EF4A99">
                            <w:pPr>
                              <w:jc w:val="center"/>
                              <w:rPr>
                                <w:rFonts w:ascii="Bahnschrift" w:hAnsi="Bahnschrift"/>
                                <w:b/>
                                <w:bCs/>
                                <w:color w:val="444661"/>
                                <w:kern w:val="24"/>
                                <w:sz w:val="40"/>
                                <w:szCs w:val="40"/>
                                <w14:ligatures w14:val="none"/>
                              </w:rPr>
                            </w:pPr>
                            <w:r>
                              <w:rPr>
                                <w:rFonts w:ascii="Bahnschrift" w:hAnsi="Bahnschrift"/>
                                <w:b/>
                                <w:bCs/>
                                <w:color w:val="444661"/>
                                <w:kern w:val="24"/>
                                <w:sz w:val="40"/>
                                <w:szCs w:val="40"/>
                              </w:rPr>
                              <w:t>w 5 wymiarach unii energetycznej</w:t>
                            </w:r>
                          </w:p>
                        </w:txbxContent>
                      </wps:txbx>
                      <wps:bodyPr vert="horz" lIns="91440" tIns="45720" rIns="91440" bIns="45720" rtlCol="0" anchor="ctr">
                        <a:noAutofit/>
                      </wps:bodyPr>
                    </wps:wsp>
                  </a:graphicData>
                </a:graphic>
                <wp14:sizeRelH relativeFrom="page">
                  <wp14:pctWidth>0</wp14:pctWidth>
                </wp14:sizeRelH>
                <wp14:sizeRelV relativeFrom="margin">
                  <wp14:pctHeight>0</wp14:pctHeight>
                </wp14:sizeRelV>
              </wp:anchor>
            </w:drawing>
          </mc:Choice>
          <mc:Fallback>
            <w:pict>
              <v:shape w14:anchorId="6D4BD5B6" id="Pole tekstowe 82" o:spid="_x0000_s1056" type="#_x0000_t202" style="position:absolute;left:0;text-align:left;margin-left:0;margin-top:529.5pt;width:441.45pt;height:42.55pt;z-index:25161318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" filled="f" stroked="f">
                <v:textbox>
                  <w:txbxContent>
                    <w:p w14:paraId="35AB4B7D" w14:textId="77777777" w:rsidR="005F4621" w:rsidRDefault="005F4621" w:rsidP="00EF4A99">
                      <w:pPr>
                        <w:jc w:val="center"/>
                        <w:rPr>
                          <w:rFonts w:ascii="Bahnschrift" w:hAnsi="Bahnschrift"/>
                          <w:b/>
                          <w:bCs/>
                          <w:color w:val="444661"/>
                          <w:kern w:val="24"/>
                          <w:sz w:val="40"/>
                          <w:szCs w:val="40"/>
                          <w14:ligatures w14:val="none"/>
                        </w:rPr>
                      </w:pPr>
                      <w:r>
                        <w:rPr>
                          <w:rFonts w:ascii="Bahnschrift" w:hAnsi="Bahnschrift"/>
                          <w:b/>
                          <w:bCs/>
                          <w:color w:val="444661"/>
                          <w:kern w:val="24"/>
                          <w:sz w:val="40"/>
                          <w:szCs w:val="40"/>
                        </w:rPr>
                        <w:t>w 5 wymiarach unii energetycznej</w:t>
                      </w:r>
                    </w:p>
                  </w:txbxContent>
                </v:textbox>
                <w10:wrap anchorx="margin"/>
              </v:shape>
            </w:pict>
          </mc:Fallback>
        </mc:AlternateContent>
      </w:r>
      <w:r>
        <w:rPr>
          <w:noProof/>
        </w:rPr>
        <mc:AlternateContent>
          <mc:Choice Requires="wps">
            <w:drawing>
              <wp:anchor distT="0" distB="0" distL="114300" distR="114300" simplePos="0" relativeHeight="251612160" behindDoc="0" locked="0" layoutInCell="1" allowOverlap="1" wp14:anchorId="2466A23A" wp14:editId="1BE58953">
                <wp:simplePos x="0" y="0"/>
                <wp:positionH relativeFrom="margin">
                  <wp:align>center</wp:align>
                </wp:positionH>
                <wp:positionV relativeFrom="paragraph">
                  <wp:posOffset>5534025</wp:posOffset>
                </wp:positionV>
                <wp:extent cx="5606415" cy="1219200"/>
                <wp:effectExtent l="0" t="0" r="0" b="0"/>
                <wp:wrapNone/>
                <wp:docPr id="1326142748" name="Pole tekstowe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06415" cy="1219200"/>
                        </a:xfrm>
                        <a:prstGeom prst="rect">
                          <a:avLst/>
                        </a:prstGeom>
                      </wps:spPr>
                      <wps:txbx>
                        <w:txbxContent>
                          <w:p w14:paraId="74ABF24E" w14:textId="7D79B35A" w:rsidR="005F4621" w:rsidRPr="00EF4A99" w:rsidRDefault="00D6225F" w:rsidP="00EF4A99">
                            <w:pPr>
                              <w:spacing w:line="240" w:lineRule="auto"/>
                              <w:jc w:val="center"/>
                              <w:rPr>
                                <w:rFonts w:ascii="Bahnschrift" w:hAnsi="Bahnschrift"/>
                                <w:b/>
                                <w:bCs/>
                                <w:color w:val="444661"/>
                                <w:kern w:val="24"/>
                                <w:sz w:val="64"/>
                                <w:szCs w:val="64"/>
                                <w14:ligatures w14:val="none"/>
                              </w:rPr>
                            </w:pPr>
                            <w:r>
                              <w:rPr>
                                <w:rFonts w:ascii="Bahnschrift" w:hAnsi="Bahnschrift"/>
                                <w:b/>
                                <w:bCs/>
                                <w:color w:val="444661"/>
                                <w:kern w:val="24"/>
                                <w:sz w:val="64"/>
                                <w:szCs w:val="64"/>
                              </w:rPr>
                              <w:t xml:space="preserve">II. </w:t>
                            </w:r>
                            <w:r w:rsidR="005F4621" w:rsidRPr="00EF4A99">
                              <w:rPr>
                                <w:rFonts w:ascii="Bahnschrift" w:hAnsi="Bahnschrift"/>
                                <w:b/>
                                <w:bCs/>
                                <w:color w:val="444661"/>
                                <w:kern w:val="24"/>
                                <w:sz w:val="64"/>
                                <w:szCs w:val="64"/>
                              </w:rPr>
                              <w:t>ZAŁOŻENIA I CELE</w:t>
                            </w:r>
                            <w:r w:rsidR="00EF4A99" w:rsidRPr="00EF4A99">
                              <w:rPr>
                                <w:rFonts w:ascii="Bahnschrift" w:hAnsi="Bahnschrift"/>
                                <w:b/>
                                <w:bCs/>
                                <w:color w:val="444661"/>
                                <w:kern w:val="24"/>
                                <w:sz w:val="64"/>
                                <w:szCs w:val="64"/>
                              </w:rPr>
                              <w:t xml:space="preserve"> </w:t>
                            </w:r>
                            <w:r w:rsidR="00EF4A99" w:rsidRPr="00EF4A99">
                              <w:rPr>
                                <w:rFonts w:ascii="Bahnschrift" w:hAnsi="Bahnschrift"/>
                                <w:b/>
                                <w:bCs/>
                                <w:color w:val="444661"/>
                                <w:kern w:val="24"/>
                                <w:sz w:val="64"/>
                                <w:szCs w:val="64"/>
                              </w:rPr>
                              <w:br/>
                              <w:t>oraz POLITYKI OBSZAROWE</w:t>
                            </w:r>
                          </w:p>
                        </w:txbxContent>
                      </wps:txbx>
                      <wps:bodyPr vert="horz" lIns="91440" tIns="45720" rIns="91440" bIns="45720" rtlCol="0" anchor="ctr">
                        <a:noAutofit/>
                      </wps:bodyPr>
                    </wps:wsp>
                  </a:graphicData>
                </a:graphic>
                <wp14:sizeRelH relativeFrom="page">
                  <wp14:pctWidth>0</wp14:pctWidth>
                </wp14:sizeRelH>
                <wp14:sizeRelV relativeFrom="margin">
                  <wp14:pctHeight>0</wp14:pctHeight>
                </wp14:sizeRelV>
              </wp:anchor>
            </w:drawing>
          </mc:Choice>
          <mc:Fallback>
            <w:pict>
              <v:shape w14:anchorId="2466A23A" id="Pole tekstowe 83" o:spid="_x0000_s1057" type="#_x0000_t202" style="position:absolute;left:0;text-align:left;margin-left:0;margin-top:435.75pt;width:441.45pt;height:96pt;z-index:25161216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" filled="f" stroked="f">
                <v:textbox>
                  <w:txbxContent>
                    <w:p w14:paraId="74ABF24E" w14:textId="7D79B35A" w:rsidR="005F4621" w:rsidRPr="00EF4A99" w:rsidRDefault="00D6225F" w:rsidP="00EF4A99">
                      <w:pPr>
                        <w:spacing w:line="240" w:lineRule="auto"/>
                        <w:jc w:val="center"/>
                        <w:rPr>
                          <w:rFonts w:ascii="Bahnschrift" w:hAnsi="Bahnschrift"/>
                          <w:b/>
                          <w:bCs/>
                          <w:color w:val="444661"/>
                          <w:kern w:val="24"/>
                          <w:sz w:val="64"/>
                          <w:szCs w:val="64"/>
                          <w14:ligatures w14:val="none"/>
                        </w:rPr>
                      </w:pPr>
                      <w:r>
                        <w:rPr>
                          <w:rFonts w:ascii="Bahnschrift" w:hAnsi="Bahnschrift"/>
                          <w:b/>
                          <w:bCs/>
                          <w:color w:val="444661"/>
                          <w:kern w:val="24"/>
                          <w:sz w:val="64"/>
                          <w:szCs w:val="64"/>
                        </w:rPr>
                        <w:t xml:space="preserve">II. </w:t>
                      </w:r>
                      <w:r w:rsidR="005F4621" w:rsidRPr="00EF4A99">
                        <w:rPr>
                          <w:rFonts w:ascii="Bahnschrift" w:hAnsi="Bahnschrift"/>
                          <w:b/>
                          <w:bCs/>
                          <w:color w:val="444661"/>
                          <w:kern w:val="24"/>
                          <w:sz w:val="64"/>
                          <w:szCs w:val="64"/>
                        </w:rPr>
                        <w:t>ZAŁOŻENIA I CELE</w:t>
                      </w:r>
                      <w:r w:rsidR="00EF4A99" w:rsidRPr="00EF4A99">
                        <w:rPr>
                          <w:rFonts w:ascii="Bahnschrift" w:hAnsi="Bahnschrift"/>
                          <w:b/>
                          <w:bCs/>
                          <w:color w:val="444661"/>
                          <w:kern w:val="24"/>
                          <w:sz w:val="64"/>
                          <w:szCs w:val="64"/>
                        </w:rPr>
                        <w:t xml:space="preserve"> </w:t>
                      </w:r>
                      <w:r w:rsidR="00EF4A99" w:rsidRPr="00EF4A99">
                        <w:rPr>
                          <w:rFonts w:ascii="Bahnschrift" w:hAnsi="Bahnschrift"/>
                          <w:b/>
                          <w:bCs/>
                          <w:color w:val="444661"/>
                          <w:kern w:val="24"/>
                          <w:sz w:val="64"/>
                          <w:szCs w:val="64"/>
                        </w:rPr>
                        <w:br/>
                        <w:t>oraz POLITYKI OBSZAROWE</w:t>
                      </w:r>
                    </w:p>
                  </w:txbxContent>
                </v:textbox>
                <w10:wrap anchorx="margin"/>
              </v:shape>
            </w:pict>
          </mc:Fallback>
        </mc:AlternateContent>
      </w:r>
      <w:r>
        <w:rPr>
          <w:noProof/>
        </w:rPr>
        <mc:AlternateContent>
          <mc:Choice Requires="wps">
            <w:drawing>
              <wp:anchor distT="0" distB="0" distL="114300" distR="114300" simplePos="0" relativeHeight="251611136" behindDoc="0" locked="0" layoutInCell="1" allowOverlap="1" wp14:anchorId="6D5C3D3C" wp14:editId="4812FFA0">
                <wp:simplePos x="0" y="0"/>
                <wp:positionH relativeFrom="margin">
                  <wp:align>center</wp:align>
                </wp:positionH>
                <wp:positionV relativeFrom="paragraph">
                  <wp:posOffset>5323205</wp:posOffset>
                </wp:positionV>
                <wp:extent cx="6983730" cy="2291080"/>
                <wp:effectExtent l="0" t="0" r="7620" b="0"/>
                <wp:wrapNone/>
                <wp:docPr id="604550274" name="Prostokąt 8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983730" cy="2291080"/>
                        </a:xfrm>
                        <a:prstGeom prst="rect">
                          <a:avLst/>
                        </a:prstGeom>
                        <a:solidFill>
                          <a:schemeClr val="bg2"/>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ect w14:anchorId="76AAA977" id="Prostokąt 81" o:spid="_x0000_s1026" style="position:absolute;margin-left:0;margin-top:419.15pt;width:549.9pt;height:180.4pt;z-index:25161113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" fillcolor="#e7e6e6 [3214]" stroked="f" strokeweight="1pt">
                <w10:wrap anchorx="margin"/>
              </v:rect>
            </w:pict>
          </mc:Fallback>
        </mc:AlternateContent>
      </w:r>
      <w:r w:rsidR="008D7F51">
        <w:br w:type="page"/>
      </w:r>
    </w:p>
    <w:p w14:paraId="63B9020A" w14:textId="2C7C68E6" w:rsidR="00841C4F" w:rsidRDefault="0026186D" w:rsidP="00841C4F">
      <w:r w:rsidRPr="00194461">
        <w:rPr>
          <w:noProof/>
        </w:rPr>
        <w:lastRenderedPageBreak/>
        <w:drawing>
          <wp:anchor distT="0" distB="0" distL="114300" distR="114300" simplePos="0" relativeHeight="251679232" behindDoc="0" locked="0" layoutInCell="1" allowOverlap="1" wp14:anchorId="253425F5" wp14:editId="1C027750">
            <wp:simplePos x="0" y="0"/>
            <wp:positionH relativeFrom="margin">
              <wp:posOffset>-591977</wp:posOffset>
            </wp:positionH>
            <wp:positionV relativeFrom="paragraph">
              <wp:posOffset>-573870</wp:posOffset>
            </wp:positionV>
            <wp:extent cx="6983730" cy="3927475"/>
            <wp:effectExtent l="0" t="0" r="7620" b="0"/>
            <wp:wrapNone/>
            <wp:docPr id="5" name="Obraz 4" descr="Obraz zawierający trawa, na wolnym powietrzu, roślina, agrokultura&#10;&#10;Opis wygenerowany automatycznie">
              <a:extLst xmlns:a="http://schemas.openxmlformats.org/drawingml/2006/main">
                <a:ext uri="{FF2B5EF4-FFF2-40B4-BE49-F238E27FC236}">
                  <a16:creationId xmlns:a16="http://schemas.microsoft.com/office/drawing/2014/main" id="{287FC8E0-ACE7-A950-AA10-67F9EC69BFF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braz 4" descr="Obraz zawierający trawa, na wolnym powietrzu, roślina, agrokultura&#10;&#10;Opis wygenerowany automatycznie">
                      <a:extLst>
                        <a:ext uri="{FF2B5EF4-FFF2-40B4-BE49-F238E27FC236}">
                          <a16:creationId xmlns:a16="http://schemas.microsoft.com/office/drawing/2014/main" id="{287FC8E0-ACE7-A950-AA10-67F9EC69BFFC}"/>
                        </a:ext>
                      </a:extLst>
                    </pic:cNvPr>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0"/>
                      <a:ext cx="6983730" cy="3927475"/>
                    </a:xfrm>
                    <a:prstGeom prst="rect">
                      <a:avLst/>
                    </a:prstGeom>
                  </pic:spPr>
                </pic:pic>
              </a:graphicData>
            </a:graphic>
            <wp14:sizeRelH relativeFrom="page">
              <wp14:pctWidth>0</wp14:pctWidth>
            </wp14:sizeRelH>
            <wp14:sizeRelV relativeFrom="page">
              <wp14:pctHeight>0</wp14:pctHeight>
            </wp14:sizeRelV>
          </wp:anchor>
        </w:drawing>
      </w:r>
      <w:r w:rsidR="00194461" w:rsidRPr="00194461">
        <w:t xml:space="preserve"> </w:t>
      </w:r>
    </w:p>
    <w:p w14:paraId="71B515B6" w14:textId="0059CFAD" w:rsidR="00841C4F" w:rsidRDefault="00841C4F" w:rsidP="00841C4F"/>
    <w:p w14:paraId="15430CBF" w14:textId="77777777" w:rsidR="00841C4F" w:rsidRDefault="00841C4F" w:rsidP="00841C4F"/>
    <w:p w14:paraId="4EB2A8D9" w14:textId="77777777" w:rsidR="00841C4F" w:rsidRDefault="00841C4F" w:rsidP="00841C4F"/>
    <w:p w14:paraId="4036D6E5" w14:textId="6F9968B3" w:rsidR="00841C4F" w:rsidRDefault="00841C4F" w:rsidP="00841C4F"/>
    <w:p w14:paraId="0E6A94E4" w14:textId="77777777" w:rsidR="00841C4F" w:rsidRDefault="00841C4F" w:rsidP="00841C4F"/>
    <w:p w14:paraId="3B7F9009" w14:textId="77777777" w:rsidR="00841C4F" w:rsidRDefault="00841C4F" w:rsidP="00841C4F"/>
    <w:p w14:paraId="391C383D" w14:textId="06AA0CFA" w:rsidR="00841C4F" w:rsidRDefault="00841C4F" w:rsidP="00841C4F"/>
    <w:p w14:paraId="20FF74D4" w14:textId="77777777" w:rsidR="008E4C8A" w:rsidRDefault="008E4C8A" w:rsidP="004429F3"/>
    <w:p w14:paraId="5322467F" w14:textId="56AA6393" w:rsidR="00691EA7" w:rsidRDefault="00691EA7" w:rsidP="007F22F4">
      <w:pPr>
        <w:pStyle w:val="Nagwek2"/>
        <w:shd w:val="clear" w:color="auto" w:fill="C5E0B3" w:themeFill="accent6" w:themeFillTint="66"/>
      </w:pPr>
      <w:bookmarkStart w:id="16" w:name="_Toc159598283"/>
      <w:bookmarkStart w:id="17" w:name="_Toc179536931"/>
      <w:bookmarkStart w:id="18" w:name="_Hlk156765133"/>
      <w:r>
        <w:t>Obniżenie emisyjności</w:t>
      </w:r>
      <w:bookmarkEnd w:id="16"/>
      <w:bookmarkEnd w:id="17"/>
    </w:p>
    <w:bookmarkEnd w:id="18"/>
    <w:p w14:paraId="3D227D13" w14:textId="7D503397" w:rsidR="0026186D" w:rsidRDefault="0026186D" w:rsidP="00C74F3E"/>
    <w:p w14:paraId="7B10F770" w14:textId="4A52500D" w:rsidR="0026186D" w:rsidRDefault="00DE0CED" w:rsidP="00C74F3E">
      <w:r>
        <w:rPr>
          <w:noProof/>
        </w:rPr>
        <mc:AlternateContent>
          <mc:Choice Requires="wps">
            <w:drawing>
              <wp:anchor distT="0" distB="0" distL="114300" distR="114300" simplePos="0" relativeHeight="251610112" behindDoc="0" locked="0" layoutInCell="1" allowOverlap="1" wp14:anchorId="17A7D1BF" wp14:editId="6217D9FF">
                <wp:simplePos x="0" y="0"/>
                <wp:positionH relativeFrom="margin">
                  <wp:posOffset>-588645</wp:posOffset>
                </wp:positionH>
                <wp:positionV relativeFrom="paragraph">
                  <wp:posOffset>208915</wp:posOffset>
                </wp:positionV>
                <wp:extent cx="6983730" cy="1814195"/>
                <wp:effectExtent l="0" t="0" r="0" b="0"/>
                <wp:wrapNone/>
                <wp:docPr id="639118065" name="Prostokąt 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983730" cy="1814195"/>
                        </a:xfrm>
                        <a:prstGeom prst="rect">
                          <a:avLst/>
                        </a:prstGeom>
                        <a:solidFill>
                          <a:srgbClr val="70AD47">
                            <a:alpha val="80000"/>
                          </a:srgbClr>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4DE3821E" w14:textId="73C958FD" w:rsidR="00194461" w:rsidRDefault="00384755" w:rsidP="0026186D">
                            <w:pPr>
                              <w:spacing w:after="0"/>
                              <w:ind w:left="993" w:right="706"/>
                              <w:jc w:val="left"/>
                              <w:rPr>
                                <w:rFonts w:ascii="Bahnschrift" w:hAnsi="Bahnschrift"/>
                                <w:color w:val="FFFFFF" w:themeColor="light1"/>
                                <w:kern w:val="24"/>
                                <w:sz w:val="56"/>
                                <w:szCs w:val="56"/>
                                <w14:ligatures w14:val="none"/>
                              </w:rPr>
                            </w:pPr>
                            <w:r>
                              <w:rPr>
                                <w:rFonts w:ascii="Bahnschrift" w:hAnsi="Bahnschrift"/>
                                <w:color w:val="FFFFFF" w:themeColor="light1"/>
                                <w:kern w:val="24"/>
                                <w:sz w:val="56"/>
                                <w:szCs w:val="56"/>
                              </w:rPr>
                              <w:t>W</w:t>
                            </w:r>
                            <w:r w:rsidR="00194461">
                              <w:rPr>
                                <w:rFonts w:ascii="Bahnschrift" w:hAnsi="Bahnschrift"/>
                                <w:color w:val="FFFFFF" w:themeColor="light1"/>
                                <w:kern w:val="24"/>
                                <w:sz w:val="56"/>
                                <w:szCs w:val="56"/>
                              </w:rPr>
                              <w:t>ymiar</w:t>
                            </w:r>
                            <w:r>
                              <w:rPr>
                                <w:rFonts w:ascii="Bahnschrift" w:hAnsi="Bahnschrift"/>
                                <w:color w:val="FFFFFF" w:themeColor="light1"/>
                                <w:kern w:val="24"/>
                                <w:sz w:val="56"/>
                                <w:szCs w:val="56"/>
                              </w:rPr>
                              <w:t xml:space="preserve"> 1</w:t>
                            </w:r>
                            <w:r w:rsidR="00431806">
                              <w:rPr>
                                <w:rFonts w:ascii="Bahnschrift" w:hAnsi="Bahnschrift"/>
                                <w:color w:val="FFFFFF" w:themeColor="light1"/>
                                <w:kern w:val="24"/>
                                <w:sz w:val="56"/>
                                <w:szCs w:val="56"/>
                              </w:rPr>
                              <w:t>.</w:t>
                            </w:r>
                            <w:r w:rsidR="00194461">
                              <w:rPr>
                                <w:rFonts w:ascii="Bahnschrift" w:hAnsi="Bahnschrift"/>
                                <w:color w:val="FFFFFF" w:themeColor="light1"/>
                                <w:kern w:val="24"/>
                                <w:sz w:val="56"/>
                                <w:szCs w:val="56"/>
                              </w:rPr>
                              <w:t xml:space="preserve"> </w:t>
                            </w:r>
                            <w:r w:rsidR="00194461">
                              <w:rPr>
                                <w:rFonts w:ascii="Bahnschrift" w:hAnsi="Bahnschrift"/>
                                <w:color w:val="FFFFFF" w:themeColor="light1"/>
                                <w:kern w:val="24"/>
                                <w:sz w:val="72"/>
                                <w:szCs w:val="72"/>
                              </w:rPr>
                              <w:br/>
                            </w:r>
                            <w:r w:rsidR="00194461">
                              <w:rPr>
                                <w:rFonts w:ascii="Bahnschrift" w:hAnsi="Bahnschrift"/>
                                <w:color w:val="FFFFFF" w:themeColor="light1"/>
                                <w:kern w:val="24"/>
                                <w:sz w:val="64"/>
                                <w:szCs w:val="64"/>
                              </w:rPr>
                              <w:t>Obniżenie emisyjności</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17A7D1BF" id="Prostokąt 80" o:spid="_x0000_s1058" style="position:absolute;left:0;text-align:left;margin-left:-46.35pt;margin-top:16.45pt;width:549.9pt;height:142.85pt;z-index:2516101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" fillcolor="#70ad47" stroked="f" strokeweight="1pt">
                <v:fill opacity="52428f"/>
                <v:textbox>
                  <w:txbxContent>
                    <w:p w14:paraId="4DE3821E" w14:textId="73C958FD" w:rsidR="00194461" w:rsidRDefault="00384755" w:rsidP="0026186D">
                      <w:pPr>
                        <w:spacing w:after="0"/>
                        <w:ind w:left="993" w:right="706"/>
                        <w:jc w:val="left"/>
                        <w:rPr>
                          <w:rFonts w:ascii="Bahnschrift" w:hAnsi="Bahnschrift"/>
                          <w:color w:val="FFFFFF" w:themeColor="light1"/>
                          <w:kern w:val="24"/>
                          <w:sz w:val="56"/>
                          <w:szCs w:val="56"/>
                          <w14:ligatures w14:val="none"/>
                        </w:rPr>
                      </w:pPr>
                      <w:r>
                        <w:rPr>
                          <w:rFonts w:ascii="Bahnschrift" w:hAnsi="Bahnschrift"/>
                          <w:color w:val="FFFFFF" w:themeColor="light1"/>
                          <w:kern w:val="24"/>
                          <w:sz w:val="56"/>
                          <w:szCs w:val="56"/>
                        </w:rPr>
                        <w:t>W</w:t>
                      </w:r>
                      <w:r w:rsidR="00194461">
                        <w:rPr>
                          <w:rFonts w:ascii="Bahnschrift" w:hAnsi="Bahnschrift"/>
                          <w:color w:val="FFFFFF" w:themeColor="light1"/>
                          <w:kern w:val="24"/>
                          <w:sz w:val="56"/>
                          <w:szCs w:val="56"/>
                        </w:rPr>
                        <w:t>ymiar</w:t>
                      </w:r>
                      <w:r>
                        <w:rPr>
                          <w:rFonts w:ascii="Bahnschrift" w:hAnsi="Bahnschrift"/>
                          <w:color w:val="FFFFFF" w:themeColor="light1"/>
                          <w:kern w:val="24"/>
                          <w:sz w:val="56"/>
                          <w:szCs w:val="56"/>
                        </w:rPr>
                        <w:t xml:space="preserve"> 1</w:t>
                      </w:r>
                      <w:r w:rsidR="00431806">
                        <w:rPr>
                          <w:rFonts w:ascii="Bahnschrift" w:hAnsi="Bahnschrift"/>
                          <w:color w:val="FFFFFF" w:themeColor="light1"/>
                          <w:kern w:val="24"/>
                          <w:sz w:val="56"/>
                          <w:szCs w:val="56"/>
                        </w:rPr>
                        <w:t>.</w:t>
                      </w:r>
                      <w:r w:rsidR="00194461">
                        <w:rPr>
                          <w:rFonts w:ascii="Bahnschrift" w:hAnsi="Bahnschrift"/>
                          <w:color w:val="FFFFFF" w:themeColor="light1"/>
                          <w:kern w:val="24"/>
                          <w:sz w:val="56"/>
                          <w:szCs w:val="56"/>
                        </w:rPr>
                        <w:t xml:space="preserve"> </w:t>
                      </w:r>
                      <w:r w:rsidR="00194461">
                        <w:rPr>
                          <w:rFonts w:ascii="Bahnschrift" w:hAnsi="Bahnschrift"/>
                          <w:color w:val="FFFFFF" w:themeColor="light1"/>
                          <w:kern w:val="24"/>
                          <w:sz w:val="72"/>
                          <w:szCs w:val="72"/>
                        </w:rPr>
                        <w:br/>
                      </w:r>
                      <w:r w:rsidR="00194461">
                        <w:rPr>
                          <w:rFonts w:ascii="Bahnschrift" w:hAnsi="Bahnschrift"/>
                          <w:color w:val="FFFFFF" w:themeColor="light1"/>
                          <w:kern w:val="24"/>
                          <w:sz w:val="64"/>
                          <w:szCs w:val="64"/>
                        </w:rPr>
                        <w:t>Obniżenie emisyjności</w:t>
                      </w:r>
                    </w:p>
                  </w:txbxContent>
                </v:textbox>
                <w10:wrap anchorx="margin"/>
              </v:rect>
            </w:pict>
          </mc:Fallback>
        </mc:AlternateContent>
      </w:r>
    </w:p>
    <w:p w14:paraId="4E9D27C0" w14:textId="1BC63964" w:rsidR="0026186D" w:rsidRDefault="0026186D" w:rsidP="00C74F3E"/>
    <w:p w14:paraId="7EA0794F" w14:textId="42BB8966" w:rsidR="0026186D" w:rsidRDefault="0026186D" w:rsidP="00C74F3E"/>
    <w:p w14:paraId="4F1970FE" w14:textId="5AE0FA2B" w:rsidR="0026186D" w:rsidRDefault="0026186D" w:rsidP="00C74F3E"/>
    <w:p w14:paraId="226F8973" w14:textId="552BA55F" w:rsidR="00C74F3E" w:rsidRDefault="00C74F3E" w:rsidP="00C74F3E"/>
    <w:p w14:paraId="04073BC2" w14:textId="1277F1B6" w:rsidR="003772B3" w:rsidRDefault="003772B3" w:rsidP="005F4621"/>
    <w:p w14:paraId="58F0C326" w14:textId="7CA308AD" w:rsidR="0026186D" w:rsidRDefault="0026186D" w:rsidP="003772B3"/>
    <w:p w14:paraId="4D87EEC1" w14:textId="77777777" w:rsidR="0026186D" w:rsidRDefault="0026186D" w:rsidP="003772B3"/>
    <w:p w14:paraId="20D4CCFA" w14:textId="1BDEB0C7" w:rsidR="00FC6BEA" w:rsidRDefault="003772B3" w:rsidP="00184647">
      <w:pPr>
        <w:spacing w:after="60"/>
      </w:pPr>
      <w:r w:rsidRPr="00ED0C69">
        <w:rPr>
          <w:b/>
          <w:bCs/>
        </w:rPr>
        <w:t>Obniżenie emisyjności</w:t>
      </w:r>
      <w:r w:rsidRPr="003772B3">
        <w:t xml:space="preserve"> </w:t>
      </w:r>
      <w:r>
        <w:t>zostało potraktowane przez UE jako nadrzędny cel działań</w:t>
      </w:r>
      <w:r w:rsidR="00966AE9">
        <w:t xml:space="preserve"> klimatyczno-energetycznych</w:t>
      </w:r>
      <w:r>
        <w:t xml:space="preserve">, </w:t>
      </w:r>
      <w:r w:rsidR="00966AE9">
        <w:t xml:space="preserve">m.in. </w:t>
      </w:r>
      <w:r>
        <w:t xml:space="preserve">dlatego określone zostało </w:t>
      </w:r>
      <w:r w:rsidR="009A1852" w:rsidRPr="009A1852">
        <w:rPr>
          <w:b/>
          <w:bCs/>
        </w:rPr>
        <w:t>pierwszym</w:t>
      </w:r>
      <w:r w:rsidRPr="003772B3">
        <w:rPr>
          <w:b/>
          <w:bCs/>
        </w:rPr>
        <w:t xml:space="preserve"> wymiarem unii energetycznej</w:t>
      </w:r>
      <w:r>
        <w:t xml:space="preserve">. </w:t>
      </w:r>
      <w:r w:rsidR="00FC6BEA">
        <w:t xml:space="preserve">Z perspektywy krajowej cel ten jest </w:t>
      </w:r>
      <w:r w:rsidR="00184647">
        <w:t>rozumiany</w:t>
      </w:r>
      <w:r w:rsidR="00FC6BEA">
        <w:t xml:space="preserve"> równorzędnie z innymi </w:t>
      </w:r>
      <w:r w:rsidR="00184647">
        <w:t>wymiarami</w:t>
      </w:r>
      <w:r w:rsidR="00FC6BEA">
        <w:t xml:space="preserve"> transformacji klimatyczno-energetycznej, przy czym kryzys wywołany skutkami agresji Rosji na Ukrainę uwydatnił kluczowe znaczenie bezpieczeństwa energetycznego</w:t>
      </w:r>
      <w:r w:rsidR="00184647">
        <w:t xml:space="preserve"> dla gospodarki, </w:t>
      </w:r>
      <w:r w:rsidR="00FC6BEA">
        <w:t xml:space="preserve">w tym wzmacniania suwerenności energetycznej. </w:t>
      </w:r>
      <w:r w:rsidR="00184647" w:rsidRPr="00184647">
        <w:t>Bez</w:t>
      </w:r>
      <w:r w:rsidR="00184647">
        <w:t xml:space="preserve"> </w:t>
      </w:r>
      <w:r w:rsidR="00184647" w:rsidRPr="00184647">
        <w:t xml:space="preserve">odpowiednio odpornego systemu energetycznego nie będzie </w:t>
      </w:r>
      <w:r w:rsidR="00184647">
        <w:t xml:space="preserve">możliwości przeprowadzenia </w:t>
      </w:r>
      <w:r w:rsidR="00184647" w:rsidRPr="00184647">
        <w:t xml:space="preserve">transformacji </w:t>
      </w:r>
      <w:r w:rsidR="00184647">
        <w:t>gospodarki w kierunku zeroemisyjnym.</w:t>
      </w:r>
    </w:p>
    <w:p w14:paraId="60A23B71" w14:textId="0FFF8F2D" w:rsidR="000973FB" w:rsidRDefault="003772B3" w:rsidP="00184647">
      <w:pPr>
        <w:spacing w:after="60"/>
      </w:pPr>
      <w:r>
        <w:t>Wpływ na</w:t>
      </w:r>
      <w:r w:rsidR="00966AE9">
        <w:t> </w:t>
      </w:r>
      <w:r w:rsidR="00545062">
        <w:t>poziom emisyjności mają wszystkie sektory</w:t>
      </w:r>
      <w:r w:rsidR="000973FB">
        <w:t xml:space="preserve">, choć w różnym stopniu. </w:t>
      </w:r>
      <w:r w:rsidR="00F34A9D" w:rsidRPr="00675FB1">
        <w:t>Poziom trudności</w:t>
      </w:r>
      <w:r w:rsidR="00F34A9D">
        <w:t xml:space="preserve"> </w:t>
      </w:r>
      <w:r w:rsidR="00F34A9D" w:rsidRPr="00675FB1">
        <w:t>redukcji emisji gazów cieplarnianych</w:t>
      </w:r>
      <w:r w:rsidR="00F34A9D">
        <w:t xml:space="preserve"> (GC)</w:t>
      </w:r>
      <w:r w:rsidR="00F34A9D" w:rsidRPr="00675FB1">
        <w:t xml:space="preserve"> różni się w zależności od branży</w:t>
      </w:r>
      <w:r w:rsidR="004E7B0B">
        <w:t>, a</w:t>
      </w:r>
      <w:r w:rsidR="005A0EA7">
        <w:t> </w:t>
      </w:r>
      <w:r w:rsidR="004E7B0B">
        <w:t xml:space="preserve">uniknięcie </w:t>
      </w:r>
      <w:r w:rsidR="000973FB">
        <w:t xml:space="preserve">części </w:t>
      </w:r>
      <w:r w:rsidR="004E7B0B">
        <w:t>emisji w</w:t>
      </w:r>
      <w:r w:rsidR="00184647">
        <w:t> </w:t>
      </w:r>
      <w:r w:rsidR="004E7B0B">
        <w:t xml:space="preserve">niektórych obszarach </w:t>
      </w:r>
      <w:r w:rsidR="00D3312B">
        <w:t xml:space="preserve">– </w:t>
      </w:r>
      <w:r w:rsidR="000973FB">
        <w:t>w</w:t>
      </w:r>
      <w:r w:rsidR="005A0EA7">
        <w:t>edług</w:t>
      </w:r>
      <w:r w:rsidR="000973FB">
        <w:t xml:space="preserve"> aktualnej wiedzy</w:t>
      </w:r>
      <w:r w:rsidR="00966AE9">
        <w:t xml:space="preserve"> i dostępności technologii</w:t>
      </w:r>
      <w:r w:rsidR="000973FB">
        <w:t xml:space="preserve"> </w:t>
      </w:r>
      <w:r w:rsidR="00D3312B">
        <w:t>–</w:t>
      </w:r>
      <w:r w:rsidR="008B188E">
        <w:t xml:space="preserve"> </w:t>
      </w:r>
      <w:r w:rsidR="000973FB">
        <w:t xml:space="preserve">nie jest </w:t>
      </w:r>
      <w:r w:rsidR="004E7B0B">
        <w:t>możliwe</w:t>
      </w:r>
      <w:r w:rsidR="00D3312B">
        <w:t>. D</w:t>
      </w:r>
      <w:r w:rsidR="004E7B0B">
        <w:t>latego</w:t>
      </w:r>
      <w:r w:rsidR="002057D7">
        <w:t> </w:t>
      </w:r>
      <w:r w:rsidR="000973FB">
        <w:t>dąży się do neutralności klimatycznej</w:t>
      </w:r>
      <w:r w:rsidR="00173360">
        <w:t>, którą zapewnić może</w:t>
      </w:r>
      <w:r w:rsidR="00966AE9">
        <w:t xml:space="preserve"> również</w:t>
      </w:r>
      <w:r w:rsidR="00173360">
        <w:t xml:space="preserve"> pochłanianie emisji</w:t>
      </w:r>
      <w:r w:rsidR="00966AE9">
        <w:t xml:space="preserve"> CO2</w:t>
      </w:r>
      <w:r w:rsidR="00173360">
        <w:t>.</w:t>
      </w:r>
    </w:p>
    <w:p w14:paraId="289124E4" w14:textId="7FC6BB51" w:rsidR="00832E72" w:rsidRDefault="003772B3" w:rsidP="00184647">
      <w:pPr>
        <w:spacing w:after="60"/>
      </w:pPr>
      <w:r>
        <w:t xml:space="preserve">W </w:t>
      </w:r>
      <w:r w:rsidR="000973FB">
        <w:t xml:space="preserve">tej części </w:t>
      </w:r>
      <w:r w:rsidR="00184647">
        <w:t>a</w:t>
      </w:r>
      <w:r w:rsidR="000973FB">
        <w:t xml:space="preserve">KPEiK </w:t>
      </w:r>
      <w:r w:rsidRPr="003772B3">
        <w:t xml:space="preserve">ujęto </w:t>
      </w:r>
      <w:r w:rsidR="00832E72">
        <w:t xml:space="preserve">założenia i cele </w:t>
      </w:r>
      <w:r w:rsidRPr="003772B3">
        <w:t xml:space="preserve">związane z </w:t>
      </w:r>
      <w:r w:rsidR="000973FB">
        <w:t xml:space="preserve">redukcją </w:t>
      </w:r>
      <w:r w:rsidRPr="003772B3">
        <w:t>emisj</w:t>
      </w:r>
      <w:r w:rsidR="000973FB">
        <w:t>i</w:t>
      </w:r>
      <w:r w:rsidRPr="003772B3">
        <w:t xml:space="preserve"> gazów cieplarnianych</w:t>
      </w:r>
      <w:r w:rsidR="00832E72">
        <w:t xml:space="preserve"> w ujęciu ogólnym, jak również z </w:t>
      </w:r>
      <w:r w:rsidR="00832E72" w:rsidRPr="003772B3">
        <w:t>wykorzystani</w:t>
      </w:r>
      <w:r w:rsidR="00832E72">
        <w:t>em</w:t>
      </w:r>
      <w:r w:rsidR="00832E72" w:rsidRPr="003772B3">
        <w:t xml:space="preserve"> odnawialnych źródeł energii</w:t>
      </w:r>
      <w:r w:rsidR="00832E72">
        <w:t>, które</w:t>
      </w:r>
      <w:r w:rsidR="000973FB">
        <w:t xml:space="preserve"> Unia Europejska </w:t>
      </w:r>
      <w:r w:rsidR="00832E72">
        <w:t xml:space="preserve">uznała </w:t>
      </w:r>
      <w:r w:rsidR="000973FB">
        <w:t>jako szczególny środek do redukcji GC</w:t>
      </w:r>
      <w:r w:rsidRPr="003772B3">
        <w:t xml:space="preserve">. </w:t>
      </w:r>
      <w:r w:rsidR="00832E72">
        <w:t xml:space="preserve">Określono cele szczególne w obszarze dekarbonizacji </w:t>
      </w:r>
      <w:r w:rsidR="00966AE9">
        <w:t>elektro</w:t>
      </w:r>
      <w:r w:rsidR="00832E72">
        <w:t>energetyki,</w:t>
      </w:r>
      <w:r w:rsidR="00966AE9">
        <w:t xml:space="preserve"> ciepłownictwa, transportu</w:t>
      </w:r>
      <w:r w:rsidR="002057D7">
        <w:t>,</w:t>
      </w:r>
      <w:r w:rsidR="00832E72">
        <w:t xml:space="preserve"> przemysłu i rolnictwa. Oceniono także potencjał </w:t>
      </w:r>
      <w:r w:rsidR="00832E72" w:rsidRPr="00832E72">
        <w:t>użytkowani</w:t>
      </w:r>
      <w:r w:rsidR="00743A88">
        <w:t>a</w:t>
      </w:r>
      <w:r w:rsidR="00832E72" w:rsidRPr="00832E72">
        <w:t xml:space="preserve"> gruntów</w:t>
      </w:r>
      <w:r w:rsidR="006602D2">
        <w:t>,</w:t>
      </w:r>
      <w:r w:rsidR="00832E72" w:rsidRPr="00832E72">
        <w:t xml:space="preserve"> zmiany użytkowania gruntów i</w:t>
      </w:r>
      <w:r w:rsidR="00B613FC">
        <w:t> </w:t>
      </w:r>
      <w:r w:rsidR="00832E72" w:rsidRPr="00832E72">
        <w:t xml:space="preserve">leśnictwo (LULUCF, ang. </w:t>
      </w:r>
      <w:r w:rsidR="00832E72" w:rsidRPr="00743A88">
        <w:rPr>
          <w:i/>
          <w:iCs/>
        </w:rPr>
        <w:t>land use, land-use change, and forestry</w:t>
      </w:r>
      <w:r w:rsidR="00832E72" w:rsidRPr="00832E72">
        <w:t>)</w:t>
      </w:r>
      <w:r w:rsidR="002057D7">
        <w:t>,</w:t>
      </w:r>
      <w:r w:rsidR="00743A88">
        <w:t xml:space="preserve"> jako sektora rekompensującego część emisji z pozostałych sektorów.</w:t>
      </w:r>
    </w:p>
    <w:p w14:paraId="6C706D1C" w14:textId="564DE1A2" w:rsidR="001928BC" w:rsidRDefault="003772B3" w:rsidP="00184647">
      <w:pPr>
        <w:spacing w:after="60"/>
      </w:pPr>
      <w:r w:rsidRPr="003772B3">
        <w:t xml:space="preserve">Ze względu na pojawiające się coraz częściej ekstremalne zjawiska pogodowe, uwzględniono </w:t>
      </w:r>
      <w:r w:rsidR="00122156">
        <w:t xml:space="preserve">także w sposób horyzontalny </w:t>
      </w:r>
      <w:r w:rsidRPr="003772B3">
        <w:t>zagadnienie adaptacji do zmian klimatu</w:t>
      </w:r>
      <w:r w:rsidR="007C40B3">
        <w:t xml:space="preserve">, </w:t>
      </w:r>
      <w:r w:rsidR="00173360">
        <w:t>jak również</w:t>
      </w:r>
      <w:r w:rsidR="007C40B3">
        <w:t xml:space="preserve"> cele dotyczące poprawy jakości środowiska, w tym powietrza.</w:t>
      </w:r>
      <w:r w:rsidR="00F77C02">
        <w:br w:type="page"/>
      </w:r>
    </w:p>
    <w:p w14:paraId="26D7C178" w14:textId="39AAE657" w:rsidR="00691EA7" w:rsidRPr="00AB47C0" w:rsidRDefault="004E000C" w:rsidP="00384755">
      <w:pPr>
        <w:pStyle w:val="Nagwek3"/>
        <w:rPr>
          <w:color w:val="70AD47" w:themeColor="accent6"/>
        </w:rPr>
      </w:pPr>
      <w:bookmarkStart w:id="19" w:name="_Toc159598284"/>
      <w:bookmarkStart w:id="20" w:name="_Toc179536932"/>
      <w:r w:rsidRPr="00AB47C0">
        <w:rPr>
          <w:color w:val="70AD47" w:themeColor="accent6"/>
        </w:rPr>
        <w:lastRenderedPageBreak/>
        <w:t>Redukcja e</w:t>
      </w:r>
      <w:r w:rsidR="00691EA7" w:rsidRPr="00AB47C0">
        <w:rPr>
          <w:color w:val="70AD47" w:themeColor="accent6"/>
        </w:rPr>
        <w:t>misj</w:t>
      </w:r>
      <w:r w:rsidRPr="00AB47C0">
        <w:rPr>
          <w:color w:val="70AD47" w:themeColor="accent6"/>
        </w:rPr>
        <w:t>i</w:t>
      </w:r>
      <w:r w:rsidR="00691EA7" w:rsidRPr="00AB47C0">
        <w:rPr>
          <w:color w:val="70AD47" w:themeColor="accent6"/>
        </w:rPr>
        <w:t xml:space="preserve"> gazów cieplarnianych</w:t>
      </w:r>
      <w:r w:rsidR="00217F28">
        <w:rPr>
          <w:color w:val="70AD47" w:themeColor="accent6"/>
        </w:rPr>
        <w:t xml:space="preserve"> i wzrost wykorzystania odnawialnych źródeł energii</w:t>
      </w:r>
      <w:r w:rsidR="00810DCA" w:rsidRPr="00AB47C0">
        <w:rPr>
          <w:color w:val="70AD47" w:themeColor="accent6"/>
        </w:rPr>
        <w:t xml:space="preserve"> (cel</w:t>
      </w:r>
      <w:r w:rsidR="00713E45">
        <w:rPr>
          <w:color w:val="70AD47" w:themeColor="accent6"/>
        </w:rPr>
        <w:t>e</w:t>
      </w:r>
      <w:r w:rsidR="00810DCA" w:rsidRPr="00AB47C0">
        <w:rPr>
          <w:color w:val="70AD47" w:themeColor="accent6"/>
        </w:rPr>
        <w:t xml:space="preserve"> ogóln</w:t>
      </w:r>
      <w:r w:rsidR="00713E45">
        <w:rPr>
          <w:color w:val="70AD47" w:themeColor="accent6"/>
        </w:rPr>
        <w:t>e</w:t>
      </w:r>
      <w:r w:rsidR="00810DCA" w:rsidRPr="00AB47C0">
        <w:rPr>
          <w:color w:val="70AD47" w:themeColor="accent6"/>
        </w:rPr>
        <w:t>)</w:t>
      </w:r>
      <w:bookmarkEnd w:id="19"/>
      <w:bookmarkEnd w:id="20"/>
    </w:p>
    <w:p w14:paraId="77F10103" w14:textId="47B68A77" w:rsidR="00C16FF6" w:rsidRDefault="00DE0CED" w:rsidP="00CF407B">
      <w:r>
        <w:rPr>
          <w:noProof/>
        </w:rPr>
        <mc:AlternateContent>
          <mc:Choice Requires="wps">
            <w:drawing>
              <wp:anchor distT="0" distB="0" distL="114300" distR="114300" simplePos="0" relativeHeight="251629568" behindDoc="1" locked="0" layoutInCell="1" allowOverlap="1" wp14:anchorId="6BEB65F3" wp14:editId="410B8C10">
                <wp:simplePos x="0" y="0"/>
                <wp:positionH relativeFrom="margin">
                  <wp:align>right</wp:align>
                </wp:positionH>
                <wp:positionV relativeFrom="paragraph">
                  <wp:posOffset>71755</wp:posOffset>
                </wp:positionV>
                <wp:extent cx="3498850" cy="2119630"/>
                <wp:effectExtent l="19050" t="57150" r="101600" b="52070"/>
                <wp:wrapSquare wrapText="bothSides"/>
                <wp:docPr id="2037235201" name="Prostokąt: zaokrąglone rogi 7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498850" cy="2119630"/>
                        </a:xfrm>
                        <a:prstGeom prst="roundRect">
                          <a:avLst>
                            <a:gd name="adj" fmla="val 11857"/>
                          </a:avLst>
                        </a:prstGeom>
                        <a:solidFill>
                          <a:schemeClr val="bg1"/>
                        </a:solidFill>
                        <a:ln w="6350">
                          <a:solidFill>
                            <a:schemeClr val="accent6"/>
                          </a:solidFill>
                        </a:ln>
                        <a:effectLst>
                          <a:outerShdw blurRad="50800" dist="38100" algn="l"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txbx>
                        <w:txbxContent>
                          <w:p w14:paraId="52195576" w14:textId="1A996A68" w:rsidR="00832E72" w:rsidRPr="00B64F0D" w:rsidRDefault="004E7B0B" w:rsidP="00B64F0D">
                            <w:pPr>
                              <w:pStyle w:val="Ramka"/>
                            </w:pPr>
                            <w:r w:rsidRPr="00B64F0D">
                              <w:t xml:space="preserve">Na </w:t>
                            </w:r>
                            <w:r w:rsidR="00966AE9">
                              <w:t xml:space="preserve">krajowe </w:t>
                            </w:r>
                            <w:r w:rsidRPr="00B64F0D">
                              <w:t>emisje GC składają się emisj</w:t>
                            </w:r>
                            <w:r w:rsidR="007C40B3" w:rsidRPr="00B64F0D">
                              <w:t>e</w:t>
                            </w:r>
                            <w:r w:rsidRPr="00B64F0D">
                              <w:t xml:space="preserve"> z różnych sektorów gospodarki, które </w:t>
                            </w:r>
                            <w:r w:rsidR="00832E72" w:rsidRPr="00B64F0D">
                              <w:t>dzieli się według dwóch wiodących</w:t>
                            </w:r>
                            <w:r w:rsidRPr="00B64F0D">
                              <w:t xml:space="preserve"> metodyk.</w:t>
                            </w:r>
                          </w:p>
                          <w:p w14:paraId="3655D439" w14:textId="72043F75" w:rsidR="004E7B0B" w:rsidRPr="00B64F0D" w:rsidRDefault="004E7B0B" w:rsidP="00B64F0D">
                            <w:pPr>
                              <w:pStyle w:val="Ramka"/>
                            </w:pPr>
                            <w:r w:rsidRPr="00B64F0D">
                              <w:t xml:space="preserve">Według metodyki przyjętej przez </w:t>
                            </w:r>
                            <w:r w:rsidRPr="00402433">
                              <w:t xml:space="preserve">Międzyrządowy Zespół ds. Zmian Klimatu (IPCC, ang. </w:t>
                            </w:r>
                            <w:r w:rsidRPr="00402433">
                              <w:rPr>
                                <w:i/>
                                <w:iCs/>
                              </w:rPr>
                              <w:t>Intergovernmental Panel on Climate Change</w:t>
                            </w:r>
                            <w:r w:rsidRPr="00402433">
                              <w:t>) emisj</w:t>
                            </w:r>
                            <w:r w:rsidR="00DD662F" w:rsidRPr="00402433">
                              <w:t>e</w:t>
                            </w:r>
                            <w:r w:rsidRPr="00402433">
                              <w:t xml:space="preserve"> </w:t>
                            </w:r>
                            <w:r w:rsidR="00F152AD" w:rsidRPr="00402433">
                              <w:t>przypisuje się do se</w:t>
                            </w:r>
                            <w:r w:rsidR="00F152AD" w:rsidRPr="00B64F0D">
                              <w:t xml:space="preserve">ktorów: </w:t>
                            </w:r>
                            <w:r w:rsidR="006F7B0C">
                              <w:t xml:space="preserve">(1) </w:t>
                            </w:r>
                            <w:r w:rsidRPr="00B64F0D">
                              <w:t xml:space="preserve">energii; </w:t>
                            </w:r>
                            <w:r w:rsidR="006F7B0C">
                              <w:t>(2) </w:t>
                            </w:r>
                            <w:r w:rsidRPr="00B64F0D">
                              <w:t xml:space="preserve">procesów przemysłowych i użytkowania produktów; </w:t>
                            </w:r>
                            <w:r w:rsidR="006F7B0C">
                              <w:t>(3) </w:t>
                            </w:r>
                            <w:r w:rsidRPr="00B64F0D">
                              <w:t xml:space="preserve">rolnictwa; </w:t>
                            </w:r>
                            <w:r w:rsidR="006F7B0C">
                              <w:t>(5) </w:t>
                            </w:r>
                            <w:r w:rsidRPr="00B64F0D">
                              <w:t xml:space="preserve">odpadów; </w:t>
                            </w:r>
                            <w:r w:rsidR="002057D7">
                              <w:t>przy czym</w:t>
                            </w:r>
                            <w:r w:rsidR="00832E72" w:rsidRPr="00B64F0D">
                              <w:t xml:space="preserve"> </w:t>
                            </w:r>
                            <w:r w:rsidR="006F7B0C">
                              <w:t xml:space="preserve">(4) </w:t>
                            </w:r>
                            <w:r w:rsidR="00832E72" w:rsidRPr="00B64F0D">
                              <w:t xml:space="preserve">LULUCF </w:t>
                            </w:r>
                            <w:r w:rsidRPr="00B64F0D">
                              <w:t>może prowadzić do kompensowania emisji z</w:t>
                            </w:r>
                            <w:r w:rsidR="00402433">
                              <w:t> p</w:t>
                            </w:r>
                            <w:r w:rsidRPr="00B64F0D">
                              <w:t>ozostałych sektorów.</w:t>
                            </w:r>
                          </w:p>
                          <w:p w14:paraId="15BB6973" w14:textId="0A93DB72" w:rsidR="004E7B0B" w:rsidRPr="00B64F0D" w:rsidRDefault="00F152AD" w:rsidP="00B64F0D">
                            <w:pPr>
                              <w:pStyle w:val="Ramka"/>
                            </w:pPr>
                            <w:r w:rsidRPr="00B64F0D">
                              <w:t>Drugi podział</w:t>
                            </w:r>
                            <w:r w:rsidR="00832E72" w:rsidRPr="00B64F0D">
                              <w:t xml:space="preserve"> związany jest z </w:t>
                            </w:r>
                            <w:r w:rsidR="004E7B0B" w:rsidRPr="00B64F0D">
                              <w:t>unijnym systemem handlu uprawnieniami do emisji –</w:t>
                            </w:r>
                            <w:r w:rsidR="00966AE9">
                              <w:t xml:space="preserve"> </w:t>
                            </w:r>
                            <w:r w:rsidR="009A021C">
                              <w:t>na sektory objęte</w:t>
                            </w:r>
                            <w:r w:rsidR="004E7B0B" w:rsidRPr="00B64F0D">
                              <w:t xml:space="preserve"> EU ETS</w:t>
                            </w:r>
                            <w:r w:rsidR="00832E72" w:rsidRPr="00B64F0D">
                              <w:t xml:space="preserve"> </w:t>
                            </w:r>
                            <w:r w:rsidR="004E7B0B" w:rsidRPr="00B64F0D">
                              <w:t xml:space="preserve">oraz </w:t>
                            </w:r>
                            <w:r w:rsidR="00832E72" w:rsidRPr="00B64F0D">
                              <w:t>nieobjęte tym systemem</w:t>
                            </w:r>
                            <w:r w:rsidR="004E7B0B" w:rsidRPr="00B64F0D">
                              <w:t xml:space="preserve"> – non-ETS.</w:t>
                            </w:r>
                          </w:p>
                        </w:txbxContent>
                      </wps:txbx>
                      <wps:bodyPr rot="0" spcFirstLastPara="0" vertOverflow="overflow" horzOverflow="overflow" vert="horz" wrap="square" lIns="72000" tIns="90000" rIns="72000" bIns="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6BEB65F3" id="Prostokąt: zaokrąglone rogi 79" o:spid="_x0000_s1059" style="position:absolute;left:0;text-align:left;margin-left:224.3pt;margin-top:5.65pt;width:275.5pt;height:166.9pt;z-index:-25168691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arcsize="777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" fillcolor="white [3212]" strokecolor="#70ad47 [3209]" strokeweight=".5pt">
                <v:stroke joinstyle="miter"/>
                <v:shadow on="t" color="black" opacity="26214f" origin="-.5" offset="3pt,0"/>
                <v:path arrowok="t"/>
                <v:textbox style="mso-fit-shape-to-text:t" inset="2mm,2.5mm,2mm,0">
                  <w:txbxContent>
                    <w:p w14:paraId="52195576" w14:textId="1A996A68" w:rsidR="00832E72" w:rsidRPr="00B64F0D" w:rsidRDefault="004E7B0B" w:rsidP="00B64F0D">
                      <w:pPr>
                        <w:pStyle w:val="Ramka"/>
                      </w:pPr>
                      <w:r w:rsidRPr="00B64F0D">
                        <w:t xml:space="preserve">Na </w:t>
                      </w:r>
                      <w:r w:rsidR="00966AE9">
                        <w:t xml:space="preserve">krajowe </w:t>
                      </w:r>
                      <w:r w:rsidRPr="00B64F0D">
                        <w:t>emisje GC składają się emisj</w:t>
                      </w:r>
                      <w:r w:rsidR="007C40B3" w:rsidRPr="00B64F0D">
                        <w:t>e</w:t>
                      </w:r>
                      <w:r w:rsidRPr="00B64F0D">
                        <w:t xml:space="preserve"> z różnych sektorów gospodarki, które </w:t>
                      </w:r>
                      <w:r w:rsidR="00832E72" w:rsidRPr="00B64F0D">
                        <w:t>dzieli się według dwóch wiodących</w:t>
                      </w:r>
                      <w:r w:rsidRPr="00B64F0D">
                        <w:t xml:space="preserve"> metodyk.</w:t>
                      </w:r>
                    </w:p>
                    <w:p w14:paraId="3655D439" w14:textId="72043F75" w:rsidR="004E7B0B" w:rsidRPr="00B64F0D" w:rsidRDefault="004E7B0B" w:rsidP="00B64F0D">
                      <w:pPr>
                        <w:pStyle w:val="Ramka"/>
                      </w:pPr>
                      <w:r w:rsidRPr="00B64F0D">
                        <w:t xml:space="preserve">Według metodyki przyjętej przez </w:t>
                      </w:r>
                      <w:r w:rsidRPr="00402433">
                        <w:t xml:space="preserve">Międzyrządowy Zespół ds. Zmian Klimatu (IPCC, ang. </w:t>
                      </w:r>
                      <w:r w:rsidRPr="00402433">
                        <w:rPr>
                          <w:i/>
                          <w:iCs/>
                        </w:rPr>
                        <w:t>Intergovernmental Panel on Climate Change</w:t>
                      </w:r>
                      <w:r w:rsidRPr="00402433">
                        <w:t>) emisj</w:t>
                      </w:r>
                      <w:r w:rsidR="00DD662F" w:rsidRPr="00402433">
                        <w:t>e</w:t>
                      </w:r>
                      <w:r w:rsidRPr="00402433">
                        <w:t xml:space="preserve"> </w:t>
                      </w:r>
                      <w:r w:rsidR="00F152AD" w:rsidRPr="00402433">
                        <w:t>przypisuje się do se</w:t>
                      </w:r>
                      <w:r w:rsidR="00F152AD" w:rsidRPr="00B64F0D">
                        <w:t xml:space="preserve">ktorów: </w:t>
                      </w:r>
                      <w:r w:rsidR="006F7B0C">
                        <w:t xml:space="preserve">(1) </w:t>
                      </w:r>
                      <w:r w:rsidRPr="00B64F0D">
                        <w:t xml:space="preserve">energii; </w:t>
                      </w:r>
                      <w:r w:rsidR="006F7B0C">
                        <w:t>(2) </w:t>
                      </w:r>
                      <w:r w:rsidRPr="00B64F0D">
                        <w:t xml:space="preserve">procesów przemysłowych i użytkowania produktów; </w:t>
                      </w:r>
                      <w:r w:rsidR="006F7B0C">
                        <w:t>(3) </w:t>
                      </w:r>
                      <w:r w:rsidRPr="00B64F0D">
                        <w:t xml:space="preserve">rolnictwa; </w:t>
                      </w:r>
                      <w:r w:rsidR="006F7B0C">
                        <w:t>(5) </w:t>
                      </w:r>
                      <w:r w:rsidRPr="00B64F0D">
                        <w:t xml:space="preserve">odpadów; </w:t>
                      </w:r>
                      <w:r w:rsidR="002057D7">
                        <w:t>przy czym</w:t>
                      </w:r>
                      <w:r w:rsidR="00832E72" w:rsidRPr="00B64F0D">
                        <w:t xml:space="preserve"> </w:t>
                      </w:r>
                      <w:r w:rsidR="006F7B0C">
                        <w:t xml:space="preserve">(4) </w:t>
                      </w:r>
                      <w:r w:rsidR="00832E72" w:rsidRPr="00B64F0D">
                        <w:t xml:space="preserve">LULUCF </w:t>
                      </w:r>
                      <w:r w:rsidRPr="00B64F0D">
                        <w:t>może prowadzić do kompensowania emisji z</w:t>
                      </w:r>
                      <w:r w:rsidR="00402433">
                        <w:t> p</w:t>
                      </w:r>
                      <w:r w:rsidRPr="00B64F0D">
                        <w:t>ozostałych sektorów.</w:t>
                      </w:r>
                    </w:p>
                    <w:p w14:paraId="15BB6973" w14:textId="0A93DB72" w:rsidR="004E7B0B" w:rsidRPr="00B64F0D" w:rsidRDefault="00F152AD" w:rsidP="00B64F0D">
                      <w:pPr>
                        <w:pStyle w:val="Ramka"/>
                      </w:pPr>
                      <w:r w:rsidRPr="00B64F0D">
                        <w:t>Drugi podział</w:t>
                      </w:r>
                      <w:r w:rsidR="00832E72" w:rsidRPr="00B64F0D">
                        <w:t xml:space="preserve"> związany jest z </w:t>
                      </w:r>
                      <w:r w:rsidR="004E7B0B" w:rsidRPr="00B64F0D">
                        <w:t>unijnym systemem handlu uprawnieniami do emisji –</w:t>
                      </w:r>
                      <w:r w:rsidR="00966AE9">
                        <w:t xml:space="preserve"> </w:t>
                      </w:r>
                      <w:r w:rsidR="009A021C">
                        <w:t>na sektory objęte</w:t>
                      </w:r>
                      <w:r w:rsidR="004E7B0B" w:rsidRPr="00B64F0D">
                        <w:t xml:space="preserve"> EU ETS</w:t>
                      </w:r>
                      <w:r w:rsidR="00832E72" w:rsidRPr="00B64F0D">
                        <w:t xml:space="preserve"> </w:t>
                      </w:r>
                      <w:r w:rsidR="004E7B0B" w:rsidRPr="00B64F0D">
                        <w:t xml:space="preserve">oraz </w:t>
                      </w:r>
                      <w:r w:rsidR="00832E72" w:rsidRPr="00B64F0D">
                        <w:t>nieobjęte tym systemem</w:t>
                      </w:r>
                      <w:r w:rsidR="004E7B0B" w:rsidRPr="00B64F0D">
                        <w:t xml:space="preserve"> – non-ETS.</w:t>
                      </w:r>
                    </w:p>
                  </w:txbxContent>
                </v:textbox>
                <w10:wrap type="square" anchorx="margin"/>
              </v:roundrect>
            </w:pict>
          </mc:Fallback>
        </mc:AlternateContent>
      </w:r>
      <w:r w:rsidR="00C16FF6">
        <w:t xml:space="preserve">W tej części wskazano </w:t>
      </w:r>
      <w:r w:rsidR="00C16FF6" w:rsidRPr="00F1593B">
        <w:rPr>
          <w:b/>
          <w:bCs/>
        </w:rPr>
        <w:t>cel redukcji emisji G</w:t>
      </w:r>
      <w:r w:rsidR="002E068E" w:rsidRPr="00F1593B">
        <w:rPr>
          <w:b/>
          <w:bCs/>
        </w:rPr>
        <w:t>C</w:t>
      </w:r>
      <w:r w:rsidR="00C16FF6" w:rsidRPr="00F1593B">
        <w:rPr>
          <w:b/>
          <w:bCs/>
        </w:rPr>
        <w:t xml:space="preserve"> dla całej gospodarki oraz dla sektorów non-ETS</w:t>
      </w:r>
      <w:r w:rsidR="0036616A">
        <w:rPr>
          <w:rStyle w:val="Odwoanieprzypisudolnego"/>
          <w:b/>
          <w:bCs/>
        </w:rPr>
        <w:footnoteReference w:id="4"/>
      </w:r>
      <w:r w:rsidR="00C16FF6">
        <w:t xml:space="preserve">. Oba cele wskazano na podstawie analiz prognostycznych. </w:t>
      </w:r>
      <w:r w:rsidR="007C40B3" w:rsidRPr="00F1593B">
        <w:rPr>
          <w:b/>
          <w:bCs/>
        </w:rPr>
        <w:t>W</w:t>
      </w:r>
      <w:r w:rsidR="00C16FF6" w:rsidRPr="00F1593B">
        <w:rPr>
          <w:b/>
          <w:bCs/>
        </w:rPr>
        <w:t>artość redukcji emisji w</w:t>
      </w:r>
      <w:r w:rsidR="00966AE9">
        <w:rPr>
          <w:b/>
          <w:bCs/>
        </w:rPr>
        <w:t xml:space="preserve"> </w:t>
      </w:r>
      <w:r w:rsidR="00C16FF6" w:rsidRPr="00F1593B">
        <w:rPr>
          <w:b/>
          <w:bCs/>
        </w:rPr>
        <w:t xml:space="preserve">sektorach objętych </w:t>
      </w:r>
      <w:r w:rsidR="006C6123" w:rsidRPr="00F1593B">
        <w:rPr>
          <w:b/>
          <w:bCs/>
        </w:rPr>
        <w:t>systemem handlu uprawnieniami do emisji –</w:t>
      </w:r>
      <w:r w:rsidR="00C16FF6" w:rsidRPr="00F1593B">
        <w:rPr>
          <w:b/>
          <w:bCs/>
        </w:rPr>
        <w:t xml:space="preserve"> </w:t>
      </w:r>
      <w:r w:rsidR="006C6123" w:rsidRPr="00F1593B">
        <w:rPr>
          <w:rFonts w:cs="Calibri"/>
          <w:b/>
          <w:bCs/>
        </w:rPr>
        <w:t>EU ETS</w:t>
      </w:r>
      <w:r w:rsidR="006C6123">
        <w:rPr>
          <w:rFonts w:cs="Calibri"/>
          <w:bCs/>
        </w:rPr>
        <w:t xml:space="preserve"> (</w:t>
      </w:r>
      <w:r w:rsidR="006C6123" w:rsidRPr="00B5086C">
        <w:t xml:space="preserve">ang. </w:t>
      </w:r>
      <w:r w:rsidR="006C6123" w:rsidRPr="002A6DFA">
        <w:rPr>
          <w:i/>
        </w:rPr>
        <w:t>European Union Emissions Trading System</w:t>
      </w:r>
      <w:r w:rsidR="006C6123">
        <w:rPr>
          <w:rFonts w:cs="Calibri"/>
          <w:bCs/>
        </w:rPr>
        <w:t xml:space="preserve">) </w:t>
      </w:r>
      <w:r w:rsidR="00C16FF6">
        <w:t xml:space="preserve">nie została określona jako cel, </w:t>
      </w:r>
      <w:r w:rsidR="007C40B3">
        <w:t>lecz jako prognoza skutków podejmowanych działań.</w:t>
      </w:r>
      <w:r w:rsidR="00402433">
        <w:t xml:space="preserve"> </w:t>
      </w:r>
    </w:p>
    <w:p w14:paraId="1BE751B4" w14:textId="32AE6043" w:rsidR="00402433" w:rsidRDefault="00402433" w:rsidP="00CF407B">
      <w:pPr>
        <w:rPr>
          <w:i/>
          <w:iCs/>
        </w:rPr>
      </w:pPr>
      <w:r w:rsidRPr="00402433">
        <w:rPr>
          <w:i/>
          <w:iCs/>
        </w:rPr>
        <w:t>W dalszej części dokumentu określono też cele i działania w podziale na sektory gospodarki rozumiane</w:t>
      </w:r>
      <w:r w:rsidR="006F7B0C">
        <w:rPr>
          <w:i/>
          <w:iCs/>
        </w:rPr>
        <w:t xml:space="preserve"> w sposób zbliżony do </w:t>
      </w:r>
      <w:r w:rsidR="006F7B0C" w:rsidRPr="00402433">
        <w:rPr>
          <w:i/>
          <w:iCs/>
        </w:rPr>
        <w:t xml:space="preserve">klasyfikacji </w:t>
      </w:r>
      <w:r w:rsidR="00BC3AD5">
        <w:rPr>
          <w:i/>
          <w:iCs/>
        </w:rPr>
        <w:t xml:space="preserve">IPCC, </w:t>
      </w:r>
      <w:r>
        <w:rPr>
          <w:i/>
          <w:iCs/>
        </w:rPr>
        <w:t>dzięki</w:t>
      </w:r>
      <w:r w:rsidR="002057D7">
        <w:rPr>
          <w:i/>
          <w:iCs/>
        </w:rPr>
        <w:t> </w:t>
      </w:r>
      <w:r>
        <w:rPr>
          <w:i/>
          <w:iCs/>
        </w:rPr>
        <w:t xml:space="preserve">czemu </w:t>
      </w:r>
      <w:r w:rsidR="00783334">
        <w:rPr>
          <w:i/>
          <w:iCs/>
        </w:rPr>
        <w:t>łatwiejsze będzie określenie w jaki sposób osiągan</w:t>
      </w:r>
      <w:r w:rsidR="00B613FC">
        <w:rPr>
          <w:i/>
          <w:iCs/>
        </w:rPr>
        <w:t>y</w:t>
      </w:r>
      <w:r w:rsidR="00783334">
        <w:rPr>
          <w:i/>
          <w:iCs/>
        </w:rPr>
        <w:t xml:space="preserve"> będ</w:t>
      </w:r>
      <w:r w:rsidR="00713E45">
        <w:rPr>
          <w:i/>
          <w:iCs/>
        </w:rPr>
        <w:t>zie</w:t>
      </w:r>
      <w:r w:rsidR="00783334">
        <w:rPr>
          <w:i/>
          <w:iCs/>
        </w:rPr>
        <w:t xml:space="preserve"> cel </w:t>
      </w:r>
      <w:r w:rsidR="00B613FC">
        <w:rPr>
          <w:i/>
          <w:iCs/>
        </w:rPr>
        <w:t>ogólny</w:t>
      </w:r>
      <w:r w:rsidR="00783334">
        <w:rPr>
          <w:i/>
          <w:iCs/>
        </w:rPr>
        <w:t xml:space="preserve">. </w:t>
      </w:r>
    </w:p>
    <w:p w14:paraId="60E589C4" w14:textId="5466C898" w:rsidR="001928BC" w:rsidRDefault="00DE0CED" w:rsidP="00CF407B">
      <w:pPr>
        <w:rPr>
          <w:i/>
          <w:iCs/>
        </w:rPr>
      </w:pPr>
      <w:r>
        <w:rPr>
          <w:noProof/>
        </w:rPr>
        <mc:AlternateContent>
          <mc:Choice Requires="wps">
            <w:drawing>
              <wp:anchor distT="0" distB="0" distL="114300" distR="114300" simplePos="0" relativeHeight="251696128" behindDoc="1" locked="0" layoutInCell="1" allowOverlap="1" wp14:anchorId="261982A5" wp14:editId="2356CF98">
                <wp:simplePos x="0" y="0"/>
                <wp:positionH relativeFrom="margin">
                  <wp:align>right</wp:align>
                </wp:positionH>
                <wp:positionV relativeFrom="paragraph">
                  <wp:posOffset>265430</wp:posOffset>
                </wp:positionV>
                <wp:extent cx="2741295" cy="2060575"/>
                <wp:effectExtent l="19050" t="57150" r="97155" b="59690"/>
                <wp:wrapSquare wrapText="bothSides"/>
                <wp:docPr id="2114936255" name="Prostokąt: zaokrąglone rogi 7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741295" cy="2060575"/>
                        </a:xfrm>
                        <a:prstGeom prst="roundRect">
                          <a:avLst>
                            <a:gd name="adj" fmla="val 11857"/>
                          </a:avLst>
                        </a:prstGeom>
                        <a:solidFill>
                          <a:schemeClr val="bg1"/>
                        </a:solidFill>
                        <a:ln w="9525">
                          <a:solidFill>
                            <a:schemeClr val="accent6"/>
                          </a:solidFill>
                        </a:ln>
                        <a:effectLst>
                          <a:outerShdw blurRad="50800" dist="38100" algn="l"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txbx>
                        <w:txbxContent>
                          <w:p w14:paraId="7710FE52" w14:textId="1F20A7D3" w:rsidR="001928BC" w:rsidRDefault="001928BC" w:rsidP="00AC3BAF">
                            <w:pPr>
                              <w:jc w:val="center"/>
                              <w:rPr>
                                <w:color w:val="000000" w:themeColor="text1"/>
                                <w:sz w:val="18"/>
                                <w:szCs w:val="18"/>
                              </w:rPr>
                            </w:pPr>
                            <w:r>
                              <w:rPr>
                                <w:color w:val="000000" w:themeColor="text1"/>
                                <w:sz w:val="18"/>
                                <w:szCs w:val="18"/>
                              </w:rPr>
                              <w:t>Na cel wykorzystani</w:t>
                            </w:r>
                            <w:r w:rsidR="0036745E">
                              <w:rPr>
                                <w:color w:val="000000" w:themeColor="text1"/>
                                <w:sz w:val="18"/>
                                <w:szCs w:val="18"/>
                              </w:rPr>
                              <w:t>a</w:t>
                            </w:r>
                            <w:r>
                              <w:rPr>
                                <w:color w:val="000000" w:themeColor="text1"/>
                                <w:sz w:val="18"/>
                                <w:szCs w:val="18"/>
                              </w:rPr>
                              <w:t xml:space="preserve"> OZE w finalnym zużyci</w:t>
                            </w:r>
                            <w:r w:rsidR="000A7B74">
                              <w:rPr>
                                <w:color w:val="000000" w:themeColor="text1"/>
                                <w:sz w:val="18"/>
                                <w:szCs w:val="18"/>
                              </w:rPr>
                              <w:t>u</w:t>
                            </w:r>
                            <w:r>
                              <w:rPr>
                                <w:color w:val="000000" w:themeColor="text1"/>
                                <w:sz w:val="18"/>
                                <w:szCs w:val="18"/>
                              </w:rPr>
                              <w:t xml:space="preserve"> energii brutto (cel ogólny) składa się wykorzystanie OZE </w:t>
                            </w:r>
                            <w:r w:rsidR="000A7B74">
                              <w:rPr>
                                <w:color w:val="000000" w:themeColor="text1"/>
                                <w:sz w:val="18"/>
                                <w:szCs w:val="18"/>
                              </w:rPr>
                              <w:t>w</w:t>
                            </w:r>
                            <w:r w:rsidR="00AC3BAF">
                              <w:rPr>
                                <w:color w:val="000000" w:themeColor="text1"/>
                                <w:sz w:val="18"/>
                                <w:szCs w:val="18"/>
                              </w:rPr>
                              <w:t>:</w:t>
                            </w:r>
                            <w:r w:rsidR="00AC3BAF">
                              <w:rPr>
                                <w:color w:val="000000" w:themeColor="text1"/>
                                <w:sz w:val="18"/>
                                <w:szCs w:val="18"/>
                              </w:rPr>
                              <w:br/>
                            </w:r>
                            <w:r w:rsidR="000A7B74">
                              <w:rPr>
                                <w:color w:val="000000" w:themeColor="text1"/>
                                <w:sz w:val="18"/>
                                <w:szCs w:val="18"/>
                              </w:rPr>
                              <w:t xml:space="preserve"> </w:t>
                            </w:r>
                            <w:r>
                              <w:rPr>
                                <w:color w:val="000000" w:themeColor="text1"/>
                                <w:sz w:val="18"/>
                                <w:szCs w:val="18"/>
                              </w:rPr>
                              <w:t xml:space="preserve">(1) w elektroenergetyce, </w:t>
                            </w:r>
                            <w:r>
                              <w:rPr>
                                <w:color w:val="000000" w:themeColor="text1"/>
                                <w:sz w:val="18"/>
                                <w:szCs w:val="18"/>
                              </w:rPr>
                              <w:br/>
                              <w:t xml:space="preserve">(2) w ciepłownictwie i chłodnictwie oraz </w:t>
                            </w:r>
                            <w:r>
                              <w:rPr>
                                <w:color w:val="000000" w:themeColor="text1"/>
                                <w:sz w:val="18"/>
                                <w:szCs w:val="18"/>
                              </w:rPr>
                              <w:br/>
                              <w:t>(3) w transporcie</w:t>
                            </w:r>
                            <w:r w:rsidRPr="004E21CF">
                              <w:rPr>
                                <w:color w:val="000000" w:themeColor="text1"/>
                                <w:sz w:val="18"/>
                                <w:szCs w:val="18"/>
                              </w:rPr>
                              <w:t>.</w:t>
                            </w:r>
                            <w:r>
                              <w:rPr>
                                <w:color w:val="000000" w:themeColor="text1"/>
                                <w:sz w:val="18"/>
                                <w:szCs w:val="18"/>
                              </w:rPr>
                              <w:t xml:space="preserve"> </w:t>
                            </w:r>
                          </w:p>
                          <w:p w14:paraId="61F996E2" w14:textId="31C445AA" w:rsidR="001928BC" w:rsidRPr="004E21CF" w:rsidRDefault="001928BC" w:rsidP="001928BC">
                            <w:pPr>
                              <w:jc w:val="center"/>
                              <w:rPr>
                                <w:color w:val="000000" w:themeColor="text1"/>
                                <w:sz w:val="18"/>
                                <w:szCs w:val="18"/>
                              </w:rPr>
                            </w:pPr>
                            <w:r>
                              <w:rPr>
                                <w:color w:val="000000" w:themeColor="text1"/>
                                <w:sz w:val="18"/>
                                <w:szCs w:val="18"/>
                              </w:rPr>
                              <w:t xml:space="preserve">Największa ilość energii wykorzystywana jest w Polsce na cele ciepłownicze, dlatego przyrost OZE w tym sektorze o </w:t>
                            </w:r>
                            <w:r w:rsidR="000A7B74">
                              <w:rPr>
                                <w:color w:val="000000" w:themeColor="text1"/>
                                <w:sz w:val="18"/>
                                <w:szCs w:val="18"/>
                              </w:rPr>
                              <w:t xml:space="preserve">np. </w:t>
                            </w:r>
                            <w:r>
                              <w:rPr>
                                <w:color w:val="000000" w:themeColor="text1"/>
                                <w:sz w:val="18"/>
                                <w:szCs w:val="18"/>
                              </w:rPr>
                              <w:t xml:space="preserve">1 pkt proc. oznacza w wartościach bezwzględnych znacznie większą ilość </w:t>
                            </w:r>
                            <w:r w:rsidR="000A7B74">
                              <w:rPr>
                                <w:color w:val="000000" w:themeColor="text1"/>
                                <w:sz w:val="18"/>
                                <w:szCs w:val="18"/>
                              </w:rPr>
                              <w:t xml:space="preserve">OZE </w:t>
                            </w:r>
                            <w:r>
                              <w:rPr>
                                <w:color w:val="000000" w:themeColor="text1"/>
                                <w:sz w:val="18"/>
                                <w:szCs w:val="18"/>
                              </w:rPr>
                              <w:t xml:space="preserve">niż w pozostałych sektorach. </w:t>
                            </w:r>
                          </w:p>
                        </w:txbxContent>
                      </wps:txbx>
                      <wps:bodyPr rot="0" spcFirstLastPara="0" vertOverflow="overflow" horzOverflow="overflow" vert="horz" wrap="square" lIns="72000" tIns="90000" rIns="72000" bIns="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261982A5" id="Prostokąt: zaokrąglone rogi 78" o:spid="_x0000_s1060" style="position:absolute;left:0;text-align:left;margin-left:164.65pt;margin-top:20.9pt;width:215.85pt;height:162.25pt;z-index:-25162035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arcsize="777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" fillcolor="white [3212]" strokecolor="#70ad47 [3209]">
                <v:stroke joinstyle="miter"/>
                <v:shadow on="t" color="black" opacity="26214f" origin="-.5" offset="3pt,0"/>
                <v:path arrowok="t"/>
                <v:textbox style="mso-fit-shape-to-text:t" inset="2mm,2.5mm,2mm,0">
                  <w:txbxContent>
                    <w:p w14:paraId="7710FE52" w14:textId="1F20A7D3" w:rsidR="001928BC" w:rsidRDefault="001928BC" w:rsidP="00AC3BAF">
                      <w:pPr>
                        <w:jc w:val="center"/>
                        <w:rPr>
                          <w:color w:val="000000" w:themeColor="text1"/>
                          <w:sz w:val="18"/>
                          <w:szCs w:val="18"/>
                        </w:rPr>
                      </w:pPr>
                      <w:r>
                        <w:rPr>
                          <w:color w:val="000000" w:themeColor="text1"/>
                          <w:sz w:val="18"/>
                          <w:szCs w:val="18"/>
                        </w:rPr>
                        <w:t>Na cel wykorzystani</w:t>
                      </w:r>
                      <w:r w:rsidR="0036745E">
                        <w:rPr>
                          <w:color w:val="000000" w:themeColor="text1"/>
                          <w:sz w:val="18"/>
                          <w:szCs w:val="18"/>
                        </w:rPr>
                        <w:t>a</w:t>
                      </w:r>
                      <w:r>
                        <w:rPr>
                          <w:color w:val="000000" w:themeColor="text1"/>
                          <w:sz w:val="18"/>
                          <w:szCs w:val="18"/>
                        </w:rPr>
                        <w:t xml:space="preserve"> OZE w finalnym zużyci</w:t>
                      </w:r>
                      <w:r w:rsidR="000A7B74">
                        <w:rPr>
                          <w:color w:val="000000" w:themeColor="text1"/>
                          <w:sz w:val="18"/>
                          <w:szCs w:val="18"/>
                        </w:rPr>
                        <w:t>u</w:t>
                      </w:r>
                      <w:r>
                        <w:rPr>
                          <w:color w:val="000000" w:themeColor="text1"/>
                          <w:sz w:val="18"/>
                          <w:szCs w:val="18"/>
                        </w:rPr>
                        <w:t xml:space="preserve"> energii brutto (cel ogólny) składa się wykorzystanie OZE </w:t>
                      </w:r>
                      <w:r w:rsidR="000A7B74">
                        <w:rPr>
                          <w:color w:val="000000" w:themeColor="text1"/>
                          <w:sz w:val="18"/>
                          <w:szCs w:val="18"/>
                        </w:rPr>
                        <w:t>w</w:t>
                      </w:r>
                      <w:r w:rsidR="00AC3BAF">
                        <w:rPr>
                          <w:color w:val="000000" w:themeColor="text1"/>
                          <w:sz w:val="18"/>
                          <w:szCs w:val="18"/>
                        </w:rPr>
                        <w:t>:</w:t>
                      </w:r>
                      <w:r w:rsidR="00AC3BAF">
                        <w:rPr>
                          <w:color w:val="000000" w:themeColor="text1"/>
                          <w:sz w:val="18"/>
                          <w:szCs w:val="18"/>
                        </w:rPr>
                        <w:br/>
                      </w:r>
                      <w:r w:rsidR="000A7B74">
                        <w:rPr>
                          <w:color w:val="000000" w:themeColor="text1"/>
                          <w:sz w:val="18"/>
                          <w:szCs w:val="18"/>
                        </w:rPr>
                        <w:t xml:space="preserve"> </w:t>
                      </w:r>
                      <w:r>
                        <w:rPr>
                          <w:color w:val="000000" w:themeColor="text1"/>
                          <w:sz w:val="18"/>
                          <w:szCs w:val="18"/>
                        </w:rPr>
                        <w:t xml:space="preserve">(1) w elektroenergetyce, </w:t>
                      </w:r>
                      <w:r>
                        <w:rPr>
                          <w:color w:val="000000" w:themeColor="text1"/>
                          <w:sz w:val="18"/>
                          <w:szCs w:val="18"/>
                        </w:rPr>
                        <w:br/>
                        <w:t xml:space="preserve">(2) w ciepłownictwie i chłodnictwie oraz </w:t>
                      </w:r>
                      <w:r>
                        <w:rPr>
                          <w:color w:val="000000" w:themeColor="text1"/>
                          <w:sz w:val="18"/>
                          <w:szCs w:val="18"/>
                        </w:rPr>
                        <w:br/>
                        <w:t>(3) w transporcie</w:t>
                      </w:r>
                      <w:r w:rsidRPr="004E21CF">
                        <w:rPr>
                          <w:color w:val="000000" w:themeColor="text1"/>
                          <w:sz w:val="18"/>
                          <w:szCs w:val="18"/>
                        </w:rPr>
                        <w:t>.</w:t>
                      </w:r>
                      <w:r>
                        <w:rPr>
                          <w:color w:val="000000" w:themeColor="text1"/>
                          <w:sz w:val="18"/>
                          <w:szCs w:val="18"/>
                        </w:rPr>
                        <w:t xml:space="preserve"> </w:t>
                      </w:r>
                    </w:p>
                    <w:p w14:paraId="61F996E2" w14:textId="31C445AA" w:rsidR="001928BC" w:rsidRPr="004E21CF" w:rsidRDefault="001928BC" w:rsidP="001928BC">
                      <w:pPr>
                        <w:jc w:val="center"/>
                        <w:rPr>
                          <w:color w:val="000000" w:themeColor="text1"/>
                          <w:sz w:val="18"/>
                          <w:szCs w:val="18"/>
                        </w:rPr>
                      </w:pPr>
                      <w:r>
                        <w:rPr>
                          <w:color w:val="000000" w:themeColor="text1"/>
                          <w:sz w:val="18"/>
                          <w:szCs w:val="18"/>
                        </w:rPr>
                        <w:t xml:space="preserve">Największa ilość energii wykorzystywana jest w Polsce na cele ciepłownicze, dlatego przyrost OZE w tym sektorze o </w:t>
                      </w:r>
                      <w:r w:rsidR="000A7B74">
                        <w:rPr>
                          <w:color w:val="000000" w:themeColor="text1"/>
                          <w:sz w:val="18"/>
                          <w:szCs w:val="18"/>
                        </w:rPr>
                        <w:t xml:space="preserve">np. </w:t>
                      </w:r>
                      <w:r>
                        <w:rPr>
                          <w:color w:val="000000" w:themeColor="text1"/>
                          <w:sz w:val="18"/>
                          <w:szCs w:val="18"/>
                        </w:rPr>
                        <w:t xml:space="preserve">1 pkt proc. oznacza w wartościach bezwzględnych znacznie większą ilość </w:t>
                      </w:r>
                      <w:r w:rsidR="000A7B74">
                        <w:rPr>
                          <w:color w:val="000000" w:themeColor="text1"/>
                          <w:sz w:val="18"/>
                          <w:szCs w:val="18"/>
                        </w:rPr>
                        <w:t xml:space="preserve">OZE </w:t>
                      </w:r>
                      <w:r>
                        <w:rPr>
                          <w:color w:val="000000" w:themeColor="text1"/>
                          <w:sz w:val="18"/>
                          <w:szCs w:val="18"/>
                        </w:rPr>
                        <w:t xml:space="preserve">niż w pozostałych sektorach. </w:t>
                      </w:r>
                    </w:p>
                  </w:txbxContent>
                </v:textbox>
                <w10:wrap type="square" anchorx="margin"/>
              </v:roundrect>
            </w:pict>
          </mc:Fallback>
        </mc:AlternateContent>
      </w:r>
    </w:p>
    <w:p w14:paraId="3F1E491F" w14:textId="66AFB57E" w:rsidR="001928BC" w:rsidRDefault="00C349E3" w:rsidP="001928BC">
      <w:r>
        <w:t>Szczególną rolę w redukcji GC nadano przyrostowi wykorzystania OZE. Dlatego w</w:t>
      </w:r>
      <w:r w:rsidR="001928BC">
        <w:t xml:space="preserve"> tej części wskazano również cel w </w:t>
      </w:r>
      <w:r w:rsidR="001928BC" w:rsidRPr="00F1593B">
        <w:rPr>
          <w:b/>
          <w:bCs/>
        </w:rPr>
        <w:t xml:space="preserve">zakresie </w:t>
      </w:r>
      <w:r w:rsidR="006602D2">
        <w:rPr>
          <w:b/>
          <w:bCs/>
        </w:rPr>
        <w:t>udziału</w:t>
      </w:r>
      <w:r w:rsidR="001928BC" w:rsidRPr="00F1593B">
        <w:rPr>
          <w:b/>
          <w:bCs/>
        </w:rPr>
        <w:t xml:space="preserve"> odnawialnych źródeł energii w finalnym zużyciu energii brutto</w:t>
      </w:r>
      <w:r w:rsidR="001928BC">
        <w:t xml:space="preserve">. </w:t>
      </w:r>
    </w:p>
    <w:p w14:paraId="07E80F1E" w14:textId="4A7E8645" w:rsidR="001928BC" w:rsidRDefault="001928BC" w:rsidP="001928BC">
      <w:r>
        <w:t>Dotychczasowa dyrektywa RED II i</w:t>
      </w:r>
      <w:r w:rsidR="000A7B74">
        <w:t xml:space="preserve"> </w:t>
      </w:r>
      <w:r>
        <w:t xml:space="preserve">nowa dyrektywa RED III wskazują cele sektorowe (i szczegółowe) w obszarze ciepłownictwa i chłodnictwa oraz transportu. </w:t>
      </w:r>
      <w:bookmarkStart w:id="21" w:name="_Hlk159523834"/>
      <w:r>
        <w:t xml:space="preserve">Dla sektora wytwarzania energii </w:t>
      </w:r>
      <w:r w:rsidR="0036745E">
        <w:t xml:space="preserve">elektrycznej </w:t>
      </w:r>
      <w:r>
        <w:t>zostały określone cele na poziomie regulacji UE, a</w:t>
      </w:r>
      <w:r w:rsidR="00F1593B">
        <w:t> </w:t>
      </w:r>
      <w:r w:rsidRPr="003C553E">
        <w:t>Polska podaje szacunkowy udział OZE w</w:t>
      </w:r>
      <w:r>
        <w:t> </w:t>
      </w:r>
      <w:r w:rsidRPr="003C553E">
        <w:t>tym sektorze</w:t>
      </w:r>
      <w:bookmarkEnd w:id="21"/>
      <w:r w:rsidRPr="003C553E">
        <w:t>.</w:t>
      </w:r>
      <w:r w:rsidR="00C349E3" w:rsidRPr="00C349E3">
        <w:rPr>
          <w:i/>
          <w:iCs/>
        </w:rPr>
        <w:t xml:space="preserve"> </w:t>
      </w:r>
      <w:r w:rsidR="00C349E3" w:rsidRPr="001928BC">
        <w:rPr>
          <w:i/>
          <w:iCs/>
        </w:rPr>
        <w:t>Cele i</w:t>
      </w:r>
      <w:r w:rsidR="002057D7">
        <w:rPr>
          <w:i/>
          <w:iCs/>
        </w:rPr>
        <w:t> </w:t>
      </w:r>
      <w:r w:rsidR="00C349E3" w:rsidRPr="001928BC">
        <w:rPr>
          <w:i/>
          <w:iCs/>
        </w:rPr>
        <w:t>założenia dotyczące udziału OZE w poszczególnych sektorach – które wpływają na cel ogólny – omówiono w częściach dotyczących dekarbonizacji tych sektorów.</w:t>
      </w:r>
    </w:p>
    <w:p w14:paraId="6C98B81B" w14:textId="082FD1B6" w:rsidR="001928BC" w:rsidRDefault="001928BC" w:rsidP="001928BC">
      <w:r>
        <w:t>Nowe regulacje w ramach dyrektywy RED III odnoszą się również do określenia celów w sektorze budownictwa i w przemyśle, ale metodyka określania udziału OZE w ty</w:t>
      </w:r>
      <w:r w:rsidR="007D17A8">
        <w:t>ch</w:t>
      </w:r>
      <w:r>
        <w:t xml:space="preserve"> sektorach nie została dotychczas ustalona, co uniemożliwia </w:t>
      </w:r>
      <w:r w:rsidR="000A7B74">
        <w:t xml:space="preserve">– w obecnych okolicznościach </w:t>
      </w:r>
      <w:r w:rsidR="00AC3BAF">
        <w:t>–</w:t>
      </w:r>
      <w:r w:rsidR="000A7B74">
        <w:t xml:space="preserve"> </w:t>
      </w:r>
      <w:r>
        <w:t>określenie celów w tych obszarach</w:t>
      </w:r>
      <w:r w:rsidR="002057D7">
        <w:t xml:space="preserve"> w oparciu o </w:t>
      </w:r>
      <w:r w:rsidR="00EC25FC">
        <w:t>szczegółowe, spójne metodycznie analizy</w:t>
      </w:r>
      <w:r>
        <w:t>.</w:t>
      </w:r>
    </w:p>
    <w:p w14:paraId="39DBC537" w14:textId="77777777" w:rsidR="001928BC" w:rsidRDefault="001928BC" w:rsidP="001928BC">
      <w:r>
        <w:t>Zagadnienia dotyczące społeczności lokalnych i prosumentów zostały określone w 4. wymiarze – wewnątrzunijny rynek energii.</w:t>
      </w:r>
    </w:p>
    <w:p w14:paraId="4CAAC351" w14:textId="79A49E31" w:rsidR="008F02EE" w:rsidRPr="008F02EE" w:rsidRDefault="005A0EA7" w:rsidP="00F77C02">
      <w:pPr>
        <w:pStyle w:val="Nagwek4"/>
        <w:rPr>
          <w:color w:val="70AD47" w:themeColor="accent6"/>
        </w:rPr>
      </w:pPr>
      <w:bookmarkStart w:id="22" w:name="_Toc159598285"/>
      <w:bookmarkStart w:id="23" w:name="_Toc179536933"/>
      <w:r>
        <w:rPr>
          <w:color w:val="70AD47" w:themeColor="accent6"/>
        </w:rPr>
        <w:lastRenderedPageBreak/>
        <w:t>O</w:t>
      </w:r>
      <w:r w:rsidR="001C4F5B">
        <w:rPr>
          <w:color w:val="70AD47" w:themeColor="accent6"/>
        </w:rPr>
        <w:t>granicz</w:t>
      </w:r>
      <w:r>
        <w:rPr>
          <w:color w:val="70AD47" w:themeColor="accent6"/>
        </w:rPr>
        <w:t>anie</w:t>
      </w:r>
      <w:r w:rsidR="001C4F5B">
        <w:rPr>
          <w:color w:val="70AD47" w:themeColor="accent6"/>
        </w:rPr>
        <w:t xml:space="preserve"> </w:t>
      </w:r>
      <w:r w:rsidR="00C74F3E" w:rsidRPr="008527DF">
        <w:rPr>
          <w:color w:val="70AD47" w:themeColor="accent6"/>
        </w:rPr>
        <w:t>emisji gazów cieplarnianych</w:t>
      </w:r>
      <w:r w:rsidR="0057684D">
        <w:rPr>
          <w:color w:val="70AD47" w:themeColor="accent6"/>
        </w:rPr>
        <w:t xml:space="preserve"> z gospodarki</w:t>
      </w:r>
      <w:r w:rsidR="00C349E3">
        <w:rPr>
          <w:color w:val="70AD47" w:themeColor="accent6"/>
        </w:rPr>
        <w:t xml:space="preserve"> (cel ogólny)</w:t>
      </w:r>
      <w:bookmarkEnd w:id="22"/>
      <w:bookmarkEnd w:id="23"/>
    </w:p>
    <w:p w14:paraId="4BA4B07E" w14:textId="318A6528" w:rsidR="008F02EE" w:rsidRPr="00CB005F" w:rsidRDefault="00EC25FC" w:rsidP="00F77C02">
      <w:pPr>
        <w:rPr>
          <w:i/>
          <w:iCs/>
        </w:rPr>
      </w:pPr>
      <w:r>
        <w:t>W ostatnich latach Polska znajduje się w procesie zdynamizowanych zmian gospodarczych i sektorowych, wpisując się w globalne trendy dążenia do niskoemisyjności przy uwzględnieniu specyficznych krajowych uwarunkowań. Niemniej, r</w:t>
      </w:r>
      <w:r w:rsidR="008F02EE">
        <w:t>ównoczesny rozwój gospodar</w:t>
      </w:r>
      <w:r w:rsidR="00A26E30">
        <w:t>czy</w:t>
      </w:r>
      <w:r w:rsidR="008F02EE">
        <w:t xml:space="preserve"> i redukcja intensywności emisyjności oraz emisji gazów cieplarnianych to duże wyzwanie</w:t>
      </w:r>
      <w:r w:rsidR="000A7B74">
        <w:t xml:space="preserve"> dla Polski</w:t>
      </w:r>
      <w:r w:rsidR="008F02EE">
        <w:t xml:space="preserve">. W grudniu 2020 r. Rada </w:t>
      </w:r>
      <w:r w:rsidR="00A26E30">
        <w:t>Europejska</w:t>
      </w:r>
      <w:r w:rsidR="008F02EE">
        <w:t xml:space="preserve"> </w:t>
      </w:r>
      <w:r w:rsidR="00A26E30">
        <w:t xml:space="preserve">zwiększyła </w:t>
      </w:r>
      <w:r w:rsidR="002164B8">
        <w:t>d</w:t>
      </w:r>
      <w:r w:rsidR="008F02EE">
        <w:t xml:space="preserve">otychczasowy </w:t>
      </w:r>
      <w:r w:rsidR="008F02EE" w:rsidRPr="00CB005F">
        <w:rPr>
          <w:b/>
          <w:bCs/>
        </w:rPr>
        <w:t xml:space="preserve">cel UE </w:t>
      </w:r>
      <w:r w:rsidR="002164B8" w:rsidRPr="00CB005F">
        <w:rPr>
          <w:b/>
          <w:bCs/>
        </w:rPr>
        <w:t>w</w:t>
      </w:r>
      <w:r>
        <w:rPr>
          <w:b/>
          <w:bCs/>
        </w:rPr>
        <w:t> </w:t>
      </w:r>
      <w:r w:rsidR="002164B8" w:rsidRPr="00CB005F">
        <w:rPr>
          <w:b/>
          <w:bCs/>
        </w:rPr>
        <w:t>zakresie ograniczenia emisji gazów cieplarnianych</w:t>
      </w:r>
      <w:r w:rsidR="002164B8">
        <w:t xml:space="preserve"> z poziomu</w:t>
      </w:r>
      <w:r w:rsidR="008F02EE">
        <w:t xml:space="preserve"> 40% </w:t>
      </w:r>
      <w:r w:rsidR="002164B8">
        <w:t xml:space="preserve">do </w:t>
      </w:r>
      <w:r w:rsidR="002164B8" w:rsidRPr="00CB005F">
        <w:rPr>
          <w:b/>
          <w:bCs/>
        </w:rPr>
        <w:t>55% w</w:t>
      </w:r>
      <w:r>
        <w:rPr>
          <w:b/>
          <w:bCs/>
        </w:rPr>
        <w:t> </w:t>
      </w:r>
      <w:r w:rsidR="002164B8" w:rsidRPr="00CB005F">
        <w:rPr>
          <w:b/>
          <w:bCs/>
        </w:rPr>
        <w:t>stosunku do poziomu z</w:t>
      </w:r>
      <w:r w:rsidR="00470BAE">
        <w:rPr>
          <w:b/>
          <w:bCs/>
        </w:rPr>
        <w:t xml:space="preserve"> </w:t>
      </w:r>
      <w:r w:rsidR="002164B8" w:rsidRPr="00CB005F">
        <w:rPr>
          <w:b/>
          <w:bCs/>
        </w:rPr>
        <w:t>1990 r.</w:t>
      </w:r>
      <w:r w:rsidR="002164B8">
        <w:t xml:space="preserve"> Zwiększenie ambicji miało na celu stanie się </w:t>
      </w:r>
      <w:r w:rsidR="000A7B74">
        <w:t xml:space="preserve">przez UE </w:t>
      </w:r>
      <w:r w:rsidR="002164B8">
        <w:t xml:space="preserve">liderem w realizacji tzw. </w:t>
      </w:r>
      <w:r w:rsidR="002164B8" w:rsidRPr="002164B8">
        <w:rPr>
          <w:b/>
          <w:bCs/>
        </w:rPr>
        <w:t>porozumienia paryskiego</w:t>
      </w:r>
      <w:r w:rsidR="002164B8">
        <w:t xml:space="preserve">, którego operacjonalizacja ma prowadzić do zatrzymania wzrostu globalnej temperatury </w:t>
      </w:r>
      <w:r w:rsidR="000A7B74">
        <w:t>n</w:t>
      </w:r>
      <w:r w:rsidR="002164B8">
        <w:t>a</w:t>
      </w:r>
      <w:r>
        <w:t> </w:t>
      </w:r>
      <w:r w:rsidR="002164B8">
        <w:t>poziomie poniżej 2ºC w stosunku do poziomów sprzed epoki przemysłowej, a starać się należy, by było to nie więcej niż 1,5º C.</w:t>
      </w:r>
      <w:r w:rsidR="00CB005F">
        <w:t xml:space="preserve"> </w:t>
      </w:r>
    </w:p>
    <w:p w14:paraId="41AFBAE3" w14:textId="5392750A" w:rsidR="008F02EE" w:rsidRDefault="00A20FD2" w:rsidP="00F77C02">
      <w:r>
        <w:t xml:space="preserve">Podobnie jak dotychczas, regulacje UE nie określają celów dla </w:t>
      </w:r>
      <w:r w:rsidR="002E068E">
        <w:t xml:space="preserve">poszczególnych </w:t>
      </w:r>
      <w:r>
        <w:t>państw członkowskich w odniesieniu do całkowitych emisji GC – państwa</w:t>
      </w:r>
      <w:r w:rsidR="00F14CAE">
        <w:t xml:space="preserve"> deklarują</w:t>
      </w:r>
      <w:r>
        <w:t xml:space="preserve"> </w:t>
      </w:r>
      <w:r w:rsidR="00C601B0" w:rsidRPr="0016455E">
        <w:rPr>
          <w:b/>
          <w:bCs/>
        </w:rPr>
        <w:t>kontrybucj</w:t>
      </w:r>
      <w:r w:rsidR="00F14CAE">
        <w:rPr>
          <w:b/>
          <w:bCs/>
        </w:rPr>
        <w:t>ę</w:t>
      </w:r>
      <w:r w:rsidR="00C601B0" w:rsidRPr="0016455E">
        <w:rPr>
          <w:b/>
          <w:bCs/>
        </w:rPr>
        <w:t xml:space="preserve"> w stosunku do celu unijnego na poziom</w:t>
      </w:r>
      <w:r w:rsidR="002E068E">
        <w:rPr>
          <w:b/>
          <w:bCs/>
        </w:rPr>
        <w:t>i</w:t>
      </w:r>
      <w:r w:rsidR="00C601B0" w:rsidRPr="0016455E">
        <w:rPr>
          <w:b/>
          <w:bCs/>
        </w:rPr>
        <w:t>e 55% w</w:t>
      </w:r>
      <w:r w:rsidR="0016455E" w:rsidRPr="0016455E">
        <w:rPr>
          <w:b/>
          <w:bCs/>
        </w:rPr>
        <w:t> </w:t>
      </w:r>
      <w:r w:rsidR="00C601B0" w:rsidRPr="0016455E">
        <w:rPr>
          <w:b/>
          <w:bCs/>
        </w:rPr>
        <w:t>2030 r.</w:t>
      </w:r>
      <w:r w:rsidR="00C601B0" w:rsidRPr="00A20FD2">
        <w:t xml:space="preserve"> w stosunku do poziomu z 1990 r.</w:t>
      </w:r>
      <w:r>
        <w:t>, który uregulowano w rozporządzeniu UE 2021/1119 – Europejskim prawie o klimacie</w:t>
      </w:r>
      <w:r w:rsidR="00783334">
        <w:rPr>
          <w:rStyle w:val="Odwoanieprzypisudolnego"/>
        </w:rPr>
        <w:footnoteReference w:id="5"/>
      </w:r>
      <w:r>
        <w:t>.</w:t>
      </w:r>
      <w:r w:rsidR="000A5A45">
        <w:t xml:space="preserve"> </w:t>
      </w:r>
      <w:r w:rsidR="00EC25FC" w:rsidRPr="00EC25FC">
        <w:rPr>
          <w:b/>
          <w:bCs/>
        </w:rPr>
        <w:t xml:space="preserve">Przy wyznaczaniu kontrybucji krajowej kluczowe jest </w:t>
      </w:r>
      <w:bookmarkStart w:id="24" w:name="_Hlk159524883"/>
      <w:r w:rsidR="00EC25FC" w:rsidRPr="00EC25FC">
        <w:rPr>
          <w:b/>
          <w:bCs/>
        </w:rPr>
        <w:t>uwzględnienie krajowych uwarunkowań, punktu startowego i realnych możliwości redukcji emisji</w:t>
      </w:r>
      <w:r w:rsidR="0020457B">
        <w:rPr>
          <w:b/>
          <w:bCs/>
        </w:rPr>
        <w:t xml:space="preserve"> w</w:t>
      </w:r>
      <w:r w:rsidR="00095AC4">
        <w:rPr>
          <w:b/>
          <w:bCs/>
        </w:rPr>
        <w:t> </w:t>
      </w:r>
      <w:r w:rsidR="0020457B">
        <w:rPr>
          <w:b/>
          <w:bCs/>
        </w:rPr>
        <w:t>danym horyzoncie czasowym</w:t>
      </w:r>
      <w:r w:rsidR="00EC25FC">
        <w:t xml:space="preserve">. </w:t>
      </w:r>
    </w:p>
    <w:bookmarkEnd w:id="24"/>
    <w:p w14:paraId="5D842422" w14:textId="34C5A296" w:rsidR="00F775EA" w:rsidRPr="00EC25FC" w:rsidRDefault="0016455E" w:rsidP="007961FA">
      <w:pPr>
        <w:pStyle w:val="Cele"/>
      </w:pPr>
      <w:r w:rsidRPr="002D38AA">
        <w:t xml:space="preserve">Prognozy dotyczące całej gospodarki </w:t>
      </w:r>
      <w:r w:rsidR="000152EE">
        <w:t>wskazują</w:t>
      </w:r>
      <w:r w:rsidRPr="002D38AA">
        <w:t xml:space="preserve">, że </w:t>
      </w:r>
      <w:r w:rsidRPr="007961FA">
        <w:rPr>
          <w:b/>
          <w:bCs/>
        </w:rPr>
        <w:t xml:space="preserve">Polska może osiągnąć redukcję gazów cieplarnianych </w:t>
      </w:r>
      <w:r w:rsidR="00CE0A65">
        <w:rPr>
          <w:b/>
          <w:bCs/>
        </w:rPr>
        <w:t xml:space="preserve">o </w:t>
      </w:r>
      <w:r w:rsidR="00470BAE">
        <w:rPr>
          <w:b/>
          <w:bCs/>
        </w:rPr>
        <w:t xml:space="preserve">ok. </w:t>
      </w:r>
      <w:r w:rsidR="00DE4F4E">
        <w:rPr>
          <w:b/>
          <w:bCs/>
        </w:rPr>
        <w:t>50</w:t>
      </w:r>
      <w:r w:rsidR="0020457B">
        <w:rPr>
          <w:b/>
          <w:bCs/>
        </w:rPr>
        <w:t>,4</w:t>
      </w:r>
      <w:r w:rsidR="00CE0A65">
        <w:rPr>
          <w:b/>
          <w:bCs/>
        </w:rPr>
        <w:t>%</w:t>
      </w:r>
      <w:r w:rsidRPr="007961FA">
        <w:rPr>
          <w:b/>
          <w:bCs/>
        </w:rPr>
        <w:t xml:space="preserve"> w</w:t>
      </w:r>
      <w:r w:rsidR="00F77C02" w:rsidRPr="007961FA">
        <w:rPr>
          <w:b/>
          <w:bCs/>
        </w:rPr>
        <w:t> </w:t>
      </w:r>
      <w:r w:rsidRPr="007961FA">
        <w:rPr>
          <w:b/>
          <w:bCs/>
        </w:rPr>
        <w:t xml:space="preserve">2030 r. </w:t>
      </w:r>
      <w:r w:rsidR="00CE0A65">
        <w:rPr>
          <w:b/>
          <w:bCs/>
        </w:rPr>
        <w:t xml:space="preserve">(do poziomu ok. </w:t>
      </w:r>
      <w:r w:rsidR="00DE4F4E">
        <w:rPr>
          <w:b/>
          <w:bCs/>
        </w:rPr>
        <w:t>221</w:t>
      </w:r>
      <w:r w:rsidR="00CE0A65">
        <w:rPr>
          <w:b/>
          <w:bCs/>
        </w:rPr>
        <w:t xml:space="preserve"> mln </w:t>
      </w:r>
      <w:bookmarkStart w:id="25" w:name="_Hlk158902345"/>
      <w:r w:rsidR="00CE0A65">
        <w:rPr>
          <w:b/>
          <w:bCs/>
        </w:rPr>
        <w:t>t ekw. CO</w:t>
      </w:r>
      <w:r w:rsidR="00CE0A65" w:rsidRPr="00CE0A65">
        <w:rPr>
          <w:b/>
          <w:bCs/>
          <w:vertAlign w:val="subscript"/>
        </w:rPr>
        <w:t>2</w:t>
      </w:r>
      <w:bookmarkEnd w:id="25"/>
      <w:r w:rsidR="00CE0A65">
        <w:rPr>
          <w:b/>
          <w:bCs/>
        </w:rPr>
        <w:t xml:space="preserve">) </w:t>
      </w:r>
      <w:r w:rsidR="00B54094">
        <w:rPr>
          <w:b/>
          <w:bCs/>
        </w:rPr>
        <w:t>i </w:t>
      </w:r>
      <w:r w:rsidR="00F34A9D">
        <w:rPr>
          <w:b/>
          <w:bCs/>
        </w:rPr>
        <w:t>ok. </w:t>
      </w:r>
      <w:r w:rsidR="00B54094">
        <w:rPr>
          <w:b/>
          <w:bCs/>
        </w:rPr>
        <w:t xml:space="preserve">70% w 2040 r. </w:t>
      </w:r>
      <w:r w:rsidRPr="007961FA">
        <w:rPr>
          <w:b/>
          <w:bCs/>
        </w:rPr>
        <w:t>w</w:t>
      </w:r>
      <w:r w:rsidR="00470BAE">
        <w:rPr>
          <w:b/>
          <w:bCs/>
        </w:rPr>
        <w:t> </w:t>
      </w:r>
      <w:r w:rsidRPr="007961FA">
        <w:rPr>
          <w:b/>
          <w:bCs/>
        </w:rPr>
        <w:t xml:space="preserve">stosunku </w:t>
      </w:r>
      <w:r w:rsidRPr="00CE0A65">
        <w:rPr>
          <w:b/>
          <w:bCs/>
        </w:rPr>
        <w:t>do 1990 r.</w:t>
      </w:r>
      <w:r w:rsidR="00B54094">
        <w:rPr>
          <w:b/>
          <w:bCs/>
        </w:rPr>
        <w:t xml:space="preserve"> </w:t>
      </w:r>
      <w:bookmarkStart w:id="26" w:name="_Hlk159525283"/>
      <w:r w:rsidR="00B626B4" w:rsidRPr="00080BA7">
        <w:rPr>
          <w:i/>
          <w:iCs/>
        </w:rPr>
        <w:t>[szacunki nie mają charakteru celu]</w:t>
      </w:r>
    </w:p>
    <w:bookmarkEnd w:id="26"/>
    <w:p w14:paraId="61698001" w14:textId="56A82FC1" w:rsidR="00CD6EF6" w:rsidRDefault="009B6EC9" w:rsidP="00DE4F4E">
      <w:pPr>
        <w:pStyle w:val="tyturys"/>
      </w:pPr>
      <w:r>
        <w:rPr>
          <w:noProof/>
        </w:rPr>
        <w:drawing>
          <wp:anchor distT="0" distB="0" distL="114300" distR="114300" simplePos="0" relativeHeight="251792384" behindDoc="0" locked="0" layoutInCell="1" allowOverlap="1" wp14:anchorId="241C6CCF" wp14:editId="725B562C">
            <wp:simplePos x="0" y="0"/>
            <wp:positionH relativeFrom="column">
              <wp:posOffset>90805</wp:posOffset>
            </wp:positionH>
            <wp:positionV relativeFrom="paragraph">
              <wp:posOffset>383540</wp:posOffset>
            </wp:positionV>
            <wp:extent cx="5760720" cy="3322320"/>
            <wp:effectExtent l="0" t="0" r="0" b="0"/>
            <wp:wrapTight wrapText="bothSides">
              <wp:wrapPolygon edited="0">
                <wp:start x="0" y="0"/>
                <wp:lineTo x="0" y="21427"/>
                <wp:lineTo x="21500" y="21427"/>
                <wp:lineTo x="21500" y="0"/>
                <wp:lineTo x="0" y="0"/>
              </wp:wrapPolygon>
            </wp:wrapTight>
            <wp:docPr id="1871100416" name="Wykres 1">
              <a:extLst xmlns:a="http://schemas.openxmlformats.org/drawingml/2006/main">
                <a:ext uri="{FF2B5EF4-FFF2-40B4-BE49-F238E27FC236}">
                  <a16:creationId xmlns:a16="http://schemas.microsoft.com/office/drawing/2014/main" id="{B2B05180-0980-45CA-469E-FB4812854F4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14:sizeRelH relativeFrom="margin">
              <wp14:pctWidth>0</wp14:pctWidth>
            </wp14:sizeRelH>
            <wp14:sizeRelV relativeFrom="margin">
              <wp14:pctHeight>0</wp14:pctHeight>
            </wp14:sizeRelV>
          </wp:anchor>
        </w:drawing>
      </w:r>
      <w:r w:rsidR="00DE4F4E">
        <w:t xml:space="preserve">Redukcja emisji gazów cieplarnianych </w:t>
      </w:r>
    </w:p>
    <w:p w14:paraId="1D2D07F1" w14:textId="52266DAA" w:rsidR="009B6EC9" w:rsidRDefault="009B6EC9" w:rsidP="00DE4F4E">
      <w:pPr>
        <w:pStyle w:val="tyturys"/>
      </w:pPr>
    </w:p>
    <w:p w14:paraId="16EC8051" w14:textId="6971A867" w:rsidR="000A461A" w:rsidRDefault="00B33039" w:rsidP="00E9399E">
      <w:r>
        <w:lastRenderedPageBreak/>
        <w:t>W</w:t>
      </w:r>
      <w:r w:rsidR="003717B1">
        <w:t>arto podkreślić, że do</w:t>
      </w:r>
      <w:r>
        <w:t xml:space="preserve"> 202</w:t>
      </w:r>
      <w:r w:rsidR="00C349E8">
        <w:t>2</w:t>
      </w:r>
      <w:r>
        <w:t xml:space="preserve"> r. ograniczenie </w:t>
      </w:r>
      <w:r w:rsidR="003717B1">
        <w:t xml:space="preserve">krajowej </w:t>
      </w:r>
      <w:r>
        <w:t xml:space="preserve">emisji GC w porównaniu z 1990 r. wyniosło </w:t>
      </w:r>
      <w:r w:rsidR="00C349E8">
        <w:t>23</w:t>
      </w:r>
      <w:r>
        <w:t>%</w:t>
      </w:r>
      <w:r w:rsidR="003717B1">
        <w:t xml:space="preserve">. </w:t>
      </w:r>
      <w:r>
        <w:t xml:space="preserve">Zatem </w:t>
      </w:r>
      <w:r w:rsidR="0020457B">
        <w:t>wskazan</w:t>
      </w:r>
      <w:r w:rsidR="00571E12">
        <w:t>a</w:t>
      </w:r>
      <w:r w:rsidR="0020457B">
        <w:t xml:space="preserve"> </w:t>
      </w:r>
      <w:r w:rsidR="00AA7033">
        <w:t>–</w:t>
      </w:r>
      <w:r w:rsidR="00571E12">
        <w:t xml:space="preserve"> </w:t>
      </w:r>
      <w:r w:rsidR="0020457B">
        <w:t>jako wynikowa przyjętych w scenariuszu WAM działań</w:t>
      </w:r>
      <w:r w:rsidR="00571E12">
        <w:t xml:space="preserve"> </w:t>
      </w:r>
      <w:r w:rsidR="00AA7033">
        <w:t>–</w:t>
      </w:r>
      <w:r w:rsidR="0020457B">
        <w:t xml:space="preserve"> </w:t>
      </w:r>
      <w:r w:rsidR="0020457B">
        <w:rPr>
          <w:b/>
          <w:bCs/>
        </w:rPr>
        <w:t xml:space="preserve">redukcja emisji </w:t>
      </w:r>
      <w:r w:rsidR="003717B1">
        <w:rPr>
          <w:b/>
          <w:bCs/>
        </w:rPr>
        <w:t xml:space="preserve">na poziomie </w:t>
      </w:r>
      <w:r w:rsidR="00470BAE">
        <w:rPr>
          <w:b/>
          <w:bCs/>
        </w:rPr>
        <w:t>50</w:t>
      </w:r>
      <w:r w:rsidR="0020457B">
        <w:rPr>
          <w:b/>
          <w:bCs/>
        </w:rPr>
        <w:t>,4</w:t>
      </w:r>
      <w:r w:rsidR="007D17A8">
        <w:rPr>
          <w:b/>
          <w:bCs/>
        </w:rPr>
        <w:t>%</w:t>
      </w:r>
      <w:r w:rsidRPr="003D777B">
        <w:rPr>
          <w:b/>
          <w:bCs/>
        </w:rPr>
        <w:t xml:space="preserve"> </w:t>
      </w:r>
      <w:r w:rsidR="007D17A8">
        <w:rPr>
          <w:b/>
          <w:bCs/>
        </w:rPr>
        <w:t>do</w:t>
      </w:r>
      <w:r w:rsidRPr="003D777B">
        <w:rPr>
          <w:b/>
          <w:bCs/>
        </w:rPr>
        <w:t xml:space="preserve"> 2030 r. </w:t>
      </w:r>
      <w:r w:rsidR="0020457B">
        <w:rPr>
          <w:b/>
          <w:bCs/>
        </w:rPr>
        <w:t>to efekt znacznej intensyfikacji działań</w:t>
      </w:r>
      <w:r w:rsidR="003717B1">
        <w:rPr>
          <w:b/>
          <w:bCs/>
        </w:rPr>
        <w:t xml:space="preserve"> n</w:t>
      </w:r>
      <w:r w:rsidR="003717B1" w:rsidRPr="003D777B">
        <w:rPr>
          <w:b/>
          <w:bCs/>
        </w:rPr>
        <w:t>a</w:t>
      </w:r>
      <w:r w:rsidR="003717B1">
        <w:rPr>
          <w:b/>
          <w:bCs/>
        </w:rPr>
        <w:t xml:space="preserve"> </w:t>
      </w:r>
      <w:r w:rsidR="003717B1" w:rsidRPr="003D777B">
        <w:rPr>
          <w:b/>
          <w:bCs/>
        </w:rPr>
        <w:t>przestrzeni niespełna dekady</w:t>
      </w:r>
      <w:r w:rsidR="003717B1">
        <w:rPr>
          <w:b/>
          <w:bCs/>
        </w:rPr>
        <w:t xml:space="preserve"> (</w:t>
      </w:r>
      <w:r w:rsidR="00C349E8">
        <w:rPr>
          <w:b/>
          <w:bCs/>
        </w:rPr>
        <w:t>27</w:t>
      </w:r>
      <w:r w:rsidRPr="003D777B">
        <w:rPr>
          <w:b/>
          <w:bCs/>
        </w:rPr>
        <w:t> pkt. proc</w:t>
      </w:r>
      <w:r>
        <w:t>.</w:t>
      </w:r>
      <w:r w:rsidR="003717B1">
        <w:t>).</w:t>
      </w:r>
      <w:r>
        <w:t xml:space="preserve"> </w:t>
      </w:r>
      <w:r w:rsidR="00E9399E">
        <w:t xml:space="preserve">Największy udział w emisjach GC ma sektor </w:t>
      </w:r>
      <w:r w:rsidR="00E9399E" w:rsidRPr="00E9399E">
        <w:t xml:space="preserve">energii, </w:t>
      </w:r>
      <w:r w:rsidR="00E9399E">
        <w:t xml:space="preserve">ale </w:t>
      </w:r>
      <w:r w:rsidR="003D777B">
        <w:t>równocześnie</w:t>
      </w:r>
      <w:r w:rsidR="00E9399E">
        <w:t xml:space="preserve"> największa redukcj</w:t>
      </w:r>
      <w:r w:rsidR="008B71F5">
        <w:t>a</w:t>
      </w:r>
      <w:r w:rsidR="00E9399E">
        <w:t xml:space="preserve"> emisji </w:t>
      </w:r>
      <w:r w:rsidR="006F7B0C">
        <w:t xml:space="preserve">GC </w:t>
      </w:r>
      <w:r w:rsidR="00E9399E">
        <w:t>osiągnięta zostanie w tym sektorze</w:t>
      </w:r>
      <w:r w:rsidR="00424ACA">
        <w:t xml:space="preserve"> </w:t>
      </w:r>
      <w:r w:rsidR="006F7B0C">
        <w:t>(</w:t>
      </w:r>
      <w:r w:rsidR="00424ACA">
        <w:t xml:space="preserve">o ok. </w:t>
      </w:r>
      <w:r w:rsidR="00B54094">
        <w:t>47</w:t>
      </w:r>
      <w:r w:rsidR="00424ACA">
        <w:t>% w stosunku do 1990 r.</w:t>
      </w:r>
      <w:r w:rsidR="00B137DC">
        <w:t>,</w:t>
      </w:r>
      <w:r w:rsidR="00424ACA">
        <w:t xml:space="preserve"> do poziomu ok. </w:t>
      </w:r>
      <w:r w:rsidR="00B54094">
        <w:t>203</w:t>
      </w:r>
      <w:r w:rsidR="00424ACA">
        <w:t xml:space="preserve"> mln t</w:t>
      </w:r>
      <w:r w:rsidR="00424ACA">
        <w:rPr>
          <w:b/>
          <w:bCs/>
        </w:rPr>
        <w:t xml:space="preserve"> </w:t>
      </w:r>
      <w:r w:rsidR="00424ACA" w:rsidRPr="006F7B0C">
        <w:t>ekw.</w:t>
      </w:r>
      <w:r w:rsidR="00424ACA">
        <w:t> </w:t>
      </w:r>
      <w:r w:rsidR="00424ACA" w:rsidRPr="006F7B0C">
        <w:t>CO</w:t>
      </w:r>
      <w:r w:rsidR="00424ACA" w:rsidRPr="006F7B0C">
        <w:rPr>
          <w:vertAlign w:val="subscript"/>
        </w:rPr>
        <w:t>2</w:t>
      </w:r>
      <w:r w:rsidR="00424ACA">
        <w:t>).</w:t>
      </w:r>
      <w:r w:rsidR="003D777B">
        <w:t xml:space="preserve"> Główny wkład wniesie szeroko pojęty sektor produkcji energii elektrycznej i ciepła. Jednocześnie p</w:t>
      </w:r>
      <w:r w:rsidR="006F7B0C">
        <w:t>rognozy wskazują, że redukcja emisji GC w pozostałych sektorach jest trudn</w:t>
      </w:r>
      <w:r w:rsidR="0020457B">
        <w:t>iejsza</w:t>
      </w:r>
      <w:r w:rsidR="006F7B0C">
        <w:t>, ze względu na ograniczon</w:t>
      </w:r>
      <w:r w:rsidR="0020457B">
        <w:t>ą wciąż wiedzę co do</w:t>
      </w:r>
      <w:r w:rsidR="006F7B0C">
        <w:t xml:space="preserve"> zmian możliwych do wprowadzenia (np. rolnictwo)</w:t>
      </w:r>
      <w:r w:rsidR="0020457B">
        <w:t>, zbyt niskie wykorzystanie innowacji</w:t>
      </w:r>
      <w:r w:rsidR="006F7B0C">
        <w:t xml:space="preserve"> lub ze względu na to, że osiągane redukcje emisyjności poszczególnych procesów nie przekładają się na zmniejszenie </w:t>
      </w:r>
      <w:r w:rsidR="00424ACA">
        <w:t xml:space="preserve">całkowitego poziomu </w:t>
      </w:r>
      <w:r w:rsidR="006F7B0C">
        <w:t>emisji, ponieważ rośnie aktywność w tych sektorach (np. transport, przemysł).</w:t>
      </w:r>
    </w:p>
    <w:p w14:paraId="4D465DDC" w14:textId="732C3726" w:rsidR="004F7AD9" w:rsidRPr="00E769EB" w:rsidRDefault="004F7AD9" w:rsidP="00E769EB">
      <w:pPr>
        <w:pStyle w:val="tyturys"/>
        <w:spacing w:before="360" w:after="120"/>
        <w:rPr>
          <w:sz w:val="27"/>
          <w:szCs w:val="27"/>
        </w:rPr>
      </w:pPr>
      <w:r w:rsidRPr="00E769EB">
        <w:rPr>
          <w:sz w:val="27"/>
          <w:szCs w:val="27"/>
        </w:rPr>
        <w:t>Prognozy emisji gazów cieplarnianych w 2030 i 2040 r. na tle 1990 i 2021 r.</w:t>
      </w:r>
    </w:p>
    <w:tbl>
      <w:tblPr>
        <w:tblW w:w="9067" w:type="dxa"/>
        <w:tblLayout w:type="fixed"/>
        <w:tblCellMar>
          <w:left w:w="70" w:type="dxa"/>
          <w:right w:w="70" w:type="dxa"/>
        </w:tblCellMar>
        <w:tblLook w:val="04A0" w:firstRow="1" w:lastRow="0" w:firstColumn="1" w:lastColumn="0" w:noHBand="0" w:noVBand="1"/>
      </w:tblPr>
      <w:tblGrid>
        <w:gridCol w:w="3114"/>
        <w:gridCol w:w="933"/>
        <w:gridCol w:w="933"/>
        <w:gridCol w:w="933"/>
        <w:gridCol w:w="933"/>
        <w:gridCol w:w="1110"/>
        <w:gridCol w:w="1111"/>
      </w:tblGrid>
      <w:tr w:rsidR="00B54094" w:rsidRPr="00B54094" w14:paraId="74B895A5" w14:textId="77777777" w:rsidTr="00414664">
        <w:trPr>
          <w:trHeight w:val="300"/>
        </w:trPr>
        <w:tc>
          <w:tcPr>
            <w:tcW w:w="3114" w:type="dxa"/>
            <w:tcBorders>
              <w:top w:val="single" w:sz="4" w:space="0" w:color="auto"/>
              <w:left w:val="single" w:sz="4" w:space="0" w:color="auto"/>
              <w:bottom w:val="single" w:sz="4" w:space="0" w:color="auto"/>
            </w:tcBorders>
            <w:shd w:val="clear" w:color="000000" w:fill="70AD47"/>
            <w:noWrap/>
            <w:vAlign w:val="center"/>
            <w:hideMark/>
          </w:tcPr>
          <w:p w14:paraId="3D2EA405" w14:textId="145EC570" w:rsidR="00B54094" w:rsidRPr="00B54094" w:rsidRDefault="004F7AD9" w:rsidP="004F7AD9">
            <w:pPr>
              <w:spacing w:after="0" w:line="240" w:lineRule="auto"/>
              <w:rPr>
                <w:rFonts w:eastAsia="Times New Roman" w:cs="Times New Roman"/>
                <w:b/>
                <w:bCs/>
                <w:kern w:val="0"/>
                <w:sz w:val="18"/>
                <w:szCs w:val="18"/>
                <w:vertAlign w:val="superscript"/>
                <w:lang w:eastAsia="pl-PL"/>
                <w14:ligatures w14:val="none"/>
              </w:rPr>
            </w:pPr>
            <w:bookmarkStart w:id="27" w:name="_Hlk177141835"/>
            <w:r w:rsidRPr="004F7AD9">
              <w:rPr>
                <w:rFonts w:eastAsia="Times New Roman" w:cs="Times New Roman"/>
                <w:b/>
                <w:bCs/>
                <w:kern w:val="0"/>
                <w:sz w:val="18"/>
                <w:szCs w:val="18"/>
                <w:lang w:eastAsia="pl-PL"/>
                <w14:ligatures w14:val="none"/>
              </w:rPr>
              <w:t xml:space="preserve">[mln t </w:t>
            </w:r>
            <w:r>
              <w:rPr>
                <w:rFonts w:eastAsia="Times New Roman" w:cs="Times New Roman"/>
                <w:b/>
                <w:bCs/>
                <w:kern w:val="0"/>
                <w:sz w:val="18"/>
                <w:szCs w:val="18"/>
                <w:lang w:eastAsia="pl-PL"/>
                <w14:ligatures w14:val="none"/>
              </w:rPr>
              <w:t>ekw. CO</w:t>
            </w:r>
            <w:r w:rsidRPr="004F7AD9">
              <w:rPr>
                <w:rFonts w:eastAsia="Times New Roman" w:cs="Times New Roman"/>
                <w:b/>
                <w:bCs/>
                <w:kern w:val="0"/>
                <w:sz w:val="18"/>
                <w:szCs w:val="18"/>
                <w:vertAlign w:val="subscript"/>
                <w:lang w:eastAsia="pl-PL"/>
                <w14:ligatures w14:val="none"/>
              </w:rPr>
              <w:t>2</w:t>
            </w:r>
            <w:r w:rsidRPr="004F7AD9">
              <w:rPr>
                <w:rFonts w:eastAsia="Times New Roman" w:cs="Times New Roman"/>
                <w:b/>
                <w:bCs/>
                <w:kern w:val="0"/>
                <w:sz w:val="18"/>
                <w:szCs w:val="18"/>
                <w:lang w:eastAsia="pl-PL"/>
                <w14:ligatures w14:val="none"/>
              </w:rPr>
              <w:t>]</w:t>
            </w:r>
          </w:p>
        </w:tc>
        <w:tc>
          <w:tcPr>
            <w:tcW w:w="933" w:type="dxa"/>
            <w:tcBorders>
              <w:top w:val="single" w:sz="4" w:space="0" w:color="auto"/>
              <w:bottom w:val="single" w:sz="4" w:space="0" w:color="auto"/>
            </w:tcBorders>
            <w:shd w:val="clear" w:color="000000" w:fill="70AD47"/>
            <w:noWrap/>
            <w:vAlign w:val="center"/>
            <w:hideMark/>
          </w:tcPr>
          <w:p w14:paraId="41571A40" w14:textId="77777777" w:rsidR="00B54094" w:rsidRPr="00B54094" w:rsidRDefault="00B54094" w:rsidP="00B54094">
            <w:pPr>
              <w:spacing w:after="0" w:line="240" w:lineRule="auto"/>
              <w:jc w:val="center"/>
              <w:rPr>
                <w:rFonts w:eastAsia="Times New Roman" w:cs="Times New Roman"/>
                <w:b/>
                <w:bCs/>
                <w:kern w:val="0"/>
                <w:sz w:val="18"/>
                <w:szCs w:val="18"/>
                <w:lang w:eastAsia="pl-PL"/>
                <w14:ligatures w14:val="none"/>
              </w:rPr>
            </w:pPr>
            <w:r w:rsidRPr="00B54094">
              <w:rPr>
                <w:rFonts w:eastAsia="Times New Roman" w:cs="Times New Roman"/>
                <w:b/>
                <w:bCs/>
                <w:kern w:val="0"/>
                <w:sz w:val="18"/>
                <w:szCs w:val="18"/>
                <w:lang w:eastAsia="pl-PL"/>
                <w14:ligatures w14:val="none"/>
              </w:rPr>
              <w:t>1990</w:t>
            </w:r>
          </w:p>
        </w:tc>
        <w:tc>
          <w:tcPr>
            <w:tcW w:w="933" w:type="dxa"/>
            <w:tcBorders>
              <w:top w:val="single" w:sz="4" w:space="0" w:color="auto"/>
              <w:bottom w:val="single" w:sz="4" w:space="0" w:color="auto"/>
            </w:tcBorders>
            <w:shd w:val="clear" w:color="000000" w:fill="70AD47"/>
            <w:noWrap/>
            <w:vAlign w:val="center"/>
            <w:hideMark/>
          </w:tcPr>
          <w:p w14:paraId="4596D933" w14:textId="77777777" w:rsidR="00B54094" w:rsidRPr="00B54094" w:rsidRDefault="00B54094" w:rsidP="00B54094">
            <w:pPr>
              <w:spacing w:after="0" w:line="240" w:lineRule="auto"/>
              <w:jc w:val="center"/>
              <w:rPr>
                <w:rFonts w:eastAsia="Times New Roman" w:cs="Times New Roman"/>
                <w:b/>
                <w:bCs/>
                <w:kern w:val="0"/>
                <w:sz w:val="18"/>
                <w:szCs w:val="18"/>
                <w:lang w:eastAsia="pl-PL"/>
                <w14:ligatures w14:val="none"/>
              </w:rPr>
            </w:pPr>
            <w:r w:rsidRPr="00B54094">
              <w:rPr>
                <w:rFonts w:eastAsia="Times New Roman" w:cs="Times New Roman"/>
                <w:b/>
                <w:bCs/>
                <w:kern w:val="0"/>
                <w:sz w:val="18"/>
                <w:szCs w:val="18"/>
                <w:lang w:eastAsia="pl-PL"/>
                <w14:ligatures w14:val="none"/>
              </w:rPr>
              <w:t>2021</w:t>
            </w:r>
          </w:p>
        </w:tc>
        <w:tc>
          <w:tcPr>
            <w:tcW w:w="933" w:type="dxa"/>
            <w:tcBorders>
              <w:top w:val="single" w:sz="4" w:space="0" w:color="auto"/>
              <w:bottom w:val="single" w:sz="4" w:space="0" w:color="auto"/>
            </w:tcBorders>
            <w:shd w:val="clear" w:color="000000" w:fill="70AD47"/>
            <w:noWrap/>
            <w:vAlign w:val="center"/>
            <w:hideMark/>
          </w:tcPr>
          <w:p w14:paraId="47174C19" w14:textId="77777777" w:rsidR="00B54094" w:rsidRPr="00B54094" w:rsidRDefault="00B54094" w:rsidP="00B54094">
            <w:pPr>
              <w:spacing w:after="0" w:line="240" w:lineRule="auto"/>
              <w:jc w:val="center"/>
              <w:rPr>
                <w:rFonts w:eastAsia="Times New Roman" w:cs="Times New Roman"/>
                <w:b/>
                <w:bCs/>
                <w:kern w:val="0"/>
                <w:sz w:val="18"/>
                <w:szCs w:val="18"/>
                <w:lang w:eastAsia="pl-PL"/>
                <w14:ligatures w14:val="none"/>
              </w:rPr>
            </w:pPr>
            <w:r w:rsidRPr="00B54094">
              <w:rPr>
                <w:rFonts w:eastAsia="Times New Roman" w:cs="Times New Roman"/>
                <w:b/>
                <w:bCs/>
                <w:kern w:val="0"/>
                <w:sz w:val="18"/>
                <w:szCs w:val="18"/>
                <w:lang w:eastAsia="pl-PL"/>
                <w14:ligatures w14:val="none"/>
              </w:rPr>
              <w:t>2030</w:t>
            </w:r>
          </w:p>
        </w:tc>
        <w:tc>
          <w:tcPr>
            <w:tcW w:w="933" w:type="dxa"/>
            <w:tcBorders>
              <w:top w:val="single" w:sz="4" w:space="0" w:color="auto"/>
              <w:bottom w:val="single" w:sz="4" w:space="0" w:color="auto"/>
              <w:right w:val="dotted" w:sz="4" w:space="0" w:color="000000" w:themeColor="text1"/>
            </w:tcBorders>
            <w:shd w:val="clear" w:color="000000" w:fill="70AD47"/>
            <w:noWrap/>
            <w:vAlign w:val="center"/>
            <w:hideMark/>
          </w:tcPr>
          <w:p w14:paraId="63CF3B5D" w14:textId="77777777" w:rsidR="00B54094" w:rsidRPr="00B54094" w:rsidRDefault="00B54094" w:rsidP="00B54094">
            <w:pPr>
              <w:spacing w:after="0" w:line="240" w:lineRule="auto"/>
              <w:jc w:val="center"/>
              <w:rPr>
                <w:rFonts w:eastAsia="Times New Roman" w:cs="Times New Roman"/>
                <w:b/>
                <w:bCs/>
                <w:kern w:val="0"/>
                <w:sz w:val="18"/>
                <w:szCs w:val="18"/>
                <w:lang w:eastAsia="pl-PL"/>
                <w14:ligatures w14:val="none"/>
              </w:rPr>
            </w:pPr>
            <w:r w:rsidRPr="00B54094">
              <w:rPr>
                <w:rFonts w:eastAsia="Times New Roman" w:cs="Times New Roman"/>
                <w:b/>
                <w:bCs/>
                <w:kern w:val="0"/>
                <w:sz w:val="18"/>
                <w:szCs w:val="18"/>
                <w:lang w:eastAsia="pl-PL"/>
                <w14:ligatures w14:val="none"/>
              </w:rPr>
              <w:t>2040</w:t>
            </w:r>
          </w:p>
        </w:tc>
        <w:tc>
          <w:tcPr>
            <w:tcW w:w="1110" w:type="dxa"/>
            <w:tcBorders>
              <w:top w:val="single" w:sz="4" w:space="0" w:color="auto"/>
              <w:left w:val="dotted" w:sz="4" w:space="0" w:color="000000" w:themeColor="text1"/>
              <w:bottom w:val="single" w:sz="4" w:space="0" w:color="auto"/>
            </w:tcBorders>
            <w:shd w:val="clear" w:color="000000" w:fill="FFC000"/>
            <w:noWrap/>
            <w:vAlign w:val="center"/>
            <w:hideMark/>
          </w:tcPr>
          <w:p w14:paraId="20254849" w14:textId="77777777" w:rsidR="00B54094" w:rsidRPr="00B54094" w:rsidRDefault="00B54094" w:rsidP="00B54094">
            <w:pPr>
              <w:spacing w:after="0" w:line="240" w:lineRule="auto"/>
              <w:jc w:val="center"/>
              <w:rPr>
                <w:rFonts w:eastAsia="Times New Roman" w:cs="Times New Roman"/>
                <w:b/>
                <w:bCs/>
                <w:kern w:val="0"/>
                <w:sz w:val="18"/>
                <w:szCs w:val="18"/>
                <w:lang w:eastAsia="pl-PL"/>
                <w14:ligatures w14:val="none"/>
              </w:rPr>
            </w:pPr>
            <w:r w:rsidRPr="00B54094">
              <w:rPr>
                <w:rFonts w:eastAsia="Times New Roman" w:cs="Times New Roman"/>
                <w:b/>
                <w:bCs/>
                <w:kern w:val="0"/>
                <w:sz w:val="18"/>
                <w:szCs w:val="18"/>
                <w:lang w:eastAsia="pl-PL"/>
                <w14:ligatures w14:val="none"/>
              </w:rPr>
              <w:t>2030/1990</w:t>
            </w:r>
          </w:p>
        </w:tc>
        <w:tc>
          <w:tcPr>
            <w:tcW w:w="1111" w:type="dxa"/>
            <w:tcBorders>
              <w:top w:val="single" w:sz="4" w:space="0" w:color="auto"/>
              <w:bottom w:val="single" w:sz="4" w:space="0" w:color="auto"/>
              <w:right w:val="single" w:sz="4" w:space="0" w:color="auto"/>
            </w:tcBorders>
            <w:shd w:val="clear" w:color="000000" w:fill="FFC000"/>
            <w:noWrap/>
            <w:vAlign w:val="center"/>
            <w:hideMark/>
          </w:tcPr>
          <w:p w14:paraId="5152E8C4" w14:textId="77777777" w:rsidR="00B54094" w:rsidRPr="00B54094" w:rsidRDefault="00B54094" w:rsidP="00B54094">
            <w:pPr>
              <w:spacing w:after="0" w:line="240" w:lineRule="auto"/>
              <w:jc w:val="center"/>
              <w:rPr>
                <w:rFonts w:eastAsia="Times New Roman" w:cs="Times New Roman"/>
                <w:b/>
                <w:bCs/>
                <w:kern w:val="0"/>
                <w:sz w:val="18"/>
                <w:szCs w:val="18"/>
                <w:lang w:eastAsia="pl-PL"/>
                <w14:ligatures w14:val="none"/>
              </w:rPr>
            </w:pPr>
            <w:r w:rsidRPr="00B54094">
              <w:rPr>
                <w:rFonts w:eastAsia="Times New Roman" w:cs="Times New Roman"/>
                <w:b/>
                <w:bCs/>
                <w:kern w:val="0"/>
                <w:sz w:val="18"/>
                <w:szCs w:val="18"/>
                <w:lang w:eastAsia="pl-PL"/>
                <w14:ligatures w14:val="none"/>
              </w:rPr>
              <w:t>2040/1990</w:t>
            </w:r>
          </w:p>
        </w:tc>
      </w:tr>
      <w:tr w:rsidR="00423AAF" w:rsidRPr="00B54094" w14:paraId="5BA7CEE6" w14:textId="77777777" w:rsidTr="00414664">
        <w:trPr>
          <w:trHeight w:val="306"/>
        </w:trPr>
        <w:tc>
          <w:tcPr>
            <w:tcW w:w="3114" w:type="dxa"/>
            <w:tcBorders>
              <w:top w:val="single" w:sz="4" w:space="0" w:color="auto"/>
              <w:left w:val="single" w:sz="4" w:space="0" w:color="auto"/>
            </w:tcBorders>
            <w:shd w:val="clear" w:color="auto" w:fill="auto"/>
            <w:noWrap/>
            <w:vAlign w:val="center"/>
            <w:hideMark/>
          </w:tcPr>
          <w:p w14:paraId="6851D11A" w14:textId="61CBAA41" w:rsidR="00423AAF" w:rsidRPr="00B54094" w:rsidRDefault="00423AAF" w:rsidP="00423AAF">
            <w:pPr>
              <w:spacing w:after="0" w:line="240" w:lineRule="auto"/>
              <w:jc w:val="left"/>
              <w:rPr>
                <w:rFonts w:eastAsia="Times New Roman" w:cs="Times New Roman"/>
                <w:kern w:val="0"/>
                <w:sz w:val="18"/>
                <w:szCs w:val="18"/>
                <w:lang w:eastAsia="pl-PL"/>
                <w14:ligatures w14:val="none"/>
              </w:rPr>
            </w:pPr>
            <w:r w:rsidRPr="00B54094">
              <w:rPr>
                <w:rFonts w:eastAsia="Times New Roman" w:cs="Times New Roman"/>
                <w:kern w:val="0"/>
                <w:sz w:val="18"/>
                <w:szCs w:val="18"/>
                <w:lang w:eastAsia="pl-PL"/>
                <w14:ligatures w14:val="none"/>
              </w:rPr>
              <w:t>Energia</w:t>
            </w:r>
          </w:p>
        </w:tc>
        <w:tc>
          <w:tcPr>
            <w:tcW w:w="933" w:type="dxa"/>
            <w:tcBorders>
              <w:top w:val="single" w:sz="4" w:space="0" w:color="auto"/>
            </w:tcBorders>
            <w:shd w:val="clear" w:color="auto" w:fill="auto"/>
            <w:noWrap/>
            <w:vAlign w:val="center"/>
          </w:tcPr>
          <w:p w14:paraId="25CFBD85" w14:textId="4B8A3EF2" w:rsidR="00423AAF" w:rsidRPr="00423AAF" w:rsidRDefault="00423AAF" w:rsidP="00423AAF">
            <w:pPr>
              <w:spacing w:after="0" w:line="240" w:lineRule="auto"/>
              <w:jc w:val="center"/>
              <w:rPr>
                <w:rFonts w:eastAsia="Times New Roman" w:cs="Times New Roman"/>
                <w:kern w:val="0"/>
                <w:sz w:val="18"/>
                <w:szCs w:val="18"/>
                <w:lang w:eastAsia="pl-PL"/>
                <w14:ligatures w14:val="none"/>
              </w:rPr>
            </w:pPr>
            <w:r w:rsidRPr="00423AAF">
              <w:rPr>
                <w:sz w:val="18"/>
                <w:szCs w:val="18"/>
              </w:rPr>
              <w:t>385,1</w:t>
            </w:r>
          </w:p>
        </w:tc>
        <w:tc>
          <w:tcPr>
            <w:tcW w:w="933" w:type="dxa"/>
            <w:tcBorders>
              <w:top w:val="single" w:sz="4" w:space="0" w:color="auto"/>
            </w:tcBorders>
            <w:shd w:val="clear" w:color="auto" w:fill="auto"/>
            <w:noWrap/>
            <w:vAlign w:val="center"/>
          </w:tcPr>
          <w:p w14:paraId="2DA66073" w14:textId="119DAE2C" w:rsidR="00423AAF" w:rsidRPr="00423AAF" w:rsidRDefault="00423AAF" w:rsidP="00423AAF">
            <w:pPr>
              <w:spacing w:after="0" w:line="240" w:lineRule="auto"/>
              <w:jc w:val="center"/>
              <w:rPr>
                <w:rFonts w:eastAsia="Times New Roman" w:cs="Times New Roman"/>
                <w:kern w:val="0"/>
                <w:sz w:val="18"/>
                <w:szCs w:val="18"/>
                <w:lang w:eastAsia="pl-PL"/>
                <w14:ligatures w14:val="none"/>
              </w:rPr>
            </w:pPr>
            <w:r w:rsidRPr="00423AAF">
              <w:rPr>
                <w:sz w:val="18"/>
                <w:szCs w:val="18"/>
              </w:rPr>
              <w:t>336,2</w:t>
            </w:r>
          </w:p>
        </w:tc>
        <w:tc>
          <w:tcPr>
            <w:tcW w:w="933" w:type="dxa"/>
            <w:tcBorders>
              <w:top w:val="single" w:sz="4" w:space="0" w:color="auto"/>
            </w:tcBorders>
            <w:shd w:val="clear" w:color="auto" w:fill="auto"/>
            <w:noWrap/>
            <w:vAlign w:val="center"/>
          </w:tcPr>
          <w:p w14:paraId="62CEDA0A" w14:textId="692F82CE" w:rsidR="00423AAF" w:rsidRPr="00423AAF" w:rsidRDefault="00423AAF" w:rsidP="00423AAF">
            <w:pPr>
              <w:spacing w:after="0" w:line="240" w:lineRule="auto"/>
              <w:jc w:val="center"/>
              <w:rPr>
                <w:rFonts w:eastAsia="Times New Roman" w:cs="Times New Roman"/>
                <w:kern w:val="0"/>
                <w:sz w:val="18"/>
                <w:szCs w:val="18"/>
                <w:lang w:eastAsia="pl-PL"/>
                <w14:ligatures w14:val="none"/>
              </w:rPr>
            </w:pPr>
            <w:r w:rsidRPr="00423AAF">
              <w:rPr>
                <w:sz w:val="18"/>
                <w:szCs w:val="18"/>
              </w:rPr>
              <w:t>202,9</w:t>
            </w:r>
          </w:p>
        </w:tc>
        <w:tc>
          <w:tcPr>
            <w:tcW w:w="933" w:type="dxa"/>
            <w:tcBorders>
              <w:top w:val="single" w:sz="4" w:space="0" w:color="auto"/>
              <w:right w:val="dotted" w:sz="4" w:space="0" w:color="000000" w:themeColor="text1"/>
            </w:tcBorders>
            <w:shd w:val="clear" w:color="auto" w:fill="auto"/>
            <w:noWrap/>
            <w:vAlign w:val="center"/>
          </w:tcPr>
          <w:p w14:paraId="348FAFAA" w14:textId="5EBA1B36" w:rsidR="00423AAF" w:rsidRPr="00423AAF" w:rsidRDefault="00423AAF" w:rsidP="00423AAF">
            <w:pPr>
              <w:spacing w:after="0" w:line="240" w:lineRule="auto"/>
              <w:jc w:val="center"/>
              <w:rPr>
                <w:rFonts w:eastAsia="Times New Roman" w:cs="Times New Roman"/>
                <w:kern w:val="0"/>
                <w:sz w:val="18"/>
                <w:szCs w:val="18"/>
                <w:lang w:eastAsia="pl-PL"/>
                <w14:ligatures w14:val="none"/>
              </w:rPr>
            </w:pPr>
            <w:r w:rsidRPr="00423AAF">
              <w:rPr>
                <w:sz w:val="18"/>
                <w:szCs w:val="18"/>
              </w:rPr>
              <w:t>105,3</w:t>
            </w:r>
          </w:p>
        </w:tc>
        <w:tc>
          <w:tcPr>
            <w:tcW w:w="1110" w:type="dxa"/>
            <w:tcBorders>
              <w:top w:val="single" w:sz="4" w:space="0" w:color="auto"/>
              <w:left w:val="dotted" w:sz="4" w:space="0" w:color="000000" w:themeColor="text1"/>
            </w:tcBorders>
            <w:shd w:val="clear" w:color="auto" w:fill="auto"/>
            <w:noWrap/>
            <w:vAlign w:val="center"/>
            <w:hideMark/>
          </w:tcPr>
          <w:p w14:paraId="0752D42B" w14:textId="77777777" w:rsidR="00423AAF" w:rsidRPr="00B54094" w:rsidRDefault="00423AAF" w:rsidP="00423AAF">
            <w:pPr>
              <w:spacing w:after="0" w:line="240" w:lineRule="auto"/>
              <w:jc w:val="center"/>
              <w:rPr>
                <w:rFonts w:eastAsia="Times New Roman" w:cs="Times New Roman"/>
                <w:kern w:val="0"/>
                <w:sz w:val="18"/>
                <w:szCs w:val="18"/>
                <w:lang w:eastAsia="pl-PL"/>
                <w14:ligatures w14:val="none"/>
              </w:rPr>
            </w:pPr>
            <w:r w:rsidRPr="00B54094">
              <w:rPr>
                <w:rFonts w:eastAsia="Times New Roman" w:cs="Times New Roman"/>
                <w:kern w:val="0"/>
                <w:sz w:val="18"/>
                <w:szCs w:val="18"/>
                <w:lang w:eastAsia="pl-PL"/>
                <w14:ligatures w14:val="none"/>
              </w:rPr>
              <w:t>-47%</w:t>
            </w:r>
          </w:p>
        </w:tc>
        <w:tc>
          <w:tcPr>
            <w:tcW w:w="1111" w:type="dxa"/>
            <w:tcBorders>
              <w:top w:val="single" w:sz="4" w:space="0" w:color="auto"/>
              <w:right w:val="single" w:sz="4" w:space="0" w:color="auto"/>
            </w:tcBorders>
            <w:shd w:val="clear" w:color="auto" w:fill="auto"/>
            <w:noWrap/>
            <w:vAlign w:val="center"/>
            <w:hideMark/>
          </w:tcPr>
          <w:p w14:paraId="0FA22D12" w14:textId="77777777" w:rsidR="00423AAF" w:rsidRPr="00B54094" w:rsidRDefault="00423AAF" w:rsidP="00423AAF">
            <w:pPr>
              <w:spacing w:after="0" w:line="240" w:lineRule="auto"/>
              <w:jc w:val="center"/>
              <w:rPr>
                <w:rFonts w:eastAsia="Times New Roman" w:cs="Times New Roman"/>
                <w:kern w:val="0"/>
                <w:sz w:val="18"/>
                <w:szCs w:val="18"/>
                <w:lang w:eastAsia="pl-PL"/>
                <w14:ligatures w14:val="none"/>
              </w:rPr>
            </w:pPr>
            <w:r w:rsidRPr="00B54094">
              <w:rPr>
                <w:rFonts w:eastAsia="Times New Roman" w:cs="Times New Roman"/>
                <w:kern w:val="0"/>
                <w:sz w:val="18"/>
                <w:szCs w:val="18"/>
                <w:lang w:eastAsia="pl-PL"/>
                <w14:ligatures w14:val="none"/>
              </w:rPr>
              <w:t>-73%</w:t>
            </w:r>
          </w:p>
        </w:tc>
      </w:tr>
      <w:tr w:rsidR="000858ED" w:rsidRPr="00B54094" w14:paraId="61C2D72E" w14:textId="77777777" w:rsidTr="00414664">
        <w:trPr>
          <w:trHeight w:val="255"/>
        </w:trPr>
        <w:tc>
          <w:tcPr>
            <w:tcW w:w="3114" w:type="dxa"/>
            <w:tcBorders>
              <w:left w:val="single" w:sz="4" w:space="0" w:color="auto"/>
            </w:tcBorders>
            <w:shd w:val="clear" w:color="auto" w:fill="auto"/>
            <w:noWrap/>
            <w:vAlign w:val="center"/>
          </w:tcPr>
          <w:p w14:paraId="2175200B" w14:textId="17EC8438" w:rsidR="000858ED" w:rsidRPr="003E3D7C" w:rsidRDefault="000858ED" w:rsidP="000858ED">
            <w:pPr>
              <w:spacing w:after="0" w:line="240" w:lineRule="auto"/>
              <w:ind w:left="206"/>
              <w:jc w:val="left"/>
              <w:rPr>
                <w:rFonts w:eastAsia="Times New Roman" w:cs="Times New Roman"/>
                <w:kern w:val="0"/>
                <w:sz w:val="16"/>
                <w:szCs w:val="16"/>
                <w:lang w:eastAsia="pl-PL"/>
                <w14:ligatures w14:val="none"/>
              </w:rPr>
            </w:pPr>
            <w:r>
              <w:rPr>
                <w:color w:val="000000"/>
                <w:sz w:val="16"/>
                <w:szCs w:val="16"/>
              </w:rPr>
              <w:t>elektrownie i elektrociepłownie</w:t>
            </w:r>
          </w:p>
        </w:tc>
        <w:tc>
          <w:tcPr>
            <w:tcW w:w="933" w:type="dxa"/>
            <w:shd w:val="clear" w:color="auto" w:fill="auto"/>
            <w:noWrap/>
            <w:vAlign w:val="center"/>
          </w:tcPr>
          <w:p w14:paraId="255B0BD5" w14:textId="6E8ADD51" w:rsidR="000858ED" w:rsidRPr="000858ED" w:rsidRDefault="000858ED" w:rsidP="000858ED">
            <w:pPr>
              <w:spacing w:after="0" w:line="240" w:lineRule="auto"/>
              <w:jc w:val="center"/>
              <w:rPr>
                <w:sz w:val="16"/>
                <w:szCs w:val="16"/>
              </w:rPr>
            </w:pPr>
            <w:r w:rsidRPr="000858ED">
              <w:rPr>
                <w:color w:val="000000"/>
                <w:sz w:val="16"/>
                <w:szCs w:val="16"/>
              </w:rPr>
              <w:t>186,9</w:t>
            </w:r>
          </w:p>
        </w:tc>
        <w:tc>
          <w:tcPr>
            <w:tcW w:w="933" w:type="dxa"/>
            <w:shd w:val="clear" w:color="auto" w:fill="auto"/>
            <w:noWrap/>
            <w:vAlign w:val="center"/>
          </w:tcPr>
          <w:p w14:paraId="30E1BFF3" w14:textId="092DD797" w:rsidR="000858ED" w:rsidRPr="000858ED" w:rsidRDefault="000858ED" w:rsidP="000858ED">
            <w:pPr>
              <w:spacing w:after="0" w:line="240" w:lineRule="auto"/>
              <w:jc w:val="center"/>
              <w:rPr>
                <w:sz w:val="16"/>
                <w:szCs w:val="16"/>
              </w:rPr>
            </w:pPr>
            <w:r w:rsidRPr="000858ED">
              <w:rPr>
                <w:sz w:val="16"/>
                <w:szCs w:val="16"/>
              </w:rPr>
              <w:t>141,1</w:t>
            </w:r>
          </w:p>
        </w:tc>
        <w:tc>
          <w:tcPr>
            <w:tcW w:w="933" w:type="dxa"/>
            <w:shd w:val="clear" w:color="auto" w:fill="auto"/>
            <w:noWrap/>
            <w:vAlign w:val="center"/>
          </w:tcPr>
          <w:p w14:paraId="5F8D9163" w14:textId="21EC0371" w:rsidR="000858ED" w:rsidRPr="000858ED" w:rsidRDefault="000858ED" w:rsidP="000858ED">
            <w:pPr>
              <w:spacing w:after="0" w:line="240" w:lineRule="auto"/>
              <w:jc w:val="center"/>
              <w:rPr>
                <w:sz w:val="16"/>
                <w:szCs w:val="16"/>
              </w:rPr>
            </w:pPr>
            <w:r w:rsidRPr="000858ED">
              <w:rPr>
                <w:sz w:val="16"/>
                <w:szCs w:val="16"/>
              </w:rPr>
              <w:t>63,4</w:t>
            </w:r>
          </w:p>
        </w:tc>
        <w:tc>
          <w:tcPr>
            <w:tcW w:w="933" w:type="dxa"/>
            <w:tcBorders>
              <w:right w:val="dotted" w:sz="4" w:space="0" w:color="000000" w:themeColor="text1"/>
            </w:tcBorders>
            <w:shd w:val="clear" w:color="auto" w:fill="auto"/>
            <w:noWrap/>
            <w:vAlign w:val="center"/>
          </w:tcPr>
          <w:p w14:paraId="550F6113" w14:textId="33738E01" w:rsidR="000858ED" w:rsidRPr="000858ED" w:rsidRDefault="000858ED" w:rsidP="000858ED">
            <w:pPr>
              <w:spacing w:after="0" w:line="240" w:lineRule="auto"/>
              <w:jc w:val="center"/>
              <w:rPr>
                <w:sz w:val="16"/>
                <w:szCs w:val="16"/>
              </w:rPr>
            </w:pPr>
            <w:r w:rsidRPr="000858ED">
              <w:rPr>
                <w:sz w:val="16"/>
                <w:szCs w:val="16"/>
              </w:rPr>
              <w:t>10,3</w:t>
            </w:r>
          </w:p>
        </w:tc>
        <w:tc>
          <w:tcPr>
            <w:tcW w:w="1110" w:type="dxa"/>
            <w:tcBorders>
              <w:left w:val="dotted" w:sz="4" w:space="0" w:color="000000" w:themeColor="text1"/>
            </w:tcBorders>
            <w:shd w:val="clear" w:color="auto" w:fill="auto"/>
            <w:noWrap/>
            <w:vAlign w:val="center"/>
          </w:tcPr>
          <w:p w14:paraId="4A0BF523" w14:textId="316CDC50" w:rsidR="000858ED" w:rsidRPr="000858ED" w:rsidRDefault="000858ED" w:rsidP="000858ED">
            <w:pPr>
              <w:spacing w:after="0" w:line="240" w:lineRule="auto"/>
              <w:jc w:val="center"/>
              <w:rPr>
                <w:rFonts w:eastAsia="Times New Roman" w:cs="Times New Roman"/>
                <w:kern w:val="0"/>
                <w:sz w:val="16"/>
                <w:szCs w:val="16"/>
                <w:lang w:eastAsia="pl-PL"/>
                <w14:ligatures w14:val="none"/>
              </w:rPr>
            </w:pPr>
            <w:r w:rsidRPr="000858ED">
              <w:rPr>
                <w:sz w:val="16"/>
                <w:szCs w:val="16"/>
              </w:rPr>
              <w:t>-66%</w:t>
            </w:r>
          </w:p>
        </w:tc>
        <w:tc>
          <w:tcPr>
            <w:tcW w:w="1111" w:type="dxa"/>
            <w:tcBorders>
              <w:right w:val="single" w:sz="4" w:space="0" w:color="auto"/>
            </w:tcBorders>
            <w:shd w:val="clear" w:color="auto" w:fill="auto"/>
            <w:noWrap/>
            <w:vAlign w:val="center"/>
          </w:tcPr>
          <w:p w14:paraId="47C81462" w14:textId="5DB607C7" w:rsidR="000858ED" w:rsidRPr="000858ED" w:rsidRDefault="000858ED" w:rsidP="000858ED">
            <w:pPr>
              <w:spacing w:after="0" w:line="240" w:lineRule="auto"/>
              <w:jc w:val="center"/>
              <w:rPr>
                <w:rFonts w:eastAsia="Times New Roman" w:cs="Times New Roman"/>
                <w:kern w:val="0"/>
                <w:sz w:val="16"/>
                <w:szCs w:val="16"/>
                <w:lang w:eastAsia="pl-PL"/>
                <w14:ligatures w14:val="none"/>
              </w:rPr>
            </w:pPr>
            <w:r w:rsidRPr="000858ED">
              <w:rPr>
                <w:sz w:val="16"/>
                <w:szCs w:val="16"/>
              </w:rPr>
              <w:t>-94%</w:t>
            </w:r>
          </w:p>
        </w:tc>
      </w:tr>
      <w:tr w:rsidR="000858ED" w:rsidRPr="00B54094" w14:paraId="4C2C23B3" w14:textId="77777777" w:rsidTr="00414664">
        <w:trPr>
          <w:trHeight w:val="255"/>
        </w:trPr>
        <w:tc>
          <w:tcPr>
            <w:tcW w:w="3114" w:type="dxa"/>
            <w:tcBorders>
              <w:left w:val="single" w:sz="4" w:space="0" w:color="auto"/>
            </w:tcBorders>
            <w:shd w:val="clear" w:color="auto" w:fill="auto"/>
            <w:noWrap/>
            <w:vAlign w:val="center"/>
          </w:tcPr>
          <w:p w14:paraId="415B0235" w14:textId="67991243" w:rsidR="000858ED" w:rsidRPr="003E3D7C" w:rsidRDefault="000858ED" w:rsidP="000858ED">
            <w:pPr>
              <w:spacing w:after="0" w:line="240" w:lineRule="auto"/>
              <w:ind w:left="206"/>
              <w:jc w:val="left"/>
              <w:rPr>
                <w:rFonts w:eastAsia="Times New Roman" w:cs="Times New Roman"/>
                <w:kern w:val="0"/>
                <w:sz w:val="16"/>
                <w:szCs w:val="16"/>
                <w:lang w:eastAsia="pl-PL"/>
                <w14:ligatures w14:val="none"/>
              </w:rPr>
            </w:pPr>
            <w:r>
              <w:rPr>
                <w:color w:val="000000"/>
                <w:sz w:val="16"/>
                <w:szCs w:val="16"/>
              </w:rPr>
              <w:t>ciepłownie</w:t>
            </w:r>
          </w:p>
        </w:tc>
        <w:tc>
          <w:tcPr>
            <w:tcW w:w="933" w:type="dxa"/>
            <w:shd w:val="clear" w:color="auto" w:fill="auto"/>
            <w:noWrap/>
            <w:vAlign w:val="center"/>
          </w:tcPr>
          <w:p w14:paraId="5B7092BB" w14:textId="60596D4D" w:rsidR="000858ED" w:rsidRPr="000858ED" w:rsidRDefault="000858ED" w:rsidP="000858ED">
            <w:pPr>
              <w:spacing w:after="0" w:line="240" w:lineRule="auto"/>
              <w:jc w:val="center"/>
              <w:rPr>
                <w:sz w:val="16"/>
                <w:szCs w:val="16"/>
              </w:rPr>
            </w:pPr>
            <w:r w:rsidRPr="000858ED">
              <w:rPr>
                <w:color w:val="000000"/>
                <w:sz w:val="16"/>
                <w:szCs w:val="16"/>
              </w:rPr>
              <w:t>41,3</w:t>
            </w:r>
          </w:p>
        </w:tc>
        <w:tc>
          <w:tcPr>
            <w:tcW w:w="933" w:type="dxa"/>
            <w:shd w:val="clear" w:color="auto" w:fill="auto"/>
            <w:noWrap/>
            <w:vAlign w:val="center"/>
          </w:tcPr>
          <w:p w14:paraId="08B9E3DB" w14:textId="3EB46930" w:rsidR="000858ED" w:rsidRPr="000858ED" w:rsidRDefault="000858ED" w:rsidP="000858ED">
            <w:pPr>
              <w:spacing w:after="0" w:line="240" w:lineRule="auto"/>
              <w:jc w:val="center"/>
              <w:rPr>
                <w:sz w:val="16"/>
                <w:szCs w:val="16"/>
              </w:rPr>
            </w:pPr>
            <w:r w:rsidRPr="000858ED">
              <w:rPr>
                <w:sz w:val="16"/>
                <w:szCs w:val="16"/>
              </w:rPr>
              <w:t>11,1</w:t>
            </w:r>
          </w:p>
        </w:tc>
        <w:tc>
          <w:tcPr>
            <w:tcW w:w="933" w:type="dxa"/>
            <w:shd w:val="clear" w:color="auto" w:fill="auto"/>
            <w:noWrap/>
            <w:vAlign w:val="center"/>
          </w:tcPr>
          <w:p w14:paraId="5E670CD1" w14:textId="764CCD88" w:rsidR="000858ED" w:rsidRPr="000858ED" w:rsidRDefault="000858ED" w:rsidP="000858ED">
            <w:pPr>
              <w:spacing w:after="0" w:line="240" w:lineRule="auto"/>
              <w:jc w:val="center"/>
              <w:rPr>
                <w:sz w:val="16"/>
                <w:szCs w:val="16"/>
              </w:rPr>
            </w:pPr>
            <w:r w:rsidRPr="000858ED">
              <w:rPr>
                <w:sz w:val="16"/>
                <w:szCs w:val="16"/>
              </w:rPr>
              <w:t>5,3</w:t>
            </w:r>
          </w:p>
        </w:tc>
        <w:tc>
          <w:tcPr>
            <w:tcW w:w="933" w:type="dxa"/>
            <w:tcBorders>
              <w:right w:val="dotted" w:sz="4" w:space="0" w:color="000000" w:themeColor="text1"/>
            </w:tcBorders>
            <w:shd w:val="clear" w:color="auto" w:fill="auto"/>
            <w:noWrap/>
            <w:vAlign w:val="center"/>
          </w:tcPr>
          <w:p w14:paraId="326399F9" w14:textId="731B899D" w:rsidR="000858ED" w:rsidRPr="000858ED" w:rsidRDefault="000858ED" w:rsidP="000858ED">
            <w:pPr>
              <w:spacing w:after="0" w:line="240" w:lineRule="auto"/>
              <w:jc w:val="center"/>
              <w:rPr>
                <w:sz w:val="16"/>
                <w:szCs w:val="16"/>
              </w:rPr>
            </w:pPr>
            <w:r w:rsidRPr="000858ED">
              <w:rPr>
                <w:sz w:val="16"/>
                <w:szCs w:val="16"/>
              </w:rPr>
              <w:t>1,8</w:t>
            </w:r>
          </w:p>
        </w:tc>
        <w:tc>
          <w:tcPr>
            <w:tcW w:w="1110" w:type="dxa"/>
            <w:tcBorders>
              <w:left w:val="dotted" w:sz="4" w:space="0" w:color="000000" w:themeColor="text1"/>
            </w:tcBorders>
            <w:shd w:val="clear" w:color="auto" w:fill="auto"/>
            <w:noWrap/>
            <w:vAlign w:val="center"/>
          </w:tcPr>
          <w:p w14:paraId="3216BC73" w14:textId="384CC6F3" w:rsidR="000858ED" w:rsidRPr="000858ED" w:rsidRDefault="000858ED" w:rsidP="000858ED">
            <w:pPr>
              <w:spacing w:after="0" w:line="240" w:lineRule="auto"/>
              <w:jc w:val="center"/>
              <w:rPr>
                <w:rFonts w:eastAsia="Times New Roman" w:cs="Times New Roman"/>
                <w:kern w:val="0"/>
                <w:sz w:val="16"/>
                <w:szCs w:val="16"/>
                <w:lang w:eastAsia="pl-PL"/>
                <w14:ligatures w14:val="none"/>
              </w:rPr>
            </w:pPr>
            <w:r w:rsidRPr="000858ED">
              <w:rPr>
                <w:sz w:val="16"/>
                <w:szCs w:val="16"/>
              </w:rPr>
              <w:t>-87%</w:t>
            </w:r>
          </w:p>
        </w:tc>
        <w:tc>
          <w:tcPr>
            <w:tcW w:w="1111" w:type="dxa"/>
            <w:tcBorders>
              <w:right w:val="single" w:sz="4" w:space="0" w:color="auto"/>
            </w:tcBorders>
            <w:shd w:val="clear" w:color="auto" w:fill="auto"/>
            <w:noWrap/>
            <w:vAlign w:val="center"/>
          </w:tcPr>
          <w:p w14:paraId="2D485D32" w14:textId="2B553BC7" w:rsidR="000858ED" w:rsidRPr="000858ED" w:rsidRDefault="000858ED" w:rsidP="000858ED">
            <w:pPr>
              <w:spacing w:after="0" w:line="240" w:lineRule="auto"/>
              <w:jc w:val="center"/>
              <w:rPr>
                <w:rFonts w:eastAsia="Times New Roman" w:cs="Times New Roman"/>
                <w:kern w:val="0"/>
                <w:sz w:val="16"/>
                <w:szCs w:val="16"/>
                <w:lang w:eastAsia="pl-PL"/>
                <w14:ligatures w14:val="none"/>
              </w:rPr>
            </w:pPr>
            <w:r w:rsidRPr="000858ED">
              <w:rPr>
                <w:sz w:val="16"/>
                <w:szCs w:val="16"/>
              </w:rPr>
              <w:t>-96%</w:t>
            </w:r>
          </w:p>
        </w:tc>
      </w:tr>
      <w:tr w:rsidR="000858ED" w:rsidRPr="00B54094" w14:paraId="6D34BCDC" w14:textId="77777777" w:rsidTr="00414664">
        <w:trPr>
          <w:trHeight w:val="255"/>
        </w:trPr>
        <w:tc>
          <w:tcPr>
            <w:tcW w:w="3114" w:type="dxa"/>
            <w:tcBorders>
              <w:left w:val="single" w:sz="4" w:space="0" w:color="auto"/>
            </w:tcBorders>
            <w:shd w:val="clear" w:color="auto" w:fill="auto"/>
            <w:noWrap/>
            <w:vAlign w:val="center"/>
          </w:tcPr>
          <w:p w14:paraId="170DAEC7" w14:textId="765E7DD6" w:rsidR="000858ED" w:rsidRPr="003E3D7C" w:rsidRDefault="000858ED" w:rsidP="000858ED">
            <w:pPr>
              <w:spacing w:after="0" w:line="240" w:lineRule="auto"/>
              <w:ind w:left="206"/>
              <w:jc w:val="left"/>
              <w:rPr>
                <w:rFonts w:eastAsia="Times New Roman" w:cs="Times New Roman"/>
                <w:kern w:val="0"/>
                <w:sz w:val="16"/>
                <w:szCs w:val="16"/>
                <w:lang w:eastAsia="pl-PL"/>
                <w14:ligatures w14:val="none"/>
              </w:rPr>
            </w:pPr>
            <w:r>
              <w:rPr>
                <w:color w:val="000000"/>
                <w:sz w:val="16"/>
                <w:szCs w:val="16"/>
              </w:rPr>
              <w:t>przemysł wytwórczy</w:t>
            </w:r>
          </w:p>
        </w:tc>
        <w:tc>
          <w:tcPr>
            <w:tcW w:w="933" w:type="dxa"/>
            <w:shd w:val="clear" w:color="auto" w:fill="auto"/>
            <w:noWrap/>
            <w:vAlign w:val="center"/>
          </w:tcPr>
          <w:p w14:paraId="02F6CB5C" w14:textId="61C30CFF" w:rsidR="000858ED" w:rsidRPr="000858ED" w:rsidRDefault="000858ED" w:rsidP="000858ED">
            <w:pPr>
              <w:spacing w:after="0" w:line="240" w:lineRule="auto"/>
              <w:jc w:val="center"/>
              <w:rPr>
                <w:sz w:val="16"/>
                <w:szCs w:val="16"/>
              </w:rPr>
            </w:pPr>
            <w:r w:rsidRPr="000858ED">
              <w:rPr>
                <w:color w:val="000000"/>
                <w:sz w:val="16"/>
                <w:szCs w:val="16"/>
              </w:rPr>
              <w:t>42,8</w:t>
            </w:r>
          </w:p>
        </w:tc>
        <w:tc>
          <w:tcPr>
            <w:tcW w:w="933" w:type="dxa"/>
            <w:shd w:val="clear" w:color="auto" w:fill="auto"/>
            <w:noWrap/>
            <w:vAlign w:val="center"/>
          </w:tcPr>
          <w:p w14:paraId="50E42B56" w14:textId="2A342C28" w:rsidR="000858ED" w:rsidRPr="000858ED" w:rsidRDefault="000858ED" w:rsidP="000858ED">
            <w:pPr>
              <w:spacing w:after="0" w:line="240" w:lineRule="auto"/>
              <w:jc w:val="center"/>
              <w:rPr>
                <w:sz w:val="16"/>
                <w:szCs w:val="16"/>
              </w:rPr>
            </w:pPr>
            <w:r w:rsidRPr="000858ED">
              <w:rPr>
                <w:sz w:val="16"/>
                <w:szCs w:val="16"/>
              </w:rPr>
              <w:t>30,1</w:t>
            </w:r>
          </w:p>
        </w:tc>
        <w:tc>
          <w:tcPr>
            <w:tcW w:w="933" w:type="dxa"/>
            <w:shd w:val="clear" w:color="auto" w:fill="auto"/>
            <w:noWrap/>
            <w:vAlign w:val="center"/>
          </w:tcPr>
          <w:p w14:paraId="5C5F74CF" w14:textId="7B75BF2E" w:rsidR="000858ED" w:rsidRPr="000858ED" w:rsidRDefault="000858ED" w:rsidP="000858ED">
            <w:pPr>
              <w:spacing w:after="0" w:line="240" w:lineRule="auto"/>
              <w:jc w:val="center"/>
              <w:rPr>
                <w:sz w:val="16"/>
                <w:szCs w:val="16"/>
              </w:rPr>
            </w:pPr>
            <w:r w:rsidRPr="000858ED">
              <w:rPr>
                <w:sz w:val="16"/>
                <w:szCs w:val="16"/>
              </w:rPr>
              <w:t>21,1</w:t>
            </w:r>
          </w:p>
        </w:tc>
        <w:tc>
          <w:tcPr>
            <w:tcW w:w="933" w:type="dxa"/>
            <w:tcBorders>
              <w:right w:val="dotted" w:sz="4" w:space="0" w:color="000000" w:themeColor="text1"/>
            </w:tcBorders>
            <w:shd w:val="clear" w:color="auto" w:fill="auto"/>
            <w:noWrap/>
            <w:vAlign w:val="center"/>
          </w:tcPr>
          <w:p w14:paraId="55110FA0" w14:textId="027B304B" w:rsidR="000858ED" w:rsidRPr="000858ED" w:rsidRDefault="000858ED" w:rsidP="000858ED">
            <w:pPr>
              <w:spacing w:after="0" w:line="240" w:lineRule="auto"/>
              <w:jc w:val="center"/>
              <w:rPr>
                <w:sz w:val="16"/>
                <w:szCs w:val="16"/>
              </w:rPr>
            </w:pPr>
            <w:r w:rsidRPr="000858ED">
              <w:rPr>
                <w:sz w:val="16"/>
                <w:szCs w:val="16"/>
              </w:rPr>
              <w:t>12,8</w:t>
            </w:r>
          </w:p>
        </w:tc>
        <w:tc>
          <w:tcPr>
            <w:tcW w:w="1110" w:type="dxa"/>
            <w:tcBorders>
              <w:left w:val="dotted" w:sz="4" w:space="0" w:color="000000" w:themeColor="text1"/>
            </w:tcBorders>
            <w:shd w:val="clear" w:color="auto" w:fill="auto"/>
            <w:noWrap/>
            <w:vAlign w:val="center"/>
          </w:tcPr>
          <w:p w14:paraId="0A915295" w14:textId="7479229A" w:rsidR="000858ED" w:rsidRPr="000858ED" w:rsidRDefault="000858ED" w:rsidP="000858ED">
            <w:pPr>
              <w:spacing w:after="0" w:line="240" w:lineRule="auto"/>
              <w:jc w:val="center"/>
              <w:rPr>
                <w:rFonts w:eastAsia="Times New Roman" w:cs="Times New Roman"/>
                <w:kern w:val="0"/>
                <w:sz w:val="16"/>
                <w:szCs w:val="16"/>
                <w:lang w:eastAsia="pl-PL"/>
                <w14:ligatures w14:val="none"/>
              </w:rPr>
            </w:pPr>
            <w:r w:rsidRPr="000858ED">
              <w:rPr>
                <w:sz w:val="16"/>
                <w:szCs w:val="16"/>
              </w:rPr>
              <w:t>-51%</w:t>
            </w:r>
          </w:p>
        </w:tc>
        <w:tc>
          <w:tcPr>
            <w:tcW w:w="1111" w:type="dxa"/>
            <w:tcBorders>
              <w:right w:val="single" w:sz="4" w:space="0" w:color="auto"/>
            </w:tcBorders>
            <w:shd w:val="clear" w:color="auto" w:fill="auto"/>
            <w:noWrap/>
            <w:vAlign w:val="center"/>
          </w:tcPr>
          <w:p w14:paraId="0419CF5C" w14:textId="7FE31D00" w:rsidR="000858ED" w:rsidRPr="000858ED" w:rsidRDefault="000858ED" w:rsidP="000858ED">
            <w:pPr>
              <w:spacing w:after="0" w:line="240" w:lineRule="auto"/>
              <w:jc w:val="center"/>
              <w:rPr>
                <w:rFonts w:eastAsia="Times New Roman" w:cs="Times New Roman"/>
                <w:kern w:val="0"/>
                <w:sz w:val="16"/>
                <w:szCs w:val="16"/>
                <w:lang w:eastAsia="pl-PL"/>
                <w14:ligatures w14:val="none"/>
              </w:rPr>
            </w:pPr>
            <w:r w:rsidRPr="000858ED">
              <w:rPr>
                <w:sz w:val="16"/>
                <w:szCs w:val="16"/>
              </w:rPr>
              <w:t>-70%</w:t>
            </w:r>
          </w:p>
        </w:tc>
      </w:tr>
      <w:tr w:rsidR="000858ED" w:rsidRPr="00B54094" w14:paraId="2644C907" w14:textId="77777777" w:rsidTr="00414664">
        <w:trPr>
          <w:trHeight w:val="255"/>
        </w:trPr>
        <w:tc>
          <w:tcPr>
            <w:tcW w:w="3114" w:type="dxa"/>
            <w:tcBorders>
              <w:left w:val="single" w:sz="4" w:space="0" w:color="auto"/>
            </w:tcBorders>
            <w:shd w:val="clear" w:color="auto" w:fill="auto"/>
            <w:noWrap/>
            <w:vAlign w:val="center"/>
          </w:tcPr>
          <w:p w14:paraId="03697F42" w14:textId="220E715B" w:rsidR="000858ED" w:rsidRPr="003E3D7C" w:rsidRDefault="000858ED" w:rsidP="000858ED">
            <w:pPr>
              <w:spacing w:after="0" w:line="240" w:lineRule="auto"/>
              <w:ind w:left="206"/>
              <w:jc w:val="left"/>
              <w:rPr>
                <w:rFonts w:eastAsia="Times New Roman" w:cs="Times New Roman"/>
                <w:kern w:val="0"/>
                <w:sz w:val="16"/>
                <w:szCs w:val="16"/>
                <w:lang w:eastAsia="pl-PL"/>
                <w14:ligatures w14:val="none"/>
              </w:rPr>
            </w:pPr>
            <w:r>
              <w:rPr>
                <w:color w:val="000000"/>
                <w:sz w:val="16"/>
                <w:szCs w:val="16"/>
              </w:rPr>
              <w:t>transport</w:t>
            </w:r>
          </w:p>
        </w:tc>
        <w:tc>
          <w:tcPr>
            <w:tcW w:w="933" w:type="dxa"/>
            <w:shd w:val="clear" w:color="auto" w:fill="auto"/>
            <w:noWrap/>
            <w:vAlign w:val="center"/>
          </w:tcPr>
          <w:p w14:paraId="0143BA28" w14:textId="12D66D4E" w:rsidR="000858ED" w:rsidRPr="000858ED" w:rsidRDefault="000858ED" w:rsidP="000858ED">
            <w:pPr>
              <w:spacing w:after="0" w:line="240" w:lineRule="auto"/>
              <w:jc w:val="center"/>
              <w:rPr>
                <w:sz w:val="16"/>
                <w:szCs w:val="16"/>
              </w:rPr>
            </w:pPr>
            <w:r w:rsidRPr="000858ED">
              <w:rPr>
                <w:color w:val="000000"/>
                <w:sz w:val="16"/>
                <w:szCs w:val="16"/>
              </w:rPr>
              <w:t>20,7</w:t>
            </w:r>
          </w:p>
        </w:tc>
        <w:tc>
          <w:tcPr>
            <w:tcW w:w="933" w:type="dxa"/>
            <w:shd w:val="clear" w:color="auto" w:fill="auto"/>
            <w:noWrap/>
            <w:vAlign w:val="center"/>
          </w:tcPr>
          <w:p w14:paraId="1E494655" w14:textId="2E8ECC94" w:rsidR="000858ED" w:rsidRPr="000858ED" w:rsidRDefault="000858ED" w:rsidP="000858ED">
            <w:pPr>
              <w:spacing w:after="0" w:line="240" w:lineRule="auto"/>
              <w:jc w:val="center"/>
              <w:rPr>
                <w:sz w:val="16"/>
                <w:szCs w:val="16"/>
              </w:rPr>
            </w:pPr>
            <w:r w:rsidRPr="000858ED">
              <w:rPr>
                <w:sz w:val="16"/>
                <w:szCs w:val="16"/>
              </w:rPr>
              <w:t>68,4</w:t>
            </w:r>
          </w:p>
        </w:tc>
        <w:tc>
          <w:tcPr>
            <w:tcW w:w="933" w:type="dxa"/>
            <w:shd w:val="clear" w:color="auto" w:fill="auto"/>
            <w:noWrap/>
            <w:vAlign w:val="center"/>
          </w:tcPr>
          <w:p w14:paraId="7C1BEE63" w14:textId="6F3453C0" w:rsidR="000858ED" w:rsidRPr="000858ED" w:rsidRDefault="000858ED" w:rsidP="000858ED">
            <w:pPr>
              <w:spacing w:after="0" w:line="240" w:lineRule="auto"/>
              <w:jc w:val="center"/>
              <w:rPr>
                <w:sz w:val="16"/>
                <w:szCs w:val="16"/>
              </w:rPr>
            </w:pPr>
            <w:r w:rsidRPr="000858ED">
              <w:rPr>
                <w:sz w:val="16"/>
                <w:szCs w:val="16"/>
              </w:rPr>
              <w:t>57,8</w:t>
            </w:r>
          </w:p>
        </w:tc>
        <w:tc>
          <w:tcPr>
            <w:tcW w:w="933" w:type="dxa"/>
            <w:tcBorders>
              <w:right w:val="dotted" w:sz="4" w:space="0" w:color="000000" w:themeColor="text1"/>
            </w:tcBorders>
            <w:shd w:val="clear" w:color="auto" w:fill="auto"/>
            <w:noWrap/>
            <w:vAlign w:val="center"/>
          </w:tcPr>
          <w:p w14:paraId="56954A8E" w14:textId="4AF86238" w:rsidR="000858ED" w:rsidRPr="000858ED" w:rsidRDefault="000858ED" w:rsidP="000858ED">
            <w:pPr>
              <w:spacing w:after="0" w:line="240" w:lineRule="auto"/>
              <w:jc w:val="center"/>
              <w:rPr>
                <w:sz w:val="16"/>
                <w:szCs w:val="16"/>
              </w:rPr>
            </w:pPr>
            <w:r w:rsidRPr="000858ED">
              <w:rPr>
                <w:sz w:val="16"/>
                <w:szCs w:val="16"/>
              </w:rPr>
              <w:t>44,3</w:t>
            </w:r>
          </w:p>
        </w:tc>
        <w:tc>
          <w:tcPr>
            <w:tcW w:w="1110" w:type="dxa"/>
            <w:tcBorders>
              <w:left w:val="dotted" w:sz="4" w:space="0" w:color="000000" w:themeColor="text1"/>
            </w:tcBorders>
            <w:shd w:val="clear" w:color="auto" w:fill="auto"/>
            <w:noWrap/>
            <w:vAlign w:val="center"/>
          </w:tcPr>
          <w:p w14:paraId="385A121D" w14:textId="66317557" w:rsidR="000858ED" w:rsidRPr="000858ED" w:rsidRDefault="000858ED" w:rsidP="000858ED">
            <w:pPr>
              <w:spacing w:after="0" w:line="240" w:lineRule="auto"/>
              <w:jc w:val="center"/>
              <w:rPr>
                <w:rFonts w:eastAsia="Times New Roman" w:cs="Times New Roman"/>
                <w:kern w:val="0"/>
                <w:sz w:val="16"/>
                <w:szCs w:val="16"/>
                <w:lang w:eastAsia="pl-PL"/>
                <w14:ligatures w14:val="none"/>
              </w:rPr>
            </w:pPr>
            <w:r w:rsidRPr="000858ED">
              <w:rPr>
                <w:sz w:val="16"/>
                <w:szCs w:val="16"/>
              </w:rPr>
              <w:t>179%</w:t>
            </w:r>
          </w:p>
        </w:tc>
        <w:tc>
          <w:tcPr>
            <w:tcW w:w="1111" w:type="dxa"/>
            <w:tcBorders>
              <w:right w:val="single" w:sz="4" w:space="0" w:color="auto"/>
            </w:tcBorders>
            <w:shd w:val="clear" w:color="auto" w:fill="auto"/>
            <w:noWrap/>
            <w:vAlign w:val="center"/>
          </w:tcPr>
          <w:p w14:paraId="7275A4EB" w14:textId="46DC95CA" w:rsidR="000858ED" w:rsidRPr="000858ED" w:rsidRDefault="000858ED" w:rsidP="000858ED">
            <w:pPr>
              <w:spacing w:after="0" w:line="240" w:lineRule="auto"/>
              <w:jc w:val="center"/>
              <w:rPr>
                <w:rFonts w:eastAsia="Times New Roman" w:cs="Times New Roman"/>
                <w:kern w:val="0"/>
                <w:sz w:val="16"/>
                <w:szCs w:val="16"/>
                <w:lang w:eastAsia="pl-PL"/>
                <w14:ligatures w14:val="none"/>
              </w:rPr>
            </w:pPr>
            <w:r w:rsidRPr="000858ED">
              <w:rPr>
                <w:sz w:val="16"/>
                <w:szCs w:val="16"/>
              </w:rPr>
              <w:t>114%</w:t>
            </w:r>
          </w:p>
        </w:tc>
      </w:tr>
      <w:tr w:rsidR="000858ED" w:rsidRPr="00B54094" w14:paraId="5DD94F73" w14:textId="77777777" w:rsidTr="00414664">
        <w:trPr>
          <w:trHeight w:val="255"/>
        </w:trPr>
        <w:tc>
          <w:tcPr>
            <w:tcW w:w="3114" w:type="dxa"/>
            <w:tcBorders>
              <w:left w:val="single" w:sz="4" w:space="0" w:color="auto"/>
            </w:tcBorders>
            <w:shd w:val="clear" w:color="auto" w:fill="auto"/>
            <w:noWrap/>
            <w:vAlign w:val="center"/>
          </w:tcPr>
          <w:p w14:paraId="5EFBCD3D" w14:textId="1F1F7838" w:rsidR="000858ED" w:rsidRPr="003E3D7C" w:rsidRDefault="000858ED" w:rsidP="000858ED">
            <w:pPr>
              <w:spacing w:after="0" w:line="240" w:lineRule="auto"/>
              <w:ind w:left="206"/>
              <w:jc w:val="left"/>
              <w:rPr>
                <w:rFonts w:eastAsia="Times New Roman" w:cs="Times New Roman"/>
                <w:kern w:val="0"/>
                <w:sz w:val="16"/>
                <w:szCs w:val="16"/>
                <w:lang w:eastAsia="pl-PL"/>
                <w14:ligatures w14:val="none"/>
              </w:rPr>
            </w:pPr>
            <w:r>
              <w:rPr>
                <w:color w:val="000000"/>
                <w:sz w:val="16"/>
                <w:szCs w:val="16"/>
              </w:rPr>
              <w:t>gospodarstwa domowe</w:t>
            </w:r>
          </w:p>
        </w:tc>
        <w:tc>
          <w:tcPr>
            <w:tcW w:w="933" w:type="dxa"/>
            <w:shd w:val="clear" w:color="auto" w:fill="auto"/>
            <w:noWrap/>
            <w:vAlign w:val="center"/>
          </w:tcPr>
          <w:p w14:paraId="7CFD8947" w14:textId="472BF492" w:rsidR="000858ED" w:rsidRPr="000858ED" w:rsidRDefault="000858ED" w:rsidP="000858ED">
            <w:pPr>
              <w:spacing w:after="0" w:line="240" w:lineRule="auto"/>
              <w:jc w:val="center"/>
              <w:rPr>
                <w:sz w:val="16"/>
                <w:szCs w:val="16"/>
              </w:rPr>
            </w:pPr>
            <w:r w:rsidRPr="000858ED">
              <w:rPr>
                <w:color w:val="000000"/>
                <w:sz w:val="16"/>
                <w:szCs w:val="16"/>
              </w:rPr>
              <w:t>38,2</w:t>
            </w:r>
          </w:p>
        </w:tc>
        <w:tc>
          <w:tcPr>
            <w:tcW w:w="933" w:type="dxa"/>
            <w:shd w:val="clear" w:color="auto" w:fill="auto"/>
            <w:noWrap/>
            <w:vAlign w:val="center"/>
          </w:tcPr>
          <w:p w14:paraId="25886D1E" w14:textId="374B1FA2" w:rsidR="000858ED" w:rsidRPr="000858ED" w:rsidRDefault="000858ED" w:rsidP="000858ED">
            <w:pPr>
              <w:spacing w:after="0" w:line="240" w:lineRule="auto"/>
              <w:jc w:val="center"/>
              <w:rPr>
                <w:sz w:val="16"/>
                <w:szCs w:val="16"/>
              </w:rPr>
            </w:pPr>
            <w:r w:rsidRPr="000858ED">
              <w:rPr>
                <w:sz w:val="16"/>
                <w:szCs w:val="16"/>
              </w:rPr>
              <w:t>35,2</w:t>
            </w:r>
          </w:p>
        </w:tc>
        <w:tc>
          <w:tcPr>
            <w:tcW w:w="933" w:type="dxa"/>
            <w:shd w:val="clear" w:color="auto" w:fill="auto"/>
            <w:noWrap/>
            <w:vAlign w:val="center"/>
          </w:tcPr>
          <w:p w14:paraId="7DCEE958" w14:textId="457DD952" w:rsidR="000858ED" w:rsidRPr="000858ED" w:rsidRDefault="000858ED" w:rsidP="000858ED">
            <w:pPr>
              <w:spacing w:after="0" w:line="240" w:lineRule="auto"/>
              <w:jc w:val="center"/>
              <w:rPr>
                <w:sz w:val="16"/>
                <w:szCs w:val="16"/>
              </w:rPr>
            </w:pPr>
            <w:r w:rsidRPr="000858ED">
              <w:rPr>
                <w:sz w:val="16"/>
                <w:szCs w:val="16"/>
              </w:rPr>
              <w:t>18,1</w:t>
            </w:r>
          </w:p>
        </w:tc>
        <w:tc>
          <w:tcPr>
            <w:tcW w:w="933" w:type="dxa"/>
            <w:tcBorders>
              <w:right w:val="dotted" w:sz="4" w:space="0" w:color="000000" w:themeColor="text1"/>
            </w:tcBorders>
            <w:shd w:val="clear" w:color="auto" w:fill="auto"/>
            <w:noWrap/>
            <w:vAlign w:val="center"/>
          </w:tcPr>
          <w:p w14:paraId="05DABFD2" w14:textId="35DCE84C" w:rsidR="000858ED" w:rsidRPr="000858ED" w:rsidRDefault="000858ED" w:rsidP="000858ED">
            <w:pPr>
              <w:spacing w:after="0" w:line="240" w:lineRule="auto"/>
              <w:jc w:val="center"/>
              <w:rPr>
                <w:sz w:val="16"/>
                <w:szCs w:val="16"/>
              </w:rPr>
            </w:pPr>
            <w:r w:rsidRPr="000858ED">
              <w:rPr>
                <w:sz w:val="16"/>
                <w:szCs w:val="16"/>
              </w:rPr>
              <w:t>9,6</w:t>
            </w:r>
          </w:p>
        </w:tc>
        <w:tc>
          <w:tcPr>
            <w:tcW w:w="1110" w:type="dxa"/>
            <w:tcBorders>
              <w:left w:val="dotted" w:sz="4" w:space="0" w:color="000000" w:themeColor="text1"/>
            </w:tcBorders>
            <w:shd w:val="clear" w:color="auto" w:fill="auto"/>
            <w:noWrap/>
            <w:vAlign w:val="center"/>
          </w:tcPr>
          <w:p w14:paraId="33FD8FAA" w14:textId="126F6D24" w:rsidR="000858ED" w:rsidRPr="000858ED" w:rsidRDefault="000858ED" w:rsidP="000858ED">
            <w:pPr>
              <w:spacing w:after="0" w:line="240" w:lineRule="auto"/>
              <w:jc w:val="center"/>
              <w:rPr>
                <w:rFonts w:eastAsia="Times New Roman" w:cs="Times New Roman"/>
                <w:kern w:val="0"/>
                <w:sz w:val="16"/>
                <w:szCs w:val="16"/>
                <w:lang w:eastAsia="pl-PL"/>
                <w14:ligatures w14:val="none"/>
              </w:rPr>
            </w:pPr>
            <w:r w:rsidRPr="000858ED">
              <w:rPr>
                <w:sz w:val="16"/>
                <w:szCs w:val="16"/>
              </w:rPr>
              <w:t>-53%</w:t>
            </w:r>
          </w:p>
        </w:tc>
        <w:tc>
          <w:tcPr>
            <w:tcW w:w="1111" w:type="dxa"/>
            <w:tcBorders>
              <w:right w:val="single" w:sz="4" w:space="0" w:color="auto"/>
            </w:tcBorders>
            <w:shd w:val="clear" w:color="auto" w:fill="auto"/>
            <w:noWrap/>
            <w:vAlign w:val="center"/>
          </w:tcPr>
          <w:p w14:paraId="217D4553" w14:textId="176B4BEA" w:rsidR="000858ED" w:rsidRPr="000858ED" w:rsidRDefault="000858ED" w:rsidP="000858ED">
            <w:pPr>
              <w:spacing w:after="0" w:line="240" w:lineRule="auto"/>
              <w:jc w:val="center"/>
              <w:rPr>
                <w:rFonts w:eastAsia="Times New Roman" w:cs="Times New Roman"/>
                <w:kern w:val="0"/>
                <w:sz w:val="16"/>
                <w:szCs w:val="16"/>
                <w:lang w:eastAsia="pl-PL"/>
                <w14:ligatures w14:val="none"/>
              </w:rPr>
            </w:pPr>
            <w:r w:rsidRPr="000858ED">
              <w:rPr>
                <w:sz w:val="16"/>
                <w:szCs w:val="16"/>
              </w:rPr>
              <w:t>-75%</w:t>
            </w:r>
          </w:p>
        </w:tc>
      </w:tr>
      <w:tr w:rsidR="000858ED" w:rsidRPr="00B54094" w14:paraId="49CA485F" w14:textId="77777777" w:rsidTr="00414664">
        <w:trPr>
          <w:trHeight w:val="255"/>
        </w:trPr>
        <w:tc>
          <w:tcPr>
            <w:tcW w:w="3114" w:type="dxa"/>
            <w:tcBorders>
              <w:left w:val="single" w:sz="4" w:space="0" w:color="auto"/>
            </w:tcBorders>
            <w:shd w:val="clear" w:color="auto" w:fill="auto"/>
            <w:noWrap/>
            <w:vAlign w:val="center"/>
          </w:tcPr>
          <w:p w14:paraId="4042D5AE" w14:textId="1553ACC0" w:rsidR="000858ED" w:rsidRPr="003E3D7C" w:rsidRDefault="000858ED" w:rsidP="000858ED">
            <w:pPr>
              <w:spacing w:after="0" w:line="240" w:lineRule="auto"/>
              <w:ind w:left="206"/>
              <w:jc w:val="left"/>
              <w:rPr>
                <w:rFonts w:eastAsia="Times New Roman" w:cs="Times New Roman"/>
                <w:kern w:val="0"/>
                <w:sz w:val="16"/>
                <w:szCs w:val="16"/>
                <w:lang w:eastAsia="pl-PL"/>
                <w14:ligatures w14:val="none"/>
              </w:rPr>
            </w:pPr>
            <w:r>
              <w:rPr>
                <w:color w:val="000000"/>
                <w:sz w:val="16"/>
                <w:szCs w:val="16"/>
              </w:rPr>
              <w:t>spalanie paliw w pozostałych sektorach</w:t>
            </w:r>
          </w:p>
        </w:tc>
        <w:tc>
          <w:tcPr>
            <w:tcW w:w="933" w:type="dxa"/>
            <w:shd w:val="clear" w:color="auto" w:fill="auto"/>
            <w:noWrap/>
            <w:vAlign w:val="center"/>
          </w:tcPr>
          <w:p w14:paraId="5F0C46A1" w14:textId="7C525775" w:rsidR="000858ED" w:rsidRPr="000858ED" w:rsidRDefault="000858ED" w:rsidP="000858ED">
            <w:pPr>
              <w:spacing w:after="0" w:line="240" w:lineRule="auto"/>
              <w:jc w:val="center"/>
              <w:rPr>
                <w:sz w:val="16"/>
                <w:szCs w:val="16"/>
              </w:rPr>
            </w:pPr>
            <w:r w:rsidRPr="000858ED">
              <w:rPr>
                <w:color w:val="000000"/>
                <w:sz w:val="16"/>
                <w:szCs w:val="16"/>
              </w:rPr>
              <w:t>26,1</w:t>
            </w:r>
          </w:p>
        </w:tc>
        <w:tc>
          <w:tcPr>
            <w:tcW w:w="933" w:type="dxa"/>
            <w:shd w:val="clear" w:color="auto" w:fill="auto"/>
            <w:noWrap/>
            <w:vAlign w:val="center"/>
          </w:tcPr>
          <w:p w14:paraId="74FE8732" w14:textId="580969D5" w:rsidR="000858ED" w:rsidRPr="000858ED" w:rsidRDefault="000858ED" w:rsidP="000858ED">
            <w:pPr>
              <w:spacing w:after="0" w:line="240" w:lineRule="auto"/>
              <w:jc w:val="center"/>
              <w:rPr>
                <w:sz w:val="16"/>
                <w:szCs w:val="16"/>
              </w:rPr>
            </w:pPr>
            <w:r w:rsidRPr="000858ED">
              <w:rPr>
                <w:sz w:val="16"/>
                <w:szCs w:val="16"/>
              </w:rPr>
              <w:t>27,2</w:t>
            </w:r>
          </w:p>
        </w:tc>
        <w:tc>
          <w:tcPr>
            <w:tcW w:w="933" w:type="dxa"/>
            <w:shd w:val="clear" w:color="auto" w:fill="auto"/>
            <w:noWrap/>
            <w:vAlign w:val="center"/>
          </w:tcPr>
          <w:p w14:paraId="63957AE7" w14:textId="08070046" w:rsidR="000858ED" w:rsidRPr="000858ED" w:rsidRDefault="000858ED" w:rsidP="000858ED">
            <w:pPr>
              <w:spacing w:after="0" w:line="240" w:lineRule="auto"/>
              <w:jc w:val="center"/>
              <w:rPr>
                <w:sz w:val="16"/>
                <w:szCs w:val="16"/>
              </w:rPr>
            </w:pPr>
            <w:r w:rsidRPr="000858ED">
              <w:rPr>
                <w:sz w:val="16"/>
                <w:szCs w:val="16"/>
              </w:rPr>
              <w:t>19,8</w:t>
            </w:r>
          </w:p>
        </w:tc>
        <w:tc>
          <w:tcPr>
            <w:tcW w:w="933" w:type="dxa"/>
            <w:tcBorders>
              <w:right w:val="dotted" w:sz="4" w:space="0" w:color="000000" w:themeColor="text1"/>
            </w:tcBorders>
            <w:shd w:val="clear" w:color="auto" w:fill="auto"/>
            <w:noWrap/>
            <w:vAlign w:val="center"/>
          </w:tcPr>
          <w:p w14:paraId="7898E5ED" w14:textId="76C86FF1" w:rsidR="000858ED" w:rsidRPr="000858ED" w:rsidRDefault="000858ED" w:rsidP="000858ED">
            <w:pPr>
              <w:spacing w:after="0" w:line="240" w:lineRule="auto"/>
              <w:jc w:val="center"/>
              <w:rPr>
                <w:sz w:val="16"/>
                <w:szCs w:val="16"/>
              </w:rPr>
            </w:pPr>
            <w:r w:rsidRPr="000858ED">
              <w:rPr>
                <w:sz w:val="16"/>
                <w:szCs w:val="16"/>
              </w:rPr>
              <w:t>14,7</w:t>
            </w:r>
          </w:p>
        </w:tc>
        <w:tc>
          <w:tcPr>
            <w:tcW w:w="1110" w:type="dxa"/>
            <w:tcBorders>
              <w:left w:val="dotted" w:sz="4" w:space="0" w:color="000000" w:themeColor="text1"/>
            </w:tcBorders>
            <w:shd w:val="clear" w:color="auto" w:fill="auto"/>
            <w:noWrap/>
            <w:vAlign w:val="center"/>
          </w:tcPr>
          <w:p w14:paraId="1CB9B886" w14:textId="57BAAC15" w:rsidR="000858ED" w:rsidRPr="000858ED" w:rsidRDefault="000858ED" w:rsidP="000858ED">
            <w:pPr>
              <w:spacing w:after="0" w:line="240" w:lineRule="auto"/>
              <w:jc w:val="center"/>
              <w:rPr>
                <w:rFonts w:eastAsia="Times New Roman" w:cs="Times New Roman"/>
                <w:kern w:val="0"/>
                <w:sz w:val="16"/>
                <w:szCs w:val="16"/>
                <w:lang w:eastAsia="pl-PL"/>
                <w14:ligatures w14:val="none"/>
              </w:rPr>
            </w:pPr>
            <w:r w:rsidRPr="000858ED">
              <w:rPr>
                <w:sz w:val="16"/>
                <w:szCs w:val="16"/>
              </w:rPr>
              <w:t>-24%</w:t>
            </w:r>
          </w:p>
        </w:tc>
        <w:tc>
          <w:tcPr>
            <w:tcW w:w="1111" w:type="dxa"/>
            <w:tcBorders>
              <w:right w:val="single" w:sz="4" w:space="0" w:color="auto"/>
            </w:tcBorders>
            <w:shd w:val="clear" w:color="auto" w:fill="auto"/>
            <w:noWrap/>
            <w:vAlign w:val="center"/>
          </w:tcPr>
          <w:p w14:paraId="1BE8B73C" w14:textId="0A4C0835" w:rsidR="000858ED" w:rsidRPr="000858ED" w:rsidRDefault="000858ED" w:rsidP="000858ED">
            <w:pPr>
              <w:spacing w:after="0" w:line="240" w:lineRule="auto"/>
              <w:jc w:val="center"/>
              <w:rPr>
                <w:rFonts w:eastAsia="Times New Roman" w:cs="Times New Roman"/>
                <w:kern w:val="0"/>
                <w:sz w:val="16"/>
                <w:szCs w:val="16"/>
                <w:lang w:eastAsia="pl-PL"/>
                <w14:ligatures w14:val="none"/>
              </w:rPr>
            </w:pPr>
            <w:r w:rsidRPr="000858ED">
              <w:rPr>
                <w:sz w:val="16"/>
                <w:szCs w:val="16"/>
              </w:rPr>
              <w:t>-43%</w:t>
            </w:r>
          </w:p>
        </w:tc>
      </w:tr>
      <w:tr w:rsidR="000858ED" w:rsidRPr="00B54094" w14:paraId="19E17235" w14:textId="77777777" w:rsidTr="00414664">
        <w:trPr>
          <w:trHeight w:val="283"/>
        </w:trPr>
        <w:tc>
          <w:tcPr>
            <w:tcW w:w="3114" w:type="dxa"/>
            <w:tcBorders>
              <w:left w:val="single" w:sz="4" w:space="0" w:color="auto"/>
              <w:bottom w:val="single" w:sz="4" w:space="0" w:color="auto"/>
            </w:tcBorders>
            <w:shd w:val="clear" w:color="auto" w:fill="auto"/>
            <w:noWrap/>
            <w:vAlign w:val="center"/>
          </w:tcPr>
          <w:p w14:paraId="45002014" w14:textId="46170243" w:rsidR="000858ED" w:rsidRPr="003E3D7C" w:rsidRDefault="000858ED" w:rsidP="00414664">
            <w:pPr>
              <w:spacing w:after="40" w:line="240" w:lineRule="auto"/>
              <w:ind w:left="206"/>
              <w:jc w:val="left"/>
              <w:rPr>
                <w:rFonts w:eastAsia="Times New Roman" w:cs="Times New Roman"/>
                <w:kern w:val="0"/>
                <w:sz w:val="16"/>
                <w:szCs w:val="16"/>
                <w:lang w:eastAsia="pl-PL"/>
                <w14:ligatures w14:val="none"/>
              </w:rPr>
            </w:pPr>
            <w:r>
              <w:rPr>
                <w:color w:val="000000"/>
                <w:sz w:val="16"/>
                <w:szCs w:val="16"/>
              </w:rPr>
              <w:t>emisja lotna z paliw</w:t>
            </w:r>
          </w:p>
        </w:tc>
        <w:tc>
          <w:tcPr>
            <w:tcW w:w="933" w:type="dxa"/>
            <w:tcBorders>
              <w:bottom w:val="single" w:sz="4" w:space="0" w:color="auto"/>
            </w:tcBorders>
            <w:shd w:val="clear" w:color="auto" w:fill="auto"/>
            <w:noWrap/>
            <w:vAlign w:val="center"/>
          </w:tcPr>
          <w:p w14:paraId="30DB6F84" w14:textId="7DF21C36" w:rsidR="000858ED" w:rsidRPr="000858ED" w:rsidRDefault="000858ED" w:rsidP="00414664">
            <w:pPr>
              <w:spacing w:after="40" w:line="240" w:lineRule="auto"/>
              <w:jc w:val="center"/>
              <w:rPr>
                <w:sz w:val="16"/>
                <w:szCs w:val="16"/>
              </w:rPr>
            </w:pPr>
            <w:r w:rsidRPr="000858ED">
              <w:rPr>
                <w:color w:val="000000"/>
                <w:sz w:val="16"/>
                <w:szCs w:val="16"/>
              </w:rPr>
              <w:t>29,2</w:t>
            </w:r>
          </w:p>
        </w:tc>
        <w:tc>
          <w:tcPr>
            <w:tcW w:w="933" w:type="dxa"/>
            <w:tcBorders>
              <w:bottom w:val="single" w:sz="4" w:space="0" w:color="auto"/>
            </w:tcBorders>
            <w:shd w:val="clear" w:color="auto" w:fill="auto"/>
            <w:noWrap/>
            <w:vAlign w:val="center"/>
          </w:tcPr>
          <w:p w14:paraId="6D51E308" w14:textId="7C2E045D" w:rsidR="000858ED" w:rsidRPr="000858ED" w:rsidRDefault="000858ED" w:rsidP="00414664">
            <w:pPr>
              <w:spacing w:after="40" w:line="240" w:lineRule="auto"/>
              <w:jc w:val="center"/>
              <w:rPr>
                <w:sz w:val="16"/>
                <w:szCs w:val="16"/>
              </w:rPr>
            </w:pPr>
            <w:r w:rsidRPr="000858ED">
              <w:rPr>
                <w:sz w:val="16"/>
                <w:szCs w:val="16"/>
              </w:rPr>
              <w:t>23,1</w:t>
            </w:r>
          </w:p>
        </w:tc>
        <w:tc>
          <w:tcPr>
            <w:tcW w:w="933" w:type="dxa"/>
            <w:tcBorders>
              <w:bottom w:val="single" w:sz="4" w:space="0" w:color="auto"/>
            </w:tcBorders>
            <w:shd w:val="clear" w:color="auto" w:fill="auto"/>
            <w:noWrap/>
            <w:vAlign w:val="center"/>
          </w:tcPr>
          <w:p w14:paraId="797FA011" w14:textId="0FA23CF9" w:rsidR="000858ED" w:rsidRPr="000858ED" w:rsidRDefault="000858ED" w:rsidP="00414664">
            <w:pPr>
              <w:spacing w:after="40" w:line="240" w:lineRule="auto"/>
              <w:jc w:val="center"/>
              <w:rPr>
                <w:sz w:val="16"/>
                <w:szCs w:val="16"/>
              </w:rPr>
            </w:pPr>
            <w:r w:rsidRPr="000858ED">
              <w:rPr>
                <w:sz w:val="16"/>
                <w:szCs w:val="16"/>
              </w:rPr>
              <w:t>17,3</w:t>
            </w:r>
          </w:p>
        </w:tc>
        <w:tc>
          <w:tcPr>
            <w:tcW w:w="933" w:type="dxa"/>
            <w:tcBorders>
              <w:bottom w:val="single" w:sz="4" w:space="0" w:color="auto"/>
              <w:right w:val="dotted" w:sz="4" w:space="0" w:color="000000" w:themeColor="text1"/>
            </w:tcBorders>
            <w:shd w:val="clear" w:color="auto" w:fill="auto"/>
            <w:noWrap/>
            <w:vAlign w:val="center"/>
          </w:tcPr>
          <w:p w14:paraId="302C9740" w14:textId="027B6392" w:rsidR="000858ED" w:rsidRPr="000858ED" w:rsidRDefault="000858ED" w:rsidP="00414664">
            <w:pPr>
              <w:spacing w:after="40" w:line="240" w:lineRule="auto"/>
              <w:jc w:val="center"/>
              <w:rPr>
                <w:sz w:val="16"/>
                <w:szCs w:val="16"/>
              </w:rPr>
            </w:pPr>
            <w:r w:rsidRPr="000858ED">
              <w:rPr>
                <w:sz w:val="16"/>
                <w:szCs w:val="16"/>
              </w:rPr>
              <w:t>11,7</w:t>
            </w:r>
          </w:p>
        </w:tc>
        <w:tc>
          <w:tcPr>
            <w:tcW w:w="1110" w:type="dxa"/>
            <w:tcBorders>
              <w:left w:val="dotted" w:sz="4" w:space="0" w:color="000000" w:themeColor="text1"/>
              <w:bottom w:val="single" w:sz="4" w:space="0" w:color="auto"/>
            </w:tcBorders>
            <w:shd w:val="clear" w:color="auto" w:fill="auto"/>
            <w:noWrap/>
            <w:vAlign w:val="center"/>
          </w:tcPr>
          <w:p w14:paraId="39B33B75" w14:textId="2F688FB3" w:rsidR="000858ED" w:rsidRPr="000858ED" w:rsidRDefault="000858ED" w:rsidP="00414664">
            <w:pPr>
              <w:spacing w:after="40" w:line="240" w:lineRule="auto"/>
              <w:jc w:val="center"/>
              <w:rPr>
                <w:rFonts w:eastAsia="Times New Roman" w:cs="Times New Roman"/>
                <w:kern w:val="0"/>
                <w:sz w:val="16"/>
                <w:szCs w:val="16"/>
                <w:lang w:eastAsia="pl-PL"/>
                <w14:ligatures w14:val="none"/>
              </w:rPr>
            </w:pPr>
            <w:r w:rsidRPr="000858ED">
              <w:rPr>
                <w:sz w:val="16"/>
                <w:szCs w:val="16"/>
              </w:rPr>
              <w:t>-41%</w:t>
            </w:r>
          </w:p>
        </w:tc>
        <w:tc>
          <w:tcPr>
            <w:tcW w:w="1111" w:type="dxa"/>
            <w:tcBorders>
              <w:bottom w:val="single" w:sz="4" w:space="0" w:color="auto"/>
              <w:right w:val="single" w:sz="4" w:space="0" w:color="auto"/>
            </w:tcBorders>
            <w:shd w:val="clear" w:color="auto" w:fill="auto"/>
            <w:noWrap/>
            <w:vAlign w:val="center"/>
          </w:tcPr>
          <w:p w14:paraId="2BFCBCBD" w14:textId="21E39593" w:rsidR="000858ED" w:rsidRPr="000858ED" w:rsidRDefault="000858ED" w:rsidP="00414664">
            <w:pPr>
              <w:spacing w:after="40" w:line="240" w:lineRule="auto"/>
              <w:jc w:val="center"/>
              <w:rPr>
                <w:rFonts w:eastAsia="Times New Roman" w:cs="Times New Roman"/>
                <w:kern w:val="0"/>
                <w:sz w:val="16"/>
                <w:szCs w:val="16"/>
                <w:lang w:eastAsia="pl-PL"/>
                <w14:ligatures w14:val="none"/>
              </w:rPr>
            </w:pPr>
            <w:r w:rsidRPr="000858ED">
              <w:rPr>
                <w:sz w:val="16"/>
                <w:szCs w:val="16"/>
              </w:rPr>
              <w:t>-60%</w:t>
            </w:r>
          </w:p>
        </w:tc>
      </w:tr>
      <w:tr w:rsidR="00423AAF" w:rsidRPr="00B54094" w14:paraId="2D079315" w14:textId="77777777" w:rsidTr="00414664">
        <w:trPr>
          <w:trHeight w:val="300"/>
        </w:trPr>
        <w:tc>
          <w:tcPr>
            <w:tcW w:w="3114" w:type="dxa"/>
            <w:tcBorders>
              <w:top w:val="single" w:sz="4" w:space="0" w:color="auto"/>
              <w:left w:val="single" w:sz="4" w:space="0" w:color="auto"/>
              <w:bottom w:val="single" w:sz="4" w:space="0" w:color="auto"/>
            </w:tcBorders>
            <w:shd w:val="clear" w:color="auto" w:fill="auto"/>
            <w:noWrap/>
            <w:vAlign w:val="center"/>
            <w:hideMark/>
          </w:tcPr>
          <w:p w14:paraId="4FB932B5" w14:textId="221CB854" w:rsidR="00423AAF" w:rsidRPr="00B54094" w:rsidRDefault="00423AAF" w:rsidP="00423AAF">
            <w:pPr>
              <w:spacing w:after="0" w:line="240" w:lineRule="auto"/>
              <w:jc w:val="left"/>
              <w:rPr>
                <w:rFonts w:eastAsia="Times New Roman" w:cs="Times New Roman"/>
                <w:kern w:val="0"/>
                <w:sz w:val="18"/>
                <w:szCs w:val="18"/>
                <w:lang w:eastAsia="pl-PL"/>
                <w14:ligatures w14:val="none"/>
              </w:rPr>
            </w:pPr>
            <w:r w:rsidRPr="00B54094">
              <w:rPr>
                <w:rFonts w:eastAsia="Times New Roman" w:cs="Times New Roman"/>
                <w:kern w:val="0"/>
                <w:sz w:val="18"/>
                <w:szCs w:val="18"/>
                <w:lang w:eastAsia="pl-PL"/>
                <w14:ligatures w14:val="none"/>
              </w:rPr>
              <w:t xml:space="preserve">Procesy przemysłowe </w:t>
            </w:r>
            <w:r w:rsidR="00414664">
              <w:rPr>
                <w:rFonts w:eastAsia="Times New Roman" w:cs="Times New Roman"/>
                <w:kern w:val="0"/>
                <w:sz w:val="18"/>
                <w:szCs w:val="18"/>
                <w:lang w:eastAsia="pl-PL"/>
                <w14:ligatures w14:val="none"/>
              </w:rPr>
              <w:br/>
            </w:r>
            <w:r w:rsidRPr="00B54094">
              <w:rPr>
                <w:rFonts w:eastAsia="Times New Roman" w:cs="Times New Roman"/>
                <w:kern w:val="0"/>
                <w:sz w:val="18"/>
                <w:szCs w:val="18"/>
                <w:lang w:eastAsia="pl-PL"/>
                <w14:ligatures w14:val="none"/>
              </w:rPr>
              <w:t>i</w:t>
            </w:r>
            <w:r w:rsidR="00414664">
              <w:rPr>
                <w:rFonts w:eastAsia="Times New Roman" w:cs="Times New Roman"/>
                <w:kern w:val="0"/>
                <w:sz w:val="18"/>
                <w:szCs w:val="18"/>
                <w:lang w:eastAsia="pl-PL"/>
                <w14:ligatures w14:val="none"/>
              </w:rPr>
              <w:t> </w:t>
            </w:r>
            <w:r w:rsidRPr="00B54094">
              <w:rPr>
                <w:rFonts w:eastAsia="Times New Roman" w:cs="Times New Roman"/>
                <w:kern w:val="0"/>
                <w:sz w:val="18"/>
                <w:szCs w:val="18"/>
                <w:lang w:eastAsia="pl-PL"/>
                <w14:ligatures w14:val="none"/>
              </w:rPr>
              <w:t>użyt</w:t>
            </w:r>
            <w:r>
              <w:rPr>
                <w:rFonts w:eastAsia="Times New Roman" w:cs="Times New Roman"/>
                <w:kern w:val="0"/>
                <w:sz w:val="18"/>
                <w:szCs w:val="18"/>
                <w:lang w:eastAsia="pl-PL"/>
                <w14:ligatures w14:val="none"/>
              </w:rPr>
              <w:t>k</w:t>
            </w:r>
            <w:r w:rsidRPr="00B54094">
              <w:rPr>
                <w:rFonts w:eastAsia="Times New Roman" w:cs="Times New Roman"/>
                <w:kern w:val="0"/>
                <w:sz w:val="18"/>
                <w:szCs w:val="18"/>
                <w:lang w:eastAsia="pl-PL"/>
                <w14:ligatures w14:val="none"/>
              </w:rPr>
              <w:t>owanie produktów</w:t>
            </w:r>
          </w:p>
        </w:tc>
        <w:tc>
          <w:tcPr>
            <w:tcW w:w="933" w:type="dxa"/>
            <w:tcBorders>
              <w:top w:val="single" w:sz="4" w:space="0" w:color="auto"/>
              <w:bottom w:val="single" w:sz="4" w:space="0" w:color="auto"/>
            </w:tcBorders>
            <w:shd w:val="clear" w:color="auto" w:fill="auto"/>
            <w:noWrap/>
            <w:vAlign w:val="center"/>
          </w:tcPr>
          <w:p w14:paraId="0EDB2BD7" w14:textId="24B2C28E" w:rsidR="00423AAF" w:rsidRPr="00423AAF" w:rsidRDefault="00423AAF" w:rsidP="00423AAF">
            <w:pPr>
              <w:spacing w:after="0" w:line="240" w:lineRule="auto"/>
              <w:jc w:val="center"/>
              <w:rPr>
                <w:rFonts w:eastAsia="Times New Roman" w:cs="Times New Roman"/>
                <w:kern w:val="0"/>
                <w:sz w:val="18"/>
                <w:szCs w:val="18"/>
                <w:lang w:eastAsia="pl-PL"/>
                <w14:ligatures w14:val="none"/>
              </w:rPr>
            </w:pPr>
            <w:r w:rsidRPr="00423AAF">
              <w:rPr>
                <w:sz w:val="18"/>
                <w:szCs w:val="18"/>
              </w:rPr>
              <w:t>22,0</w:t>
            </w:r>
          </w:p>
        </w:tc>
        <w:tc>
          <w:tcPr>
            <w:tcW w:w="933" w:type="dxa"/>
            <w:tcBorders>
              <w:top w:val="single" w:sz="4" w:space="0" w:color="auto"/>
              <w:bottom w:val="single" w:sz="4" w:space="0" w:color="auto"/>
            </w:tcBorders>
            <w:shd w:val="clear" w:color="auto" w:fill="auto"/>
            <w:noWrap/>
            <w:vAlign w:val="center"/>
          </w:tcPr>
          <w:p w14:paraId="092D81AB" w14:textId="78DE968D" w:rsidR="00423AAF" w:rsidRPr="00423AAF" w:rsidRDefault="00423AAF" w:rsidP="00423AAF">
            <w:pPr>
              <w:spacing w:after="0" w:line="240" w:lineRule="auto"/>
              <w:jc w:val="center"/>
              <w:rPr>
                <w:rFonts w:eastAsia="Times New Roman" w:cs="Times New Roman"/>
                <w:kern w:val="0"/>
                <w:sz w:val="18"/>
                <w:szCs w:val="18"/>
                <w:lang w:eastAsia="pl-PL"/>
                <w14:ligatures w14:val="none"/>
              </w:rPr>
            </w:pPr>
            <w:r w:rsidRPr="00423AAF">
              <w:rPr>
                <w:sz w:val="18"/>
                <w:szCs w:val="18"/>
              </w:rPr>
              <w:t>24,6</w:t>
            </w:r>
          </w:p>
        </w:tc>
        <w:tc>
          <w:tcPr>
            <w:tcW w:w="933" w:type="dxa"/>
            <w:tcBorders>
              <w:top w:val="single" w:sz="4" w:space="0" w:color="auto"/>
              <w:bottom w:val="single" w:sz="4" w:space="0" w:color="auto"/>
            </w:tcBorders>
            <w:shd w:val="clear" w:color="auto" w:fill="auto"/>
            <w:noWrap/>
            <w:vAlign w:val="center"/>
          </w:tcPr>
          <w:p w14:paraId="31D43731" w14:textId="0E429EAE" w:rsidR="00423AAF" w:rsidRPr="00423AAF" w:rsidRDefault="00423AAF" w:rsidP="00423AAF">
            <w:pPr>
              <w:spacing w:after="0" w:line="240" w:lineRule="auto"/>
              <w:jc w:val="center"/>
              <w:rPr>
                <w:rFonts w:eastAsia="Times New Roman" w:cs="Times New Roman"/>
                <w:kern w:val="0"/>
                <w:sz w:val="18"/>
                <w:szCs w:val="18"/>
                <w:lang w:eastAsia="pl-PL"/>
                <w14:ligatures w14:val="none"/>
              </w:rPr>
            </w:pPr>
            <w:r w:rsidRPr="00423AAF">
              <w:rPr>
                <w:sz w:val="18"/>
                <w:szCs w:val="18"/>
              </w:rPr>
              <w:t>23,5</w:t>
            </w:r>
          </w:p>
        </w:tc>
        <w:tc>
          <w:tcPr>
            <w:tcW w:w="933" w:type="dxa"/>
            <w:tcBorders>
              <w:top w:val="single" w:sz="4" w:space="0" w:color="auto"/>
              <w:bottom w:val="single" w:sz="4" w:space="0" w:color="auto"/>
              <w:right w:val="dotted" w:sz="4" w:space="0" w:color="000000" w:themeColor="text1"/>
            </w:tcBorders>
            <w:shd w:val="clear" w:color="auto" w:fill="auto"/>
            <w:noWrap/>
            <w:vAlign w:val="center"/>
          </w:tcPr>
          <w:p w14:paraId="355623E0" w14:textId="2CCE2BA4" w:rsidR="00423AAF" w:rsidRPr="00423AAF" w:rsidRDefault="00423AAF" w:rsidP="00423AAF">
            <w:pPr>
              <w:spacing w:after="0" w:line="240" w:lineRule="auto"/>
              <w:jc w:val="center"/>
              <w:rPr>
                <w:rFonts w:eastAsia="Times New Roman" w:cs="Times New Roman"/>
                <w:kern w:val="0"/>
                <w:sz w:val="18"/>
                <w:szCs w:val="18"/>
                <w:lang w:eastAsia="pl-PL"/>
                <w14:ligatures w14:val="none"/>
              </w:rPr>
            </w:pPr>
            <w:r w:rsidRPr="00423AAF">
              <w:rPr>
                <w:sz w:val="18"/>
                <w:szCs w:val="18"/>
              </w:rPr>
              <w:t>22,7</w:t>
            </w:r>
          </w:p>
        </w:tc>
        <w:tc>
          <w:tcPr>
            <w:tcW w:w="1110" w:type="dxa"/>
            <w:tcBorders>
              <w:top w:val="single" w:sz="4" w:space="0" w:color="auto"/>
              <w:left w:val="dotted" w:sz="4" w:space="0" w:color="000000" w:themeColor="text1"/>
              <w:bottom w:val="single" w:sz="4" w:space="0" w:color="auto"/>
            </w:tcBorders>
            <w:shd w:val="clear" w:color="auto" w:fill="auto"/>
            <w:noWrap/>
            <w:vAlign w:val="center"/>
            <w:hideMark/>
          </w:tcPr>
          <w:p w14:paraId="44AB1062" w14:textId="77777777" w:rsidR="00423AAF" w:rsidRPr="00B54094" w:rsidRDefault="00423AAF" w:rsidP="00423AAF">
            <w:pPr>
              <w:spacing w:after="0" w:line="240" w:lineRule="auto"/>
              <w:jc w:val="center"/>
              <w:rPr>
                <w:rFonts w:eastAsia="Times New Roman" w:cs="Times New Roman"/>
                <w:kern w:val="0"/>
                <w:sz w:val="18"/>
                <w:szCs w:val="18"/>
                <w:lang w:eastAsia="pl-PL"/>
                <w14:ligatures w14:val="none"/>
              </w:rPr>
            </w:pPr>
            <w:r w:rsidRPr="00B54094">
              <w:rPr>
                <w:rFonts w:eastAsia="Times New Roman" w:cs="Times New Roman"/>
                <w:kern w:val="0"/>
                <w:sz w:val="18"/>
                <w:szCs w:val="18"/>
                <w:lang w:eastAsia="pl-PL"/>
                <w14:ligatures w14:val="none"/>
              </w:rPr>
              <w:t>7%</w:t>
            </w:r>
          </w:p>
        </w:tc>
        <w:tc>
          <w:tcPr>
            <w:tcW w:w="1111" w:type="dxa"/>
            <w:tcBorders>
              <w:top w:val="single" w:sz="4" w:space="0" w:color="auto"/>
              <w:bottom w:val="single" w:sz="4" w:space="0" w:color="auto"/>
              <w:right w:val="single" w:sz="4" w:space="0" w:color="auto"/>
            </w:tcBorders>
            <w:shd w:val="clear" w:color="auto" w:fill="auto"/>
            <w:noWrap/>
            <w:vAlign w:val="center"/>
            <w:hideMark/>
          </w:tcPr>
          <w:p w14:paraId="71A0486E" w14:textId="77777777" w:rsidR="00423AAF" w:rsidRPr="00B54094" w:rsidRDefault="00423AAF" w:rsidP="00423AAF">
            <w:pPr>
              <w:spacing w:after="0" w:line="240" w:lineRule="auto"/>
              <w:jc w:val="center"/>
              <w:rPr>
                <w:rFonts w:eastAsia="Times New Roman" w:cs="Times New Roman"/>
                <w:kern w:val="0"/>
                <w:sz w:val="18"/>
                <w:szCs w:val="18"/>
                <w:lang w:eastAsia="pl-PL"/>
                <w14:ligatures w14:val="none"/>
              </w:rPr>
            </w:pPr>
            <w:r w:rsidRPr="00B54094">
              <w:rPr>
                <w:rFonts w:eastAsia="Times New Roman" w:cs="Times New Roman"/>
                <w:kern w:val="0"/>
                <w:sz w:val="18"/>
                <w:szCs w:val="18"/>
                <w:lang w:eastAsia="pl-PL"/>
                <w14:ligatures w14:val="none"/>
              </w:rPr>
              <w:t>3%</w:t>
            </w:r>
          </w:p>
        </w:tc>
      </w:tr>
      <w:tr w:rsidR="00423AAF" w:rsidRPr="00B54094" w14:paraId="7D369D6D" w14:textId="77777777" w:rsidTr="00414664">
        <w:trPr>
          <w:trHeight w:val="308"/>
        </w:trPr>
        <w:tc>
          <w:tcPr>
            <w:tcW w:w="3114" w:type="dxa"/>
            <w:tcBorders>
              <w:top w:val="single" w:sz="4" w:space="0" w:color="auto"/>
              <w:left w:val="single" w:sz="4" w:space="0" w:color="auto"/>
              <w:bottom w:val="single" w:sz="4" w:space="0" w:color="auto"/>
            </w:tcBorders>
            <w:shd w:val="clear" w:color="auto" w:fill="auto"/>
            <w:noWrap/>
            <w:vAlign w:val="center"/>
            <w:hideMark/>
          </w:tcPr>
          <w:p w14:paraId="16A24E7E" w14:textId="77777777" w:rsidR="00423AAF" w:rsidRPr="00B54094" w:rsidRDefault="00423AAF" w:rsidP="00423AAF">
            <w:pPr>
              <w:spacing w:after="0" w:line="240" w:lineRule="auto"/>
              <w:jc w:val="left"/>
              <w:rPr>
                <w:rFonts w:eastAsia="Times New Roman" w:cs="Times New Roman"/>
                <w:kern w:val="0"/>
                <w:sz w:val="18"/>
                <w:szCs w:val="18"/>
                <w:lang w:eastAsia="pl-PL"/>
                <w14:ligatures w14:val="none"/>
              </w:rPr>
            </w:pPr>
            <w:r w:rsidRPr="00B54094">
              <w:rPr>
                <w:rFonts w:eastAsia="Times New Roman" w:cs="Times New Roman"/>
                <w:kern w:val="0"/>
                <w:sz w:val="18"/>
                <w:szCs w:val="18"/>
                <w:lang w:eastAsia="pl-PL"/>
                <w14:ligatures w14:val="none"/>
              </w:rPr>
              <w:t>Rolnictwo</w:t>
            </w:r>
          </w:p>
        </w:tc>
        <w:tc>
          <w:tcPr>
            <w:tcW w:w="933" w:type="dxa"/>
            <w:tcBorders>
              <w:top w:val="single" w:sz="4" w:space="0" w:color="auto"/>
              <w:bottom w:val="single" w:sz="4" w:space="0" w:color="auto"/>
            </w:tcBorders>
            <w:shd w:val="clear" w:color="auto" w:fill="auto"/>
            <w:noWrap/>
            <w:vAlign w:val="center"/>
          </w:tcPr>
          <w:p w14:paraId="6BAA04A6" w14:textId="7C6CEF6B" w:rsidR="00423AAF" w:rsidRPr="00423AAF" w:rsidRDefault="00423AAF" w:rsidP="00423AAF">
            <w:pPr>
              <w:spacing w:after="0" w:line="240" w:lineRule="auto"/>
              <w:jc w:val="center"/>
              <w:rPr>
                <w:rFonts w:eastAsia="Times New Roman" w:cs="Times New Roman"/>
                <w:kern w:val="0"/>
                <w:sz w:val="18"/>
                <w:szCs w:val="18"/>
                <w:lang w:eastAsia="pl-PL"/>
                <w14:ligatures w14:val="none"/>
              </w:rPr>
            </w:pPr>
            <w:r w:rsidRPr="00423AAF">
              <w:rPr>
                <w:sz w:val="18"/>
                <w:szCs w:val="18"/>
              </w:rPr>
              <w:t>49,3</w:t>
            </w:r>
          </w:p>
        </w:tc>
        <w:tc>
          <w:tcPr>
            <w:tcW w:w="933" w:type="dxa"/>
            <w:tcBorders>
              <w:top w:val="single" w:sz="4" w:space="0" w:color="auto"/>
              <w:bottom w:val="single" w:sz="4" w:space="0" w:color="auto"/>
            </w:tcBorders>
            <w:shd w:val="clear" w:color="auto" w:fill="auto"/>
            <w:noWrap/>
            <w:vAlign w:val="center"/>
          </w:tcPr>
          <w:p w14:paraId="74813C14" w14:textId="7A29C897" w:rsidR="00423AAF" w:rsidRPr="00423AAF" w:rsidRDefault="00423AAF" w:rsidP="00423AAF">
            <w:pPr>
              <w:spacing w:after="0" w:line="240" w:lineRule="auto"/>
              <w:jc w:val="center"/>
              <w:rPr>
                <w:rFonts w:eastAsia="Times New Roman" w:cs="Times New Roman"/>
                <w:kern w:val="0"/>
                <w:sz w:val="18"/>
                <w:szCs w:val="18"/>
                <w:lang w:eastAsia="pl-PL"/>
                <w14:ligatures w14:val="none"/>
              </w:rPr>
            </w:pPr>
            <w:r w:rsidRPr="00423AAF">
              <w:rPr>
                <w:sz w:val="18"/>
                <w:szCs w:val="18"/>
              </w:rPr>
              <w:t>34,0</w:t>
            </w:r>
          </w:p>
        </w:tc>
        <w:tc>
          <w:tcPr>
            <w:tcW w:w="933" w:type="dxa"/>
            <w:tcBorders>
              <w:top w:val="single" w:sz="4" w:space="0" w:color="auto"/>
              <w:bottom w:val="single" w:sz="4" w:space="0" w:color="auto"/>
            </w:tcBorders>
            <w:shd w:val="clear" w:color="auto" w:fill="auto"/>
            <w:noWrap/>
            <w:vAlign w:val="center"/>
          </w:tcPr>
          <w:p w14:paraId="1CEABB23" w14:textId="30013846" w:rsidR="00423AAF" w:rsidRPr="00423AAF" w:rsidRDefault="00423AAF" w:rsidP="00423AAF">
            <w:pPr>
              <w:spacing w:after="0" w:line="240" w:lineRule="auto"/>
              <w:jc w:val="center"/>
              <w:rPr>
                <w:rFonts w:eastAsia="Times New Roman" w:cs="Times New Roman"/>
                <w:kern w:val="0"/>
                <w:sz w:val="18"/>
                <w:szCs w:val="18"/>
                <w:lang w:eastAsia="pl-PL"/>
                <w14:ligatures w14:val="none"/>
              </w:rPr>
            </w:pPr>
            <w:r w:rsidRPr="00423AAF">
              <w:rPr>
                <w:sz w:val="18"/>
                <w:szCs w:val="18"/>
              </w:rPr>
              <w:t>32,1</w:t>
            </w:r>
          </w:p>
        </w:tc>
        <w:tc>
          <w:tcPr>
            <w:tcW w:w="933" w:type="dxa"/>
            <w:tcBorders>
              <w:top w:val="single" w:sz="4" w:space="0" w:color="auto"/>
              <w:bottom w:val="single" w:sz="4" w:space="0" w:color="auto"/>
              <w:right w:val="dotted" w:sz="4" w:space="0" w:color="000000" w:themeColor="text1"/>
            </w:tcBorders>
            <w:shd w:val="clear" w:color="auto" w:fill="auto"/>
            <w:noWrap/>
            <w:vAlign w:val="center"/>
          </w:tcPr>
          <w:p w14:paraId="7419E888" w14:textId="39D8B32A" w:rsidR="00423AAF" w:rsidRPr="00423AAF" w:rsidRDefault="00423AAF" w:rsidP="00423AAF">
            <w:pPr>
              <w:spacing w:after="0" w:line="240" w:lineRule="auto"/>
              <w:jc w:val="center"/>
              <w:rPr>
                <w:rFonts w:eastAsia="Times New Roman" w:cs="Times New Roman"/>
                <w:kern w:val="0"/>
                <w:sz w:val="18"/>
                <w:szCs w:val="18"/>
                <w:lang w:eastAsia="pl-PL"/>
                <w14:ligatures w14:val="none"/>
              </w:rPr>
            </w:pPr>
            <w:r w:rsidRPr="00423AAF">
              <w:rPr>
                <w:sz w:val="18"/>
                <w:szCs w:val="18"/>
              </w:rPr>
              <w:t>30,5</w:t>
            </w:r>
          </w:p>
        </w:tc>
        <w:tc>
          <w:tcPr>
            <w:tcW w:w="1110" w:type="dxa"/>
            <w:tcBorders>
              <w:top w:val="single" w:sz="4" w:space="0" w:color="auto"/>
              <w:left w:val="dotted" w:sz="4" w:space="0" w:color="000000" w:themeColor="text1"/>
              <w:bottom w:val="single" w:sz="4" w:space="0" w:color="auto"/>
            </w:tcBorders>
            <w:shd w:val="clear" w:color="auto" w:fill="auto"/>
            <w:noWrap/>
            <w:vAlign w:val="center"/>
            <w:hideMark/>
          </w:tcPr>
          <w:p w14:paraId="20FA99CD" w14:textId="77777777" w:rsidR="00423AAF" w:rsidRPr="00B54094" w:rsidRDefault="00423AAF" w:rsidP="00423AAF">
            <w:pPr>
              <w:spacing w:after="0" w:line="240" w:lineRule="auto"/>
              <w:jc w:val="center"/>
              <w:rPr>
                <w:rFonts w:eastAsia="Times New Roman" w:cs="Times New Roman"/>
                <w:kern w:val="0"/>
                <w:sz w:val="18"/>
                <w:szCs w:val="18"/>
                <w:lang w:eastAsia="pl-PL"/>
                <w14:ligatures w14:val="none"/>
              </w:rPr>
            </w:pPr>
            <w:r w:rsidRPr="00B54094">
              <w:rPr>
                <w:rFonts w:eastAsia="Times New Roman" w:cs="Times New Roman"/>
                <w:kern w:val="0"/>
                <w:sz w:val="18"/>
                <w:szCs w:val="18"/>
                <w:lang w:eastAsia="pl-PL"/>
                <w14:ligatures w14:val="none"/>
              </w:rPr>
              <w:t>-35%</w:t>
            </w:r>
          </w:p>
        </w:tc>
        <w:tc>
          <w:tcPr>
            <w:tcW w:w="1111" w:type="dxa"/>
            <w:tcBorders>
              <w:top w:val="single" w:sz="4" w:space="0" w:color="auto"/>
              <w:bottom w:val="single" w:sz="4" w:space="0" w:color="auto"/>
              <w:right w:val="single" w:sz="4" w:space="0" w:color="auto"/>
            </w:tcBorders>
            <w:shd w:val="clear" w:color="auto" w:fill="auto"/>
            <w:noWrap/>
            <w:vAlign w:val="center"/>
            <w:hideMark/>
          </w:tcPr>
          <w:p w14:paraId="48EB12A2" w14:textId="77777777" w:rsidR="00423AAF" w:rsidRPr="00B54094" w:rsidRDefault="00423AAF" w:rsidP="00423AAF">
            <w:pPr>
              <w:spacing w:after="0" w:line="240" w:lineRule="auto"/>
              <w:jc w:val="center"/>
              <w:rPr>
                <w:rFonts w:eastAsia="Times New Roman" w:cs="Times New Roman"/>
                <w:kern w:val="0"/>
                <w:sz w:val="18"/>
                <w:szCs w:val="18"/>
                <w:lang w:eastAsia="pl-PL"/>
                <w14:ligatures w14:val="none"/>
              </w:rPr>
            </w:pPr>
            <w:r w:rsidRPr="00B54094">
              <w:rPr>
                <w:rFonts w:eastAsia="Times New Roman" w:cs="Times New Roman"/>
                <w:kern w:val="0"/>
                <w:sz w:val="18"/>
                <w:szCs w:val="18"/>
                <w:lang w:eastAsia="pl-PL"/>
                <w14:ligatures w14:val="none"/>
              </w:rPr>
              <w:t>-38%</w:t>
            </w:r>
          </w:p>
        </w:tc>
      </w:tr>
      <w:tr w:rsidR="00423AAF" w:rsidRPr="00B54094" w14:paraId="1361279D" w14:textId="77777777" w:rsidTr="00414664">
        <w:trPr>
          <w:trHeight w:val="308"/>
        </w:trPr>
        <w:tc>
          <w:tcPr>
            <w:tcW w:w="3114" w:type="dxa"/>
            <w:tcBorders>
              <w:top w:val="single" w:sz="4" w:space="0" w:color="auto"/>
              <w:left w:val="single" w:sz="4" w:space="0" w:color="auto"/>
              <w:bottom w:val="single" w:sz="4" w:space="0" w:color="auto"/>
            </w:tcBorders>
            <w:shd w:val="clear" w:color="auto" w:fill="auto"/>
            <w:noWrap/>
            <w:vAlign w:val="center"/>
            <w:hideMark/>
          </w:tcPr>
          <w:p w14:paraId="334250DD" w14:textId="01527C4E" w:rsidR="00423AAF" w:rsidRPr="00B54094" w:rsidRDefault="00423AAF" w:rsidP="00423AAF">
            <w:pPr>
              <w:spacing w:after="0" w:line="240" w:lineRule="auto"/>
              <w:jc w:val="left"/>
              <w:rPr>
                <w:rFonts w:eastAsia="Times New Roman" w:cs="Times New Roman"/>
                <w:kern w:val="0"/>
                <w:sz w:val="18"/>
                <w:szCs w:val="18"/>
                <w:lang w:eastAsia="pl-PL"/>
                <w14:ligatures w14:val="none"/>
              </w:rPr>
            </w:pPr>
            <w:r w:rsidRPr="00B54094">
              <w:rPr>
                <w:rFonts w:eastAsia="Times New Roman" w:cs="Times New Roman"/>
                <w:kern w:val="0"/>
                <w:sz w:val="18"/>
                <w:szCs w:val="18"/>
                <w:lang w:eastAsia="pl-PL"/>
                <w14:ligatures w14:val="none"/>
              </w:rPr>
              <w:t>LULUCF</w:t>
            </w:r>
            <w:r w:rsidR="000858ED">
              <w:rPr>
                <w:rFonts w:eastAsia="Times New Roman" w:cs="Times New Roman"/>
                <w:kern w:val="0"/>
                <w:sz w:val="18"/>
                <w:szCs w:val="18"/>
                <w:lang w:eastAsia="pl-PL"/>
                <w14:ligatures w14:val="none"/>
              </w:rPr>
              <w:t xml:space="preserve"> (pochłanianie)</w:t>
            </w:r>
          </w:p>
        </w:tc>
        <w:tc>
          <w:tcPr>
            <w:tcW w:w="933" w:type="dxa"/>
            <w:tcBorders>
              <w:top w:val="single" w:sz="4" w:space="0" w:color="auto"/>
              <w:bottom w:val="single" w:sz="4" w:space="0" w:color="auto"/>
            </w:tcBorders>
            <w:shd w:val="clear" w:color="auto" w:fill="auto"/>
            <w:noWrap/>
            <w:vAlign w:val="center"/>
          </w:tcPr>
          <w:p w14:paraId="12250847" w14:textId="495E3503" w:rsidR="00423AAF" w:rsidRPr="00423AAF" w:rsidRDefault="00423AAF" w:rsidP="00423AAF">
            <w:pPr>
              <w:spacing w:after="0" w:line="240" w:lineRule="auto"/>
              <w:jc w:val="center"/>
              <w:rPr>
                <w:rFonts w:eastAsia="Times New Roman" w:cs="Times New Roman"/>
                <w:kern w:val="0"/>
                <w:sz w:val="18"/>
                <w:szCs w:val="18"/>
                <w:lang w:eastAsia="pl-PL"/>
                <w14:ligatures w14:val="none"/>
              </w:rPr>
            </w:pPr>
            <w:r w:rsidRPr="00423AAF">
              <w:rPr>
                <w:sz w:val="18"/>
                <w:szCs w:val="18"/>
              </w:rPr>
              <w:t>-28,5</w:t>
            </w:r>
          </w:p>
        </w:tc>
        <w:tc>
          <w:tcPr>
            <w:tcW w:w="933" w:type="dxa"/>
            <w:tcBorders>
              <w:top w:val="single" w:sz="4" w:space="0" w:color="auto"/>
              <w:bottom w:val="single" w:sz="4" w:space="0" w:color="auto"/>
            </w:tcBorders>
            <w:shd w:val="clear" w:color="auto" w:fill="auto"/>
            <w:noWrap/>
            <w:vAlign w:val="center"/>
          </w:tcPr>
          <w:p w14:paraId="31BB450A" w14:textId="3E249D5D" w:rsidR="00423AAF" w:rsidRPr="00423AAF" w:rsidRDefault="00423AAF" w:rsidP="00423AAF">
            <w:pPr>
              <w:spacing w:after="0" w:line="240" w:lineRule="auto"/>
              <w:jc w:val="center"/>
              <w:rPr>
                <w:rFonts w:eastAsia="Times New Roman" w:cs="Times New Roman"/>
                <w:kern w:val="0"/>
                <w:sz w:val="18"/>
                <w:szCs w:val="18"/>
                <w:lang w:eastAsia="pl-PL"/>
                <w14:ligatures w14:val="none"/>
              </w:rPr>
            </w:pPr>
            <w:r w:rsidRPr="00423AAF">
              <w:rPr>
                <w:sz w:val="18"/>
                <w:szCs w:val="18"/>
              </w:rPr>
              <w:t>-20,1</w:t>
            </w:r>
          </w:p>
        </w:tc>
        <w:tc>
          <w:tcPr>
            <w:tcW w:w="933" w:type="dxa"/>
            <w:tcBorders>
              <w:top w:val="single" w:sz="4" w:space="0" w:color="auto"/>
              <w:bottom w:val="single" w:sz="4" w:space="0" w:color="auto"/>
            </w:tcBorders>
            <w:shd w:val="clear" w:color="auto" w:fill="auto"/>
            <w:noWrap/>
            <w:vAlign w:val="center"/>
          </w:tcPr>
          <w:p w14:paraId="785461C7" w14:textId="1DB5DA7E" w:rsidR="00423AAF" w:rsidRPr="00423AAF" w:rsidRDefault="00423AAF" w:rsidP="00423AAF">
            <w:pPr>
              <w:spacing w:after="0" w:line="240" w:lineRule="auto"/>
              <w:jc w:val="center"/>
              <w:rPr>
                <w:rFonts w:eastAsia="Times New Roman" w:cs="Times New Roman"/>
                <w:kern w:val="0"/>
                <w:sz w:val="18"/>
                <w:szCs w:val="18"/>
                <w:lang w:eastAsia="pl-PL"/>
                <w14:ligatures w14:val="none"/>
              </w:rPr>
            </w:pPr>
            <w:r w:rsidRPr="00423AAF">
              <w:rPr>
                <w:sz w:val="18"/>
                <w:szCs w:val="18"/>
              </w:rPr>
              <w:t>-42,1</w:t>
            </w:r>
          </w:p>
        </w:tc>
        <w:tc>
          <w:tcPr>
            <w:tcW w:w="933" w:type="dxa"/>
            <w:tcBorders>
              <w:top w:val="single" w:sz="4" w:space="0" w:color="auto"/>
              <w:bottom w:val="single" w:sz="4" w:space="0" w:color="auto"/>
              <w:right w:val="dotted" w:sz="4" w:space="0" w:color="000000" w:themeColor="text1"/>
            </w:tcBorders>
            <w:shd w:val="clear" w:color="auto" w:fill="auto"/>
            <w:noWrap/>
            <w:vAlign w:val="center"/>
          </w:tcPr>
          <w:p w14:paraId="583804A1" w14:textId="648BE837" w:rsidR="00423AAF" w:rsidRPr="00423AAF" w:rsidRDefault="00423AAF" w:rsidP="00423AAF">
            <w:pPr>
              <w:spacing w:after="0" w:line="240" w:lineRule="auto"/>
              <w:jc w:val="center"/>
              <w:rPr>
                <w:rFonts w:eastAsia="Times New Roman" w:cs="Times New Roman"/>
                <w:kern w:val="0"/>
                <w:sz w:val="18"/>
                <w:szCs w:val="18"/>
                <w:lang w:eastAsia="pl-PL"/>
                <w14:ligatures w14:val="none"/>
              </w:rPr>
            </w:pPr>
            <w:r w:rsidRPr="00423AAF">
              <w:rPr>
                <w:sz w:val="18"/>
                <w:szCs w:val="18"/>
              </w:rPr>
              <w:t>-30,0</w:t>
            </w:r>
          </w:p>
        </w:tc>
        <w:tc>
          <w:tcPr>
            <w:tcW w:w="1110" w:type="dxa"/>
            <w:tcBorders>
              <w:top w:val="single" w:sz="4" w:space="0" w:color="auto"/>
              <w:left w:val="dotted" w:sz="4" w:space="0" w:color="000000" w:themeColor="text1"/>
              <w:bottom w:val="single" w:sz="4" w:space="0" w:color="auto"/>
            </w:tcBorders>
            <w:shd w:val="clear" w:color="auto" w:fill="auto"/>
            <w:noWrap/>
            <w:vAlign w:val="center"/>
            <w:hideMark/>
          </w:tcPr>
          <w:p w14:paraId="78167FB5" w14:textId="77777777" w:rsidR="00423AAF" w:rsidRPr="00B54094" w:rsidRDefault="00423AAF" w:rsidP="00423AAF">
            <w:pPr>
              <w:spacing w:after="0" w:line="240" w:lineRule="auto"/>
              <w:jc w:val="center"/>
              <w:rPr>
                <w:rFonts w:eastAsia="Times New Roman" w:cs="Times New Roman"/>
                <w:kern w:val="0"/>
                <w:sz w:val="18"/>
                <w:szCs w:val="18"/>
                <w:lang w:eastAsia="pl-PL"/>
                <w14:ligatures w14:val="none"/>
              </w:rPr>
            </w:pPr>
            <w:r w:rsidRPr="00B54094">
              <w:rPr>
                <w:rFonts w:eastAsia="Times New Roman" w:cs="Times New Roman"/>
                <w:kern w:val="0"/>
                <w:sz w:val="18"/>
                <w:szCs w:val="18"/>
                <w:lang w:eastAsia="pl-PL"/>
                <w14:ligatures w14:val="none"/>
              </w:rPr>
              <w:t>48%</w:t>
            </w:r>
          </w:p>
        </w:tc>
        <w:tc>
          <w:tcPr>
            <w:tcW w:w="1111" w:type="dxa"/>
            <w:tcBorders>
              <w:top w:val="single" w:sz="4" w:space="0" w:color="auto"/>
              <w:bottom w:val="single" w:sz="4" w:space="0" w:color="auto"/>
              <w:right w:val="single" w:sz="4" w:space="0" w:color="auto"/>
            </w:tcBorders>
            <w:shd w:val="clear" w:color="auto" w:fill="auto"/>
            <w:noWrap/>
            <w:vAlign w:val="center"/>
            <w:hideMark/>
          </w:tcPr>
          <w:p w14:paraId="122E4030" w14:textId="77777777" w:rsidR="00423AAF" w:rsidRPr="00B54094" w:rsidRDefault="00423AAF" w:rsidP="00423AAF">
            <w:pPr>
              <w:spacing w:after="0" w:line="240" w:lineRule="auto"/>
              <w:jc w:val="center"/>
              <w:rPr>
                <w:rFonts w:eastAsia="Times New Roman" w:cs="Times New Roman"/>
                <w:kern w:val="0"/>
                <w:sz w:val="18"/>
                <w:szCs w:val="18"/>
                <w:lang w:eastAsia="pl-PL"/>
                <w14:ligatures w14:val="none"/>
              </w:rPr>
            </w:pPr>
            <w:r w:rsidRPr="00B54094">
              <w:rPr>
                <w:rFonts w:eastAsia="Times New Roman" w:cs="Times New Roman"/>
                <w:kern w:val="0"/>
                <w:sz w:val="18"/>
                <w:szCs w:val="18"/>
                <w:lang w:eastAsia="pl-PL"/>
                <w14:ligatures w14:val="none"/>
              </w:rPr>
              <w:t>5%</w:t>
            </w:r>
          </w:p>
        </w:tc>
      </w:tr>
      <w:tr w:rsidR="00423AAF" w:rsidRPr="00B54094" w14:paraId="1F45768E" w14:textId="77777777" w:rsidTr="00414664">
        <w:trPr>
          <w:trHeight w:val="308"/>
        </w:trPr>
        <w:tc>
          <w:tcPr>
            <w:tcW w:w="3114" w:type="dxa"/>
            <w:tcBorders>
              <w:top w:val="single" w:sz="4" w:space="0" w:color="auto"/>
              <w:left w:val="single" w:sz="4" w:space="0" w:color="auto"/>
              <w:bottom w:val="single" w:sz="4" w:space="0" w:color="auto"/>
            </w:tcBorders>
            <w:shd w:val="clear" w:color="auto" w:fill="auto"/>
            <w:noWrap/>
            <w:vAlign w:val="center"/>
            <w:hideMark/>
          </w:tcPr>
          <w:p w14:paraId="11397207" w14:textId="77777777" w:rsidR="00423AAF" w:rsidRPr="00B54094" w:rsidRDefault="00423AAF" w:rsidP="00423AAF">
            <w:pPr>
              <w:spacing w:after="0" w:line="240" w:lineRule="auto"/>
              <w:jc w:val="left"/>
              <w:rPr>
                <w:rFonts w:eastAsia="Times New Roman" w:cs="Times New Roman"/>
                <w:kern w:val="0"/>
                <w:sz w:val="18"/>
                <w:szCs w:val="18"/>
                <w:lang w:eastAsia="pl-PL"/>
                <w14:ligatures w14:val="none"/>
              </w:rPr>
            </w:pPr>
            <w:r w:rsidRPr="00B54094">
              <w:rPr>
                <w:rFonts w:eastAsia="Times New Roman" w:cs="Times New Roman"/>
                <w:kern w:val="0"/>
                <w:sz w:val="18"/>
                <w:szCs w:val="18"/>
                <w:lang w:eastAsia="pl-PL"/>
                <w14:ligatures w14:val="none"/>
              </w:rPr>
              <w:t>Odpady</w:t>
            </w:r>
          </w:p>
        </w:tc>
        <w:tc>
          <w:tcPr>
            <w:tcW w:w="933" w:type="dxa"/>
            <w:tcBorders>
              <w:top w:val="single" w:sz="4" w:space="0" w:color="auto"/>
              <w:bottom w:val="single" w:sz="4" w:space="0" w:color="auto"/>
            </w:tcBorders>
            <w:shd w:val="clear" w:color="auto" w:fill="auto"/>
            <w:noWrap/>
            <w:vAlign w:val="center"/>
          </w:tcPr>
          <w:p w14:paraId="63D82EAA" w14:textId="66587B04" w:rsidR="00423AAF" w:rsidRPr="00423AAF" w:rsidRDefault="00423AAF" w:rsidP="00423AAF">
            <w:pPr>
              <w:spacing w:after="0" w:line="240" w:lineRule="auto"/>
              <w:jc w:val="center"/>
              <w:rPr>
                <w:rFonts w:eastAsia="Times New Roman" w:cs="Times New Roman"/>
                <w:kern w:val="0"/>
                <w:sz w:val="18"/>
                <w:szCs w:val="18"/>
                <w:lang w:eastAsia="pl-PL"/>
                <w14:ligatures w14:val="none"/>
              </w:rPr>
            </w:pPr>
            <w:r w:rsidRPr="00423AAF">
              <w:rPr>
                <w:sz w:val="18"/>
                <w:szCs w:val="18"/>
              </w:rPr>
              <w:t>18,1</w:t>
            </w:r>
          </w:p>
        </w:tc>
        <w:tc>
          <w:tcPr>
            <w:tcW w:w="933" w:type="dxa"/>
            <w:tcBorders>
              <w:top w:val="single" w:sz="4" w:space="0" w:color="auto"/>
              <w:bottom w:val="single" w:sz="4" w:space="0" w:color="auto"/>
            </w:tcBorders>
            <w:shd w:val="clear" w:color="auto" w:fill="auto"/>
            <w:noWrap/>
            <w:vAlign w:val="center"/>
          </w:tcPr>
          <w:p w14:paraId="77830B78" w14:textId="6B743E03" w:rsidR="00423AAF" w:rsidRPr="00423AAF" w:rsidRDefault="00423AAF" w:rsidP="00423AAF">
            <w:pPr>
              <w:spacing w:after="0" w:line="240" w:lineRule="auto"/>
              <w:jc w:val="center"/>
              <w:rPr>
                <w:rFonts w:eastAsia="Times New Roman" w:cs="Times New Roman"/>
                <w:kern w:val="0"/>
                <w:sz w:val="18"/>
                <w:szCs w:val="18"/>
                <w:lang w:eastAsia="pl-PL"/>
                <w14:ligatures w14:val="none"/>
              </w:rPr>
            </w:pPr>
            <w:r w:rsidRPr="00423AAF">
              <w:rPr>
                <w:sz w:val="18"/>
                <w:szCs w:val="18"/>
              </w:rPr>
              <w:t>4,7</w:t>
            </w:r>
          </w:p>
        </w:tc>
        <w:tc>
          <w:tcPr>
            <w:tcW w:w="933" w:type="dxa"/>
            <w:tcBorders>
              <w:top w:val="single" w:sz="4" w:space="0" w:color="auto"/>
              <w:bottom w:val="single" w:sz="4" w:space="0" w:color="auto"/>
            </w:tcBorders>
            <w:shd w:val="clear" w:color="auto" w:fill="auto"/>
            <w:noWrap/>
            <w:vAlign w:val="center"/>
          </w:tcPr>
          <w:p w14:paraId="795BE104" w14:textId="657BF911" w:rsidR="00423AAF" w:rsidRPr="00423AAF" w:rsidRDefault="00423AAF" w:rsidP="00423AAF">
            <w:pPr>
              <w:spacing w:after="0" w:line="240" w:lineRule="auto"/>
              <w:jc w:val="center"/>
              <w:rPr>
                <w:rFonts w:eastAsia="Times New Roman" w:cs="Times New Roman"/>
                <w:kern w:val="0"/>
                <w:sz w:val="18"/>
                <w:szCs w:val="18"/>
                <w:lang w:eastAsia="pl-PL"/>
                <w14:ligatures w14:val="none"/>
              </w:rPr>
            </w:pPr>
            <w:r w:rsidRPr="00423AAF">
              <w:rPr>
                <w:sz w:val="18"/>
                <w:szCs w:val="18"/>
              </w:rPr>
              <w:t>4,3</w:t>
            </w:r>
          </w:p>
        </w:tc>
        <w:tc>
          <w:tcPr>
            <w:tcW w:w="933" w:type="dxa"/>
            <w:tcBorders>
              <w:top w:val="single" w:sz="4" w:space="0" w:color="auto"/>
              <w:bottom w:val="single" w:sz="4" w:space="0" w:color="auto"/>
              <w:right w:val="dotted" w:sz="4" w:space="0" w:color="000000" w:themeColor="text1"/>
            </w:tcBorders>
            <w:shd w:val="clear" w:color="auto" w:fill="auto"/>
            <w:noWrap/>
            <w:vAlign w:val="center"/>
          </w:tcPr>
          <w:p w14:paraId="54D46258" w14:textId="600EE44E" w:rsidR="00423AAF" w:rsidRPr="00423AAF" w:rsidRDefault="00423AAF" w:rsidP="00423AAF">
            <w:pPr>
              <w:spacing w:after="0" w:line="240" w:lineRule="auto"/>
              <w:jc w:val="center"/>
              <w:rPr>
                <w:rFonts w:eastAsia="Times New Roman" w:cs="Times New Roman"/>
                <w:kern w:val="0"/>
                <w:sz w:val="18"/>
                <w:szCs w:val="18"/>
                <w:lang w:eastAsia="pl-PL"/>
                <w14:ligatures w14:val="none"/>
              </w:rPr>
            </w:pPr>
            <w:r w:rsidRPr="00423AAF">
              <w:rPr>
                <w:sz w:val="18"/>
                <w:szCs w:val="18"/>
              </w:rPr>
              <w:t>3,8</w:t>
            </w:r>
          </w:p>
        </w:tc>
        <w:tc>
          <w:tcPr>
            <w:tcW w:w="1110" w:type="dxa"/>
            <w:tcBorders>
              <w:top w:val="single" w:sz="4" w:space="0" w:color="auto"/>
              <w:left w:val="dotted" w:sz="4" w:space="0" w:color="000000" w:themeColor="text1"/>
              <w:bottom w:val="single" w:sz="4" w:space="0" w:color="auto"/>
            </w:tcBorders>
            <w:shd w:val="clear" w:color="auto" w:fill="auto"/>
            <w:noWrap/>
            <w:vAlign w:val="center"/>
            <w:hideMark/>
          </w:tcPr>
          <w:p w14:paraId="72CDA89A" w14:textId="77777777" w:rsidR="00423AAF" w:rsidRPr="00B54094" w:rsidRDefault="00423AAF" w:rsidP="00423AAF">
            <w:pPr>
              <w:spacing w:after="0" w:line="240" w:lineRule="auto"/>
              <w:jc w:val="center"/>
              <w:rPr>
                <w:rFonts w:eastAsia="Times New Roman" w:cs="Times New Roman"/>
                <w:kern w:val="0"/>
                <w:sz w:val="18"/>
                <w:szCs w:val="18"/>
                <w:lang w:eastAsia="pl-PL"/>
                <w14:ligatures w14:val="none"/>
              </w:rPr>
            </w:pPr>
            <w:r w:rsidRPr="00B54094">
              <w:rPr>
                <w:rFonts w:eastAsia="Times New Roman" w:cs="Times New Roman"/>
                <w:kern w:val="0"/>
                <w:sz w:val="18"/>
                <w:szCs w:val="18"/>
                <w:lang w:eastAsia="pl-PL"/>
                <w14:ligatures w14:val="none"/>
              </w:rPr>
              <w:t>-76%</w:t>
            </w:r>
          </w:p>
        </w:tc>
        <w:tc>
          <w:tcPr>
            <w:tcW w:w="1111" w:type="dxa"/>
            <w:tcBorders>
              <w:top w:val="single" w:sz="4" w:space="0" w:color="auto"/>
              <w:bottom w:val="single" w:sz="4" w:space="0" w:color="auto"/>
              <w:right w:val="single" w:sz="4" w:space="0" w:color="auto"/>
            </w:tcBorders>
            <w:shd w:val="clear" w:color="auto" w:fill="auto"/>
            <w:noWrap/>
            <w:vAlign w:val="center"/>
            <w:hideMark/>
          </w:tcPr>
          <w:p w14:paraId="56CA0598" w14:textId="77777777" w:rsidR="00423AAF" w:rsidRPr="00B54094" w:rsidRDefault="00423AAF" w:rsidP="00423AAF">
            <w:pPr>
              <w:spacing w:after="0" w:line="240" w:lineRule="auto"/>
              <w:jc w:val="center"/>
              <w:rPr>
                <w:rFonts w:eastAsia="Times New Roman" w:cs="Times New Roman"/>
                <w:kern w:val="0"/>
                <w:sz w:val="18"/>
                <w:szCs w:val="18"/>
                <w:lang w:eastAsia="pl-PL"/>
                <w14:ligatures w14:val="none"/>
              </w:rPr>
            </w:pPr>
            <w:r w:rsidRPr="00B54094">
              <w:rPr>
                <w:rFonts w:eastAsia="Times New Roman" w:cs="Times New Roman"/>
                <w:kern w:val="0"/>
                <w:sz w:val="18"/>
                <w:szCs w:val="18"/>
                <w:lang w:eastAsia="pl-PL"/>
                <w14:ligatures w14:val="none"/>
              </w:rPr>
              <w:t>-79%</w:t>
            </w:r>
          </w:p>
        </w:tc>
      </w:tr>
      <w:tr w:rsidR="00645E29" w:rsidRPr="00B54094" w14:paraId="5EF103BA" w14:textId="77777777" w:rsidTr="00414664">
        <w:trPr>
          <w:trHeight w:val="308"/>
        </w:trPr>
        <w:tc>
          <w:tcPr>
            <w:tcW w:w="3114" w:type="dxa"/>
            <w:tcBorders>
              <w:top w:val="single" w:sz="4" w:space="0" w:color="auto"/>
              <w:left w:val="single" w:sz="4" w:space="0" w:color="auto"/>
              <w:bottom w:val="double" w:sz="4" w:space="0" w:color="auto"/>
            </w:tcBorders>
            <w:shd w:val="clear" w:color="auto" w:fill="auto"/>
            <w:noWrap/>
            <w:vAlign w:val="center"/>
            <w:hideMark/>
          </w:tcPr>
          <w:p w14:paraId="46E1F35D" w14:textId="77777777" w:rsidR="00645E29" w:rsidRPr="00B54094" w:rsidRDefault="00645E29" w:rsidP="00645E29">
            <w:pPr>
              <w:spacing w:after="0" w:line="240" w:lineRule="auto"/>
              <w:jc w:val="left"/>
              <w:rPr>
                <w:rFonts w:eastAsia="Times New Roman" w:cs="Times New Roman"/>
                <w:kern w:val="0"/>
                <w:sz w:val="18"/>
                <w:szCs w:val="18"/>
                <w:lang w:eastAsia="pl-PL"/>
                <w14:ligatures w14:val="none"/>
              </w:rPr>
            </w:pPr>
            <w:r w:rsidRPr="00B54094">
              <w:rPr>
                <w:rFonts w:eastAsia="Times New Roman" w:cs="Times New Roman"/>
                <w:kern w:val="0"/>
                <w:sz w:val="18"/>
                <w:szCs w:val="18"/>
                <w:lang w:eastAsia="pl-PL"/>
                <w14:ligatures w14:val="none"/>
              </w:rPr>
              <w:t>Emisja pośrednia CO</w:t>
            </w:r>
            <w:r w:rsidRPr="00B54094">
              <w:rPr>
                <w:rFonts w:eastAsia="Times New Roman" w:cs="Times New Roman"/>
                <w:kern w:val="0"/>
                <w:sz w:val="18"/>
                <w:szCs w:val="18"/>
                <w:vertAlign w:val="subscript"/>
                <w:lang w:eastAsia="pl-PL"/>
                <w14:ligatures w14:val="none"/>
              </w:rPr>
              <w:t>2</w:t>
            </w:r>
          </w:p>
        </w:tc>
        <w:tc>
          <w:tcPr>
            <w:tcW w:w="933" w:type="dxa"/>
            <w:tcBorders>
              <w:top w:val="single" w:sz="4" w:space="0" w:color="auto"/>
              <w:bottom w:val="double" w:sz="4" w:space="0" w:color="auto"/>
            </w:tcBorders>
            <w:shd w:val="clear" w:color="auto" w:fill="auto"/>
            <w:noWrap/>
            <w:vAlign w:val="center"/>
            <w:hideMark/>
          </w:tcPr>
          <w:p w14:paraId="6541FF17" w14:textId="7140A133" w:rsidR="00645E29" w:rsidRPr="00423AAF" w:rsidRDefault="00645E29" w:rsidP="00423AAF">
            <w:pPr>
              <w:spacing w:after="0" w:line="240" w:lineRule="auto"/>
              <w:jc w:val="center"/>
              <w:rPr>
                <w:rFonts w:eastAsia="Times New Roman" w:cs="Times New Roman"/>
                <w:kern w:val="0"/>
                <w:sz w:val="18"/>
                <w:szCs w:val="18"/>
                <w:lang w:eastAsia="pl-PL"/>
                <w14:ligatures w14:val="none"/>
              </w:rPr>
            </w:pPr>
            <w:r w:rsidRPr="00423AAF">
              <w:rPr>
                <w:sz w:val="18"/>
                <w:szCs w:val="18"/>
              </w:rPr>
              <w:t>0,28</w:t>
            </w:r>
          </w:p>
        </w:tc>
        <w:tc>
          <w:tcPr>
            <w:tcW w:w="933" w:type="dxa"/>
            <w:tcBorders>
              <w:top w:val="single" w:sz="4" w:space="0" w:color="auto"/>
              <w:bottom w:val="double" w:sz="4" w:space="0" w:color="auto"/>
            </w:tcBorders>
            <w:shd w:val="clear" w:color="auto" w:fill="auto"/>
            <w:noWrap/>
            <w:vAlign w:val="center"/>
            <w:hideMark/>
          </w:tcPr>
          <w:p w14:paraId="2FE3FA0F" w14:textId="0198DBAD" w:rsidR="00645E29" w:rsidRPr="00423AAF" w:rsidRDefault="00645E29" w:rsidP="00423AAF">
            <w:pPr>
              <w:spacing w:after="0" w:line="240" w:lineRule="auto"/>
              <w:jc w:val="center"/>
              <w:rPr>
                <w:rFonts w:eastAsia="Times New Roman" w:cs="Times New Roman"/>
                <w:kern w:val="0"/>
                <w:sz w:val="18"/>
                <w:szCs w:val="18"/>
                <w:lang w:eastAsia="pl-PL"/>
                <w14:ligatures w14:val="none"/>
              </w:rPr>
            </w:pPr>
            <w:r w:rsidRPr="00423AAF">
              <w:rPr>
                <w:sz w:val="18"/>
                <w:szCs w:val="18"/>
              </w:rPr>
              <w:t>0,5</w:t>
            </w:r>
          </w:p>
        </w:tc>
        <w:tc>
          <w:tcPr>
            <w:tcW w:w="933" w:type="dxa"/>
            <w:tcBorders>
              <w:top w:val="single" w:sz="4" w:space="0" w:color="auto"/>
              <w:bottom w:val="double" w:sz="4" w:space="0" w:color="auto"/>
            </w:tcBorders>
            <w:shd w:val="clear" w:color="auto" w:fill="auto"/>
            <w:noWrap/>
            <w:vAlign w:val="center"/>
            <w:hideMark/>
          </w:tcPr>
          <w:p w14:paraId="57FCF015" w14:textId="68BAD410" w:rsidR="00645E29" w:rsidRPr="00423AAF" w:rsidRDefault="00645E29" w:rsidP="00423AAF">
            <w:pPr>
              <w:spacing w:after="0" w:line="240" w:lineRule="auto"/>
              <w:jc w:val="center"/>
              <w:rPr>
                <w:rFonts w:eastAsia="Times New Roman" w:cs="Times New Roman"/>
                <w:kern w:val="0"/>
                <w:sz w:val="18"/>
                <w:szCs w:val="18"/>
                <w:lang w:eastAsia="pl-PL"/>
                <w14:ligatures w14:val="none"/>
              </w:rPr>
            </w:pPr>
            <w:r w:rsidRPr="00423AAF">
              <w:rPr>
                <w:sz w:val="18"/>
                <w:szCs w:val="18"/>
              </w:rPr>
              <w:t>0,54</w:t>
            </w:r>
          </w:p>
        </w:tc>
        <w:tc>
          <w:tcPr>
            <w:tcW w:w="933" w:type="dxa"/>
            <w:tcBorders>
              <w:top w:val="single" w:sz="4" w:space="0" w:color="auto"/>
              <w:bottom w:val="double" w:sz="4" w:space="0" w:color="auto"/>
              <w:right w:val="dotted" w:sz="4" w:space="0" w:color="000000" w:themeColor="text1"/>
            </w:tcBorders>
            <w:shd w:val="clear" w:color="auto" w:fill="auto"/>
            <w:noWrap/>
            <w:vAlign w:val="center"/>
            <w:hideMark/>
          </w:tcPr>
          <w:p w14:paraId="1D933F48" w14:textId="3C38EEC3" w:rsidR="00645E29" w:rsidRPr="00423AAF" w:rsidRDefault="00645E29" w:rsidP="00423AAF">
            <w:pPr>
              <w:spacing w:after="0" w:line="240" w:lineRule="auto"/>
              <w:jc w:val="center"/>
              <w:rPr>
                <w:rFonts w:eastAsia="Times New Roman" w:cs="Times New Roman"/>
                <w:kern w:val="0"/>
                <w:sz w:val="18"/>
                <w:szCs w:val="18"/>
                <w:lang w:eastAsia="pl-PL"/>
                <w14:ligatures w14:val="none"/>
              </w:rPr>
            </w:pPr>
            <w:r w:rsidRPr="00423AAF">
              <w:rPr>
                <w:sz w:val="18"/>
                <w:szCs w:val="18"/>
              </w:rPr>
              <w:t>0,52</w:t>
            </w:r>
          </w:p>
        </w:tc>
        <w:tc>
          <w:tcPr>
            <w:tcW w:w="1110" w:type="dxa"/>
            <w:tcBorders>
              <w:top w:val="single" w:sz="4" w:space="0" w:color="auto"/>
              <w:left w:val="dotted" w:sz="4" w:space="0" w:color="000000" w:themeColor="text1"/>
              <w:bottom w:val="double" w:sz="4" w:space="0" w:color="auto"/>
            </w:tcBorders>
            <w:shd w:val="clear" w:color="auto" w:fill="auto"/>
            <w:noWrap/>
            <w:vAlign w:val="center"/>
            <w:hideMark/>
          </w:tcPr>
          <w:p w14:paraId="34EF64FB" w14:textId="77777777" w:rsidR="00645E29" w:rsidRPr="00B54094" w:rsidRDefault="00645E29" w:rsidP="00645E29">
            <w:pPr>
              <w:spacing w:after="0" w:line="240" w:lineRule="auto"/>
              <w:jc w:val="center"/>
              <w:rPr>
                <w:rFonts w:eastAsia="Times New Roman" w:cs="Times New Roman"/>
                <w:kern w:val="0"/>
                <w:sz w:val="18"/>
                <w:szCs w:val="18"/>
                <w:lang w:eastAsia="pl-PL"/>
                <w14:ligatures w14:val="none"/>
              </w:rPr>
            </w:pPr>
            <w:r w:rsidRPr="00B54094">
              <w:rPr>
                <w:rFonts w:eastAsia="Times New Roman" w:cs="Times New Roman"/>
                <w:kern w:val="0"/>
                <w:sz w:val="18"/>
                <w:szCs w:val="18"/>
                <w:lang w:eastAsia="pl-PL"/>
                <w14:ligatures w14:val="none"/>
              </w:rPr>
              <w:t>90%</w:t>
            </w:r>
          </w:p>
        </w:tc>
        <w:tc>
          <w:tcPr>
            <w:tcW w:w="1111" w:type="dxa"/>
            <w:tcBorders>
              <w:top w:val="single" w:sz="4" w:space="0" w:color="auto"/>
              <w:bottom w:val="double" w:sz="4" w:space="0" w:color="auto"/>
              <w:right w:val="single" w:sz="4" w:space="0" w:color="auto"/>
            </w:tcBorders>
            <w:shd w:val="clear" w:color="auto" w:fill="auto"/>
            <w:noWrap/>
            <w:vAlign w:val="center"/>
            <w:hideMark/>
          </w:tcPr>
          <w:p w14:paraId="5F01B105" w14:textId="77777777" w:rsidR="00645E29" w:rsidRPr="00B54094" w:rsidRDefault="00645E29" w:rsidP="00645E29">
            <w:pPr>
              <w:spacing w:after="0" w:line="240" w:lineRule="auto"/>
              <w:jc w:val="center"/>
              <w:rPr>
                <w:rFonts w:eastAsia="Times New Roman" w:cs="Times New Roman"/>
                <w:kern w:val="0"/>
                <w:sz w:val="18"/>
                <w:szCs w:val="18"/>
                <w:lang w:eastAsia="pl-PL"/>
                <w14:ligatures w14:val="none"/>
              </w:rPr>
            </w:pPr>
            <w:r w:rsidRPr="00B54094">
              <w:rPr>
                <w:rFonts w:eastAsia="Times New Roman" w:cs="Times New Roman"/>
                <w:kern w:val="0"/>
                <w:sz w:val="18"/>
                <w:szCs w:val="18"/>
                <w:lang w:eastAsia="pl-PL"/>
                <w14:ligatures w14:val="none"/>
              </w:rPr>
              <w:t>84%</w:t>
            </w:r>
          </w:p>
        </w:tc>
      </w:tr>
      <w:tr w:rsidR="00423AAF" w:rsidRPr="00B54094" w14:paraId="7E298A34" w14:textId="77777777" w:rsidTr="00414664">
        <w:trPr>
          <w:trHeight w:val="533"/>
        </w:trPr>
        <w:tc>
          <w:tcPr>
            <w:tcW w:w="3114" w:type="dxa"/>
            <w:tcBorders>
              <w:top w:val="double" w:sz="4" w:space="0" w:color="auto"/>
              <w:left w:val="single" w:sz="4" w:space="0" w:color="auto"/>
              <w:bottom w:val="single" w:sz="4" w:space="0" w:color="auto"/>
            </w:tcBorders>
            <w:shd w:val="clear" w:color="auto" w:fill="auto"/>
            <w:noWrap/>
            <w:vAlign w:val="center"/>
          </w:tcPr>
          <w:p w14:paraId="595BA61D" w14:textId="4BEFC44F" w:rsidR="00423AAF" w:rsidRPr="00B54094" w:rsidRDefault="00423AAF" w:rsidP="00423AAF">
            <w:pPr>
              <w:spacing w:after="0" w:line="240" w:lineRule="auto"/>
              <w:jc w:val="left"/>
              <w:rPr>
                <w:rFonts w:eastAsia="Times New Roman" w:cs="Times New Roman"/>
                <w:b/>
                <w:bCs/>
                <w:kern w:val="0"/>
                <w:sz w:val="18"/>
                <w:szCs w:val="18"/>
                <w:lang w:eastAsia="pl-PL"/>
                <w14:ligatures w14:val="none"/>
              </w:rPr>
            </w:pPr>
            <w:r w:rsidRPr="00B54094">
              <w:rPr>
                <w:rFonts w:eastAsia="Times New Roman" w:cs="Times New Roman"/>
                <w:kern w:val="0"/>
                <w:sz w:val="18"/>
                <w:szCs w:val="18"/>
                <w:lang w:eastAsia="pl-PL"/>
                <w14:ligatures w14:val="none"/>
              </w:rPr>
              <w:t xml:space="preserve">Całkowita emisja </w:t>
            </w:r>
            <w:r w:rsidR="00414664">
              <w:rPr>
                <w:rFonts w:eastAsia="Times New Roman" w:cs="Times New Roman"/>
                <w:kern w:val="0"/>
                <w:sz w:val="18"/>
                <w:szCs w:val="18"/>
                <w:lang w:eastAsia="pl-PL"/>
                <w14:ligatures w14:val="none"/>
              </w:rPr>
              <w:br/>
            </w:r>
            <w:r w:rsidRPr="00B54094">
              <w:rPr>
                <w:rFonts w:eastAsia="Times New Roman" w:cs="Times New Roman"/>
                <w:kern w:val="0"/>
                <w:sz w:val="18"/>
                <w:szCs w:val="18"/>
                <w:lang w:eastAsia="pl-PL"/>
                <w14:ligatures w14:val="none"/>
              </w:rPr>
              <w:t>bez</w:t>
            </w:r>
            <w:r>
              <w:rPr>
                <w:rFonts w:eastAsia="Times New Roman" w:cs="Times New Roman"/>
                <w:kern w:val="0"/>
                <w:sz w:val="18"/>
                <w:szCs w:val="18"/>
                <w:lang w:eastAsia="pl-PL"/>
                <w14:ligatures w14:val="none"/>
              </w:rPr>
              <w:t> </w:t>
            </w:r>
            <w:r w:rsidRPr="00B54094">
              <w:rPr>
                <w:rFonts w:eastAsia="Times New Roman" w:cs="Times New Roman"/>
                <w:kern w:val="0"/>
                <w:sz w:val="18"/>
                <w:szCs w:val="18"/>
                <w:lang w:eastAsia="pl-PL"/>
                <w14:ligatures w14:val="none"/>
              </w:rPr>
              <w:t>uwzględnienia LULUCF</w:t>
            </w:r>
          </w:p>
        </w:tc>
        <w:tc>
          <w:tcPr>
            <w:tcW w:w="933" w:type="dxa"/>
            <w:tcBorders>
              <w:top w:val="double" w:sz="4" w:space="0" w:color="auto"/>
              <w:bottom w:val="single" w:sz="4" w:space="0" w:color="auto"/>
            </w:tcBorders>
            <w:shd w:val="clear" w:color="auto" w:fill="auto"/>
            <w:noWrap/>
            <w:vAlign w:val="center"/>
          </w:tcPr>
          <w:p w14:paraId="2C007CC7" w14:textId="18C02F81" w:rsidR="00423AAF" w:rsidRPr="00423AAF" w:rsidRDefault="00423AAF" w:rsidP="00423AAF">
            <w:pPr>
              <w:spacing w:after="0" w:line="240" w:lineRule="auto"/>
              <w:jc w:val="center"/>
              <w:rPr>
                <w:rFonts w:eastAsia="Times New Roman" w:cs="Times New Roman"/>
                <w:b/>
                <w:bCs/>
                <w:kern w:val="0"/>
                <w:sz w:val="18"/>
                <w:szCs w:val="18"/>
                <w:lang w:eastAsia="pl-PL"/>
                <w14:ligatures w14:val="none"/>
              </w:rPr>
            </w:pPr>
            <w:r w:rsidRPr="00423AAF">
              <w:rPr>
                <w:sz w:val="18"/>
                <w:szCs w:val="18"/>
              </w:rPr>
              <w:t>474,8</w:t>
            </w:r>
          </w:p>
        </w:tc>
        <w:tc>
          <w:tcPr>
            <w:tcW w:w="933" w:type="dxa"/>
            <w:tcBorders>
              <w:top w:val="double" w:sz="4" w:space="0" w:color="auto"/>
              <w:bottom w:val="single" w:sz="4" w:space="0" w:color="auto"/>
            </w:tcBorders>
            <w:shd w:val="clear" w:color="auto" w:fill="auto"/>
            <w:noWrap/>
            <w:vAlign w:val="center"/>
          </w:tcPr>
          <w:p w14:paraId="29BFBAC2" w14:textId="1D7B5CA1" w:rsidR="00423AAF" w:rsidRPr="00423AAF" w:rsidRDefault="00423AAF" w:rsidP="00423AAF">
            <w:pPr>
              <w:spacing w:after="0" w:line="240" w:lineRule="auto"/>
              <w:jc w:val="center"/>
              <w:rPr>
                <w:rFonts w:eastAsia="Times New Roman" w:cs="Times New Roman"/>
                <w:b/>
                <w:bCs/>
                <w:kern w:val="0"/>
                <w:sz w:val="18"/>
                <w:szCs w:val="18"/>
                <w:lang w:eastAsia="pl-PL"/>
                <w14:ligatures w14:val="none"/>
              </w:rPr>
            </w:pPr>
            <w:r w:rsidRPr="00423AAF">
              <w:rPr>
                <w:sz w:val="18"/>
                <w:szCs w:val="18"/>
              </w:rPr>
              <w:t>399,9</w:t>
            </w:r>
          </w:p>
        </w:tc>
        <w:tc>
          <w:tcPr>
            <w:tcW w:w="933" w:type="dxa"/>
            <w:tcBorders>
              <w:top w:val="double" w:sz="4" w:space="0" w:color="auto"/>
              <w:bottom w:val="single" w:sz="4" w:space="0" w:color="auto"/>
            </w:tcBorders>
            <w:shd w:val="clear" w:color="auto" w:fill="auto"/>
            <w:noWrap/>
            <w:vAlign w:val="center"/>
          </w:tcPr>
          <w:p w14:paraId="3B6C5D7F" w14:textId="4C1053E0" w:rsidR="00423AAF" w:rsidRPr="00423AAF" w:rsidRDefault="00423AAF" w:rsidP="00423AAF">
            <w:pPr>
              <w:spacing w:after="0" w:line="240" w:lineRule="auto"/>
              <w:jc w:val="center"/>
              <w:rPr>
                <w:rFonts w:eastAsia="Times New Roman" w:cs="Times New Roman"/>
                <w:b/>
                <w:bCs/>
                <w:kern w:val="0"/>
                <w:sz w:val="18"/>
                <w:szCs w:val="18"/>
                <w:lang w:eastAsia="pl-PL"/>
                <w14:ligatures w14:val="none"/>
              </w:rPr>
            </w:pPr>
            <w:r w:rsidRPr="00423AAF">
              <w:rPr>
                <w:sz w:val="18"/>
                <w:szCs w:val="18"/>
              </w:rPr>
              <w:t>263,4</w:t>
            </w:r>
          </w:p>
        </w:tc>
        <w:tc>
          <w:tcPr>
            <w:tcW w:w="933" w:type="dxa"/>
            <w:tcBorders>
              <w:top w:val="double" w:sz="4" w:space="0" w:color="auto"/>
              <w:bottom w:val="single" w:sz="4" w:space="0" w:color="auto"/>
              <w:right w:val="dotted" w:sz="4" w:space="0" w:color="000000" w:themeColor="text1"/>
            </w:tcBorders>
            <w:shd w:val="clear" w:color="auto" w:fill="auto"/>
            <w:noWrap/>
            <w:vAlign w:val="center"/>
          </w:tcPr>
          <w:p w14:paraId="474BB3BE" w14:textId="133C6A86" w:rsidR="00423AAF" w:rsidRPr="00423AAF" w:rsidRDefault="00423AAF" w:rsidP="00423AAF">
            <w:pPr>
              <w:spacing w:after="0" w:line="240" w:lineRule="auto"/>
              <w:jc w:val="center"/>
              <w:rPr>
                <w:rFonts w:eastAsia="Times New Roman" w:cs="Times New Roman"/>
                <w:b/>
                <w:bCs/>
                <w:kern w:val="0"/>
                <w:sz w:val="18"/>
                <w:szCs w:val="18"/>
                <w:lang w:eastAsia="pl-PL"/>
                <w14:ligatures w14:val="none"/>
              </w:rPr>
            </w:pPr>
            <w:r w:rsidRPr="00423AAF">
              <w:rPr>
                <w:sz w:val="18"/>
                <w:szCs w:val="18"/>
              </w:rPr>
              <w:t>162,8</w:t>
            </w:r>
          </w:p>
        </w:tc>
        <w:tc>
          <w:tcPr>
            <w:tcW w:w="1110" w:type="dxa"/>
            <w:tcBorders>
              <w:top w:val="double" w:sz="4" w:space="0" w:color="auto"/>
              <w:left w:val="dotted" w:sz="4" w:space="0" w:color="000000" w:themeColor="text1"/>
              <w:bottom w:val="single" w:sz="4" w:space="0" w:color="auto"/>
            </w:tcBorders>
            <w:shd w:val="clear" w:color="auto" w:fill="auto"/>
            <w:noWrap/>
            <w:vAlign w:val="center"/>
          </w:tcPr>
          <w:p w14:paraId="3E3B5B5D" w14:textId="31553B27" w:rsidR="00423AAF" w:rsidRPr="00B54094" w:rsidRDefault="00423AAF" w:rsidP="00423AAF">
            <w:pPr>
              <w:spacing w:after="0" w:line="240" w:lineRule="auto"/>
              <w:jc w:val="center"/>
              <w:rPr>
                <w:rFonts w:eastAsia="Times New Roman" w:cs="Times New Roman"/>
                <w:b/>
                <w:bCs/>
                <w:kern w:val="0"/>
                <w:sz w:val="18"/>
                <w:szCs w:val="18"/>
                <w:lang w:eastAsia="pl-PL"/>
                <w14:ligatures w14:val="none"/>
              </w:rPr>
            </w:pPr>
            <w:r w:rsidRPr="00B54094">
              <w:rPr>
                <w:rFonts w:eastAsia="Times New Roman" w:cs="Times New Roman"/>
                <w:kern w:val="0"/>
                <w:sz w:val="18"/>
                <w:szCs w:val="18"/>
                <w:lang w:eastAsia="pl-PL"/>
                <w14:ligatures w14:val="none"/>
              </w:rPr>
              <w:t>-45%</w:t>
            </w:r>
          </w:p>
        </w:tc>
        <w:tc>
          <w:tcPr>
            <w:tcW w:w="1111" w:type="dxa"/>
            <w:tcBorders>
              <w:top w:val="double" w:sz="4" w:space="0" w:color="auto"/>
              <w:bottom w:val="single" w:sz="4" w:space="0" w:color="auto"/>
              <w:right w:val="single" w:sz="4" w:space="0" w:color="auto"/>
            </w:tcBorders>
            <w:shd w:val="clear" w:color="auto" w:fill="auto"/>
            <w:noWrap/>
            <w:vAlign w:val="center"/>
          </w:tcPr>
          <w:p w14:paraId="062CC260" w14:textId="2DCB12B3" w:rsidR="00423AAF" w:rsidRPr="00B54094" w:rsidRDefault="00423AAF" w:rsidP="00423AAF">
            <w:pPr>
              <w:spacing w:after="0" w:line="240" w:lineRule="auto"/>
              <w:jc w:val="center"/>
              <w:rPr>
                <w:rFonts w:eastAsia="Times New Roman" w:cs="Times New Roman"/>
                <w:b/>
                <w:bCs/>
                <w:kern w:val="0"/>
                <w:sz w:val="18"/>
                <w:szCs w:val="18"/>
                <w:lang w:eastAsia="pl-PL"/>
                <w14:ligatures w14:val="none"/>
              </w:rPr>
            </w:pPr>
            <w:r w:rsidRPr="00B54094">
              <w:rPr>
                <w:rFonts w:eastAsia="Times New Roman" w:cs="Times New Roman"/>
                <w:kern w:val="0"/>
                <w:sz w:val="18"/>
                <w:szCs w:val="18"/>
                <w:lang w:eastAsia="pl-PL"/>
                <w14:ligatures w14:val="none"/>
              </w:rPr>
              <w:t>-66%</w:t>
            </w:r>
          </w:p>
        </w:tc>
      </w:tr>
      <w:tr w:rsidR="00423AAF" w:rsidRPr="00B54094" w14:paraId="5B5DDDA3" w14:textId="77777777" w:rsidTr="00414664">
        <w:trPr>
          <w:trHeight w:val="533"/>
        </w:trPr>
        <w:tc>
          <w:tcPr>
            <w:tcW w:w="3114" w:type="dxa"/>
            <w:tcBorders>
              <w:top w:val="single" w:sz="4" w:space="0" w:color="auto"/>
              <w:left w:val="single" w:sz="4" w:space="0" w:color="auto"/>
              <w:bottom w:val="single" w:sz="4" w:space="0" w:color="auto"/>
            </w:tcBorders>
            <w:shd w:val="clear" w:color="auto" w:fill="auto"/>
            <w:noWrap/>
            <w:vAlign w:val="center"/>
            <w:hideMark/>
          </w:tcPr>
          <w:p w14:paraId="5F28DA86" w14:textId="484ADEC5" w:rsidR="00423AAF" w:rsidRPr="00B54094" w:rsidRDefault="00423AAF" w:rsidP="00423AAF">
            <w:pPr>
              <w:spacing w:after="0" w:line="240" w:lineRule="auto"/>
              <w:jc w:val="left"/>
              <w:rPr>
                <w:rFonts w:eastAsia="Times New Roman" w:cs="Times New Roman"/>
                <w:b/>
                <w:bCs/>
                <w:kern w:val="0"/>
                <w:sz w:val="18"/>
                <w:szCs w:val="18"/>
                <w:lang w:eastAsia="pl-PL"/>
                <w14:ligatures w14:val="none"/>
              </w:rPr>
            </w:pPr>
            <w:r w:rsidRPr="00B54094">
              <w:rPr>
                <w:rFonts w:eastAsia="Times New Roman" w:cs="Times New Roman"/>
                <w:b/>
                <w:bCs/>
                <w:kern w:val="0"/>
                <w:sz w:val="18"/>
                <w:szCs w:val="18"/>
                <w:lang w:eastAsia="pl-PL"/>
                <w14:ligatures w14:val="none"/>
              </w:rPr>
              <w:t xml:space="preserve">Całkowita emisja </w:t>
            </w:r>
            <w:r w:rsidR="00414664">
              <w:rPr>
                <w:rFonts w:eastAsia="Times New Roman" w:cs="Times New Roman"/>
                <w:b/>
                <w:bCs/>
                <w:kern w:val="0"/>
                <w:sz w:val="18"/>
                <w:szCs w:val="18"/>
                <w:lang w:eastAsia="pl-PL"/>
                <w14:ligatures w14:val="none"/>
              </w:rPr>
              <w:br/>
            </w:r>
            <w:r w:rsidRPr="00B54094">
              <w:rPr>
                <w:rFonts w:eastAsia="Times New Roman" w:cs="Times New Roman"/>
                <w:b/>
                <w:bCs/>
                <w:kern w:val="0"/>
                <w:sz w:val="18"/>
                <w:szCs w:val="18"/>
                <w:lang w:eastAsia="pl-PL"/>
                <w14:ligatures w14:val="none"/>
              </w:rPr>
              <w:t>z uwzględnieniem LULUCF</w:t>
            </w:r>
          </w:p>
        </w:tc>
        <w:tc>
          <w:tcPr>
            <w:tcW w:w="933" w:type="dxa"/>
            <w:tcBorders>
              <w:top w:val="single" w:sz="4" w:space="0" w:color="auto"/>
              <w:bottom w:val="single" w:sz="4" w:space="0" w:color="auto"/>
            </w:tcBorders>
            <w:shd w:val="clear" w:color="auto" w:fill="auto"/>
            <w:noWrap/>
            <w:vAlign w:val="center"/>
            <w:hideMark/>
          </w:tcPr>
          <w:p w14:paraId="3D542C5C" w14:textId="7D35F7CC" w:rsidR="00423AAF" w:rsidRPr="00423AAF" w:rsidRDefault="00423AAF" w:rsidP="00423AAF">
            <w:pPr>
              <w:spacing w:after="0" w:line="240" w:lineRule="auto"/>
              <w:jc w:val="center"/>
              <w:rPr>
                <w:rFonts w:eastAsia="Times New Roman" w:cs="Times New Roman"/>
                <w:b/>
                <w:bCs/>
                <w:kern w:val="0"/>
                <w:sz w:val="18"/>
                <w:szCs w:val="18"/>
                <w:lang w:eastAsia="pl-PL"/>
                <w14:ligatures w14:val="none"/>
              </w:rPr>
            </w:pPr>
            <w:r w:rsidRPr="00423AAF">
              <w:rPr>
                <w:b/>
                <w:bCs/>
                <w:sz w:val="18"/>
                <w:szCs w:val="18"/>
              </w:rPr>
              <w:t>446,3</w:t>
            </w:r>
          </w:p>
        </w:tc>
        <w:tc>
          <w:tcPr>
            <w:tcW w:w="933" w:type="dxa"/>
            <w:tcBorders>
              <w:top w:val="single" w:sz="4" w:space="0" w:color="auto"/>
              <w:bottom w:val="single" w:sz="4" w:space="0" w:color="auto"/>
            </w:tcBorders>
            <w:shd w:val="clear" w:color="auto" w:fill="auto"/>
            <w:noWrap/>
            <w:vAlign w:val="center"/>
            <w:hideMark/>
          </w:tcPr>
          <w:p w14:paraId="61368B8E" w14:textId="614FE803" w:rsidR="00423AAF" w:rsidRPr="00423AAF" w:rsidRDefault="00423AAF" w:rsidP="00423AAF">
            <w:pPr>
              <w:spacing w:after="0" w:line="240" w:lineRule="auto"/>
              <w:jc w:val="center"/>
              <w:rPr>
                <w:rFonts w:eastAsia="Times New Roman" w:cs="Times New Roman"/>
                <w:b/>
                <w:bCs/>
                <w:kern w:val="0"/>
                <w:sz w:val="18"/>
                <w:szCs w:val="18"/>
                <w:lang w:eastAsia="pl-PL"/>
                <w14:ligatures w14:val="none"/>
              </w:rPr>
            </w:pPr>
            <w:r w:rsidRPr="00423AAF">
              <w:rPr>
                <w:b/>
                <w:bCs/>
                <w:sz w:val="18"/>
                <w:szCs w:val="18"/>
              </w:rPr>
              <w:t>379,8</w:t>
            </w:r>
          </w:p>
        </w:tc>
        <w:tc>
          <w:tcPr>
            <w:tcW w:w="933" w:type="dxa"/>
            <w:tcBorders>
              <w:top w:val="single" w:sz="4" w:space="0" w:color="auto"/>
              <w:bottom w:val="single" w:sz="4" w:space="0" w:color="auto"/>
            </w:tcBorders>
            <w:shd w:val="clear" w:color="auto" w:fill="auto"/>
            <w:noWrap/>
            <w:vAlign w:val="center"/>
            <w:hideMark/>
          </w:tcPr>
          <w:p w14:paraId="0494A107" w14:textId="68F5C1BD" w:rsidR="00423AAF" w:rsidRPr="00423AAF" w:rsidRDefault="00423AAF" w:rsidP="00423AAF">
            <w:pPr>
              <w:spacing w:after="0" w:line="240" w:lineRule="auto"/>
              <w:jc w:val="center"/>
              <w:rPr>
                <w:rFonts w:eastAsia="Times New Roman" w:cs="Times New Roman"/>
                <w:b/>
                <w:bCs/>
                <w:kern w:val="0"/>
                <w:sz w:val="18"/>
                <w:szCs w:val="18"/>
                <w:lang w:eastAsia="pl-PL"/>
                <w14:ligatures w14:val="none"/>
              </w:rPr>
            </w:pPr>
            <w:r w:rsidRPr="00423AAF">
              <w:rPr>
                <w:b/>
                <w:bCs/>
                <w:sz w:val="18"/>
                <w:szCs w:val="18"/>
              </w:rPr>
              <w:t>221,3</w:t>
            </w:r>
          </w:p>
        </w:tc>
        <w:tc>
          <w:tcPr>
            <w:tcW w:w="933" w:type="dxa"/>
            <w:tcBorders>
              <w:top w:val="single" w:sz="4" w:space="0" w:color="auto"/>
              <w:bottom w:val="single" w:sz="4" w:space="0" w:color="auto"/>
              <w:right w:val="dotted" w:sz="4" w:space="0" w:color="000000" w:themeColor="text1"/>
            </w:tcBorders>
            <w:shd w:val="clear" w:color="auto" w:fill="auto"/>
            <w:noWrap/>
            <w:vAlign w:val="center"/>
            <w:hideMark/>
          </w:tcPr>
          <w:p w14:paraId="54F2463C" w14:textId="7155B3E5" w:rsidR="00423AAF" w:rsidRPr="00423AAF" w:rsidRDefault="00423AAF" w:rsidP="00423AAF">
            <w:pPr>
              <w:spacing w:after="0" w:line="240" w:lineRule="auto"/>
              <w:jc w:val="center"/>
              <w:rPr>
                <w:rFonts w:eastAsia="Times New Roman" w:cs="Times New Roman"/>
                <w:b/>
                <w:bCs/>
                <w:kern w:val="0"/>
                <w:sz w:val="18"/>
                <w:szCs w:val="18"/>
                <w:lang w:eastAsia="pl-PL"/>
                <w14:ligatures w14:val="none"/>
              </w:rPr>
            </w:pPr>
            <w:r w:rsidRPr="00423AAF">
              <w:rPr>
                <w:b/>
                <w:bCs/>
                <w:sz w:val="18"/>
                <w:szCs w:val="18"/>
              </w:rPr>
              <w:t>132,8</w:t>
            </w:r>
          </w:p>
        </w:tc>
        <w:tc>
          <w:tcPr>
            <w:tcW w:w="1110" w:type="dxa"/>
            <w:tcBorders>
              <w:top w:val="single" w:sz="4" w:space="0" w:color="auto"/>
              <w:left w:val="dotted" w:sz="4" w:space="0" w:color="000000" w:themeColor="text1"/>
              <w:bottom w:val="single" w:sz="4" w:space="0" w:color="auto"/>
            </w:tcBorders>
            <w:shd w:val="clear" w:color="000000" w:fill="FFE699"/>
            <w:noWrap/>
            <w:vAlign w:val="center"/>
            <w:hideMark/>
          </w:tcPr>
          <w:p w14:paraId="6D7D4A94" w14:textId="4ECACE32" w:rsidR="00423AAF" w:rsidRPr="000858ED" w:rsidRDefault="00423AAF" w:rsidP="00423AAF">
            <w:pPr>
              <w:spacing w:after="0" w:line="240" w:lineRule="auto"/>
              <w:jc w:val="center"/>
              <w:rPr>
                <w:rFonts w:eastAsia="Times New Roman" w:cs="Times New Roman"/>
                <w:b/>
                <w:bCs/>
                <w:kern w:val="0"/>
                <w:sz w:val="24"/>
                <w:szCs w:val="24"/>
                <w:lang w:eastAsia="pl-PL"/>
                <w14:ligatures w14:val="none"/>
              </w:rPr>
            </w:pPr>
            <w:r w:rsidRPr="000858ED">
              <w:rPr>
                <w:rFonts w:eastAsia="Times New Roman" w:cs="Times New Roman"/>
                <w:b/>
                <w:bCs/>
                <w:kern w:val="0"/>
                <w:sz w:val="24"/>
                <w:szCs w:val="24"/>
                <w:lang w:eastAsia="pl-PL"/>
                <w14:ligatures w14:val="none"/>
              </w:rPr>
              <w:t>-50</w:t>
            </w:r>
            <w:r w:rsidR="00CE6C29">
              <w:rPr>
                <w:rFonts w:eastAsia="Times New Roman" w:cs="Times New Roman"/>
                <w:b/>
                <w:bCs/>
                <w:kern w:val="0"/>
                <w:sz w:val="24"/>
                <w:szCs w:val="24"/>
                <w:lang w:eastAsia="pl-PL"/>
                <w14:ligatures w14:val="none"/>
              </w:rPr>
              <w:t>,4</w:t>
            </w:r>
            <w:r w:rsidRPr="000858ED">
              <w:rPr>
                <w:rFonts w:eastAsia="Times New Roman" w:cs="Times New Roman"/>
                <w:b/>
                <w:bCs/>
                <w:kern w:val="0"/>
                <w:sz w:val="24"/>
                <w:szCs w:val="24"/>
                <w:lang w:eastAsia="pl-PL"/>
                <w14:ligatures w14:val="none"/>
              </w:rPr>
              <w:t>%</w:t>
            </w:r>
          </w:p>
        </w:tc>
        <w:tc>
          <w:tcPr>
            <w:tcW w:w="1111" w:type="dxa"/>
            <w:tcBorders>
              <w:top w:val="single" w:sz="4" w:space="0" w:color="auto"/>
              <w:bottom w:val="single" w:sz="4" w:space="0" w:color="auto"/>
              <w:right w:val="single" w:sz="4" w:space="0" w:color="auto"/>
            </w:tcBorders>
            <w:shd w:val="clear" w:color="000000" w:fill="FFE699"/>
            <w:noWrap/>
            <w:vAlign w:val="center"/>
            <w:hideMark/>
          </w:tcPr>
          <w:p w14:paraId="7AA30759" w14:textId="77777777" w:rsidR="00423AAF" w:rsidRPr="000858ED" w:rsidRDefault="00423AAF" w:rsidP="00423AAF">
            <w:pPr>
              <w:spacing w:after="0" w:line="240" w:lineRule="auto"/>
              <w:jc w:val="center"/>
              <w:rPr>
                <w:rFonts w:eastAsia="Times New Roman" w:cs="Times New Roman"/>
                <w:b/>
                <w:bCs/>
                <w:kern w:val="0"/>
                <w:sz w:val="24"/>
                <w:szCs w:val="24"/>
                <w:lang w:eastAsia="pl-PL"/>
                <w14:ligatures w14:val="none"/>
              </w:rPr>
            </w:pPr>
            <w:r w:rsidRPr="000858ED">
              <w:rPr>
                <w:rFonts w:eastAsia="Times New Roman" w:cs="Times New Roman"/>
                <w:b/>
                <w:bCs/>
                <w:kern w:val="0"/>
                <w:sz w:val="24"/>
                <w:szCs w:val="24"/>
                <w:lang w:eastAsia="pl-PL"/>
                <w14:ligatures w14:val="none"/>
              </w:rPr>
              <w:t>-70%</w:t>
            </w:r>
          </w:p>
        </w:tc>
      </w:tr>
    </w:tbl>
    <w:p w14:paraId="0730B8A0" w14:textId="5B9CDA5E" w:rsidR="00DF4C05" w:rsidRDefault="00B45C43" w:rsidP="00F00E2B">
      <w:pPr>
        <w:pStyle w:val="Przypisy"/>
        <w:ind w:left="0"/>
        <w:rPr>
          <w:sz w:val="16"/>
          <w:szCs w:val="16"/>
        </w:rPr>
      </w:pPr>
      <w:bookmarkStart w:id="28" w:name="_Hlk177141855"/>
      <w:bookmarkEnd w:id="27"/>
      <w:r w:rsidRPr="008617C8">
        <w:rPr>
          <w:sz w:val="16"/>
          <w:szCs w:val="16"/>
        </w:rPr>
        <w:t xml:space="preserve">Sektor „energia” </w:t>
      </w:r>
      <w:r w:rsidR="00794ACE">
        <w:rPr>
          <w:sz w:val="16"/>
          <w:szCs w:val="16"/>
        </w:rPr>
        <w:t>odnosi się do</w:t>
      </w:r>
      <w:r w:rsidRPr="008617C8">
        <w:rPr>
          <w:sz w:val="16"/>
          <w:szCs w:val="16"/>
        </w:rPr>
        <w:t xml:space="preserve"> </w:t>
      </w:r>
      <w:r w:rsidRPr="008617C8">
        <w:rPr>
          <w:sz w:val="16"/>
          <w:szCs w:val="16"/>
          <w:u w:val="single"/>
        </w:rPr>
        <w:t>spalani</w:t>
      </w:r>
      <w:r w:rsidR="00794ACE">
        <w:rPr>
          <w:sz w:val="16"/>
          <w:szCs w:val="16"/>
          <w:u w:val="single"/>
        </w:rPr>
        <w:t>a</w:t>
      </w:r>
      <w:r w:rsidRPr="008617C8">
        <w:rPr>
          <w:sz w:val="16"/>
          <w:szCs w:val="16"/>
        </w:rPr>
        <w:t xml:space="preserve"> paliw w energetyce, przemyśle wytwórczym, transporcie</w:t>
      </w:r>
      <w:r w:rsidR="00B53E8D" w:rsidRPr="008617C8">
        <w:rPr>
          <w:sz w:val="16"/>
          <w:szCs w:val="16"/>
        </w:rPr>
        <w:t xml:space="preserve"> i innych sektorac</w:t>
      </w:r>
      <w:r w:rsidR="00794ACE">
        <w:rPr>
          <w:sz w:val="16"/>
          <w:szCs w:val="16"/>
        </w:rPr>
        <w:t xml:space="preserve">h </w:t>
      </w:r>
      <w:r w:rsidR="00B53E8D" w:rsidRPr="008617C8">
        <w:rPr>
          <w:sz w:val="16"/>
          <w:szCs w:val="16"/>
        </w:rPr>
        <w:t>oraz emisję lotn</w:t>
      </w:r>
      <w:r w:rsidR="00794ACE">
        <w:rPr>
          <w:sz w:val="16"/>
          <w:szCs w:val="16"/>
        </w:rPr>
        <w:t>ą</w:t>
      </w:r>
      <w:r w:rsidR="00B53E8D" w:rsidRPr="008617C8">
        <w:rPr>
          <w:sz w:val="16"/>
          <w:szCs w:val="16"/>
        </w:rPr>
        <w:t xml:space="preserve"> z</w:t>
      </w:r>
      <w:r w:rsidR="00DF4C05">
        <w:rPr>
          <w:sz w:val="16"/>
          <w:szCs w:val="16"/>
        </w:rPr>
        <w:t> </w:t>
      </w:r>
      <w:r w:rsidR="00B53E8D" w:rsidRPr="008617C8">
        <w:rPr>
          <w:sz w:val="16"/>
          <w:szCs w:val="16"/>
        </w:rPr>
        <w:t>paliw</w:t>
      </w:r>
      <w:r w:rsidRPr="008617C8">
        <w:rPr>
          <w:sz w:val="16"/>
          <w:szCs w:val="16"/>
        </w:rPr>
        <w:t xml:space="preserve"> (zgodnie z metodyką IPCC).</w:t>
      </w:r>
      <w:r w:rsidR="008617C8">
        <w:rPr>
          <w:sz w:val="16"/>
          <w:szCs w:val="16"/>
        </w:rPr>
        <w:t xml:space="preserve"> </w:t>
      </w:r>
    </w:p>
    <w:p w14:paraId="33021B51" w14:textId="08D594D7" w:rsidR="00DF4C05" w:rsidRDefault="00794ACE" w:rsidP="00DF4C05">
      <w:pPr>
        <w:pStyle w:val="Przypisy"/>
        <w:ind w:left="0"/>
        <w:rPr>
          <w:sz w:val="16"/>
          <w:szCs w:val="16"/>
        </w:rPr>
      </w:pPr>
      <w:r>
        <w:rPr>
          <w:sz w:val="16"/>
          <w:szCs w:val="16"/>
        </w:rPr>
        <w:t xml:space="preserve">Wyszczególnienie dla sektora „energii” </w:t>
      </w:r>
      <w:r w:rsidR="000C4B0C">
        <w:rPr>
          <w:sz w:val="16"/>
          <w:szCs w:val="16"/>
        </w:rPr>
        <w:t>w tabeli odnosi się do następujących kategorii</w:t>
      </w:r>
      <w:r w:rsidR="00DF4C05">
        <w:rPr>
          <w:sz w:val="16"/>
          <w:szCs w:val="16"/>
        </w:rPr>
        <w:t>:</w:t>
      </w:r>
      <w:r w:rsidR="008617C8">
        <w:rPr>
          <w:sz w:val="16"/>
          <w:szCs w:val="16"/>
        </w:rPr>
        <w:t xml:space="preserve"> </w:t>
      </w:r>
      <w:r w:rsidR="008617C8" w:rsidRPr="008617C8">
        <w:rPr>
          <w:sz w:val="16"/>
          <w:szCs w:val="16"/>
        </w:rPr>
        <w:t>elektrownie i elektrociepłownie</w:t>
      </w:r>
      <w:r w:rsidR="00DF4C05">
        <w:rPr>
          <w:sz w:val="16"/>
          <w:szCs w:val="16"/>
        </w:rPr>
        <w:t xml:space="preserve"> – </w:t>
      </w:r>
      <w:r w:rsidR="00DF4C05" w:rsidRPr="008617C8">
        <w:rPr>
          <w:sz w:val="16"/>
          <w:szCs w:val="16"/>
        </w:rPr>
        <w:t>1A1aii</w:t>
      </w:r>
      <w:r w:rsidR="008617C8" w:rsidRPr="008617C8">
        <w:rPr>
          <w:sz w:val="16"/>
          <w:szCs w:val="16"/>
        </w:rPr>
        <w:t>; ciepłownie</w:t>
      </w:r>
      <w:r w:rsidR="00DF4C05">
        <w:rPr>
          <w:sz w:val="16"/>
          <w:szCs w:val="16"/>
        </w:rPr>
        <w:t xml:space="preserve"> – </w:t>
      </w:r>
      <w:r w:rsidR="00DF4C05" w:rsidRPr="008617C8">
        <w:rPr>
          <w:sz w:val="16"/>
          <w:szCs w:val="16"/>
        </w:rPr>
        <w:t>1A1aii</w:t>
      </w:r>
      <w:r w:rsidR="00DF4C05">
        <w:rPr>
          <w:sz w:val="16"/>
          <w:szCs w:val="16"/>
        </w:rPr>
        <w:t>i</w:t>
      </w:r>
      <w:r w:rsidR="008617C8" w:rsidRPr="008617C8">
        <w:rPr>
          <w:sz w:val="16"/>
          <w:szCs w:val="16"/>
        </w:rPr>
        <w:t>; przemysł wytwórczy</w:t>
      </w:r>
      <w:r w:rsidR="00DF4C05">
        <w:rPr>
          <w:sz w:val="16"/>
          <w:szCs w:val="16"/>
        </w:rPr>
        <w:t xml:space="preserve"> – </w:t>
      </w:r>
      <w:r w:rsidR="00DF4C05" w:rsidRPr="008617C8">
        <w:rPr>
          <w:sz w:val="16"/>
          <w:szCs w:val="16"/>
        </w:rPr>
        <w:t>1A2</w:t>
      </w:r>
      <w:r w:rsidR="008617C8" w:rsidRPr="008617C8">
        <w:rPr>
          <w:sz w:val="16"/>
          <w:szCs w:val="16"/>
        </w:rPr>
        <w:t>; transport</w:t>
      </w:r>
      <w:r w:rsidR="00DF4C05">
        <w:rPr>
          <w:sz w:val="16"/>
          <w:szCs w:val="16"/>
        </w:rPr>
        <w:t xml:space="preserve"> – 1A3</w:t>
      </w:r>
      <w:r w:rsidR="008617C8" w:rsidRPr="008617C8">
        <w:rPr>
          <w:sz w:val="16"/>
          <w:szCs w:val="16"/>
        </w:rPr>
        <w:t>; gospodarstwa domowe</w:t>
      </w:r>
      <w:r w:rsidR="00DF4C05">
        <w:rPr>
          <w:sz w:val="16"/>
          <w:szCs w:val="16"/>
        </w:rPr>
        <w:t xml:space="preserve"> – </w:t>
      </w:r>
      <w:r w:rsidR="00DF4C05" w:rsidRPr="008617C8">
        <w:rPr>
          <w:sz w:val="16"/>
          <w:szCs w:val="16"/>
        </w:rPr>
        <w:t>1A4b</w:t>
      </w:r>
      <w:r w:rsidR="00DF4C05">
        <w:rPr>
          <w:sz w:val="16"/>
          <w:szCs w:val="16"/>
        </w:rPr>
        <w:t xml:space="preserve">; </w:t>
      </w:r>
      <w:r w:rsidR="008617C8" w:rsidRPr="008617C8">
        <w:rPr>
          <w:sz w:val="16"/>
          <w:szCs w:val="16"/>
        </w:rPr>
        <w:t>spalanie paliw w</w:t>
      </w:r>
      <w:r w:rsidR="00DF4C05">
        <w:rPr>
          <w:sz w:val="16"/>
          <w:szCs w:val="16"/>
        </w:rPr>
        <w:t> </w:t>
      </w:r>
      <w:r w:rsidR="008617C8" w:rsidRPr="008617C8">
        <w:rPr>
          <w:sz w:val="16"/>
          <w:szCs w:val="16"/>
        </w:rPr>
        <w:t>pozostałych sektorach</w:t>
      </w:r>
      <w:r w:rsidR="00DF4C05">
        <w:rPr>
          <w:sz w:val="16"/>
          <w:szCs w:val="16"/>
        </w:rPr>
        <w:t xml:space="preserve">, tj. w rafineriach </w:t>
      </w:r>
      <w:r w:rsidR="00DF4C05">
        <w:rPr>
          <w:sz w:val="16"/>
          <w:szCs w:val="16"/>
        </w:rPr>
        <w:softHyphen/>
        <w:t xml:space="preserve">– 1A1b; innych przemysłach energetycznych – 1A1c; handlu, usługach, instytucjach – </w:t>
      </w:r>
      <w:r w:rsidR="00DF4C05" w:rsidRPr="008617C8">
        <w:rPr>
          <w:sz w:val="16"/>
          <w:szCs w:val="16"/>
        </w:rPr>
        <w:t>1A</w:t>
      </w:r>
      <w:r w:rsidR="00DF4C05">
        <w:rPr>
          <w:sz w:val="16"/>
          <w:szCs w:val="16"/>
        </w:rPr>
        <w:t>4a</w:t>
      </w:r>
      <w:r w:rsidR="00DF4C05" w:rsidRPr="008617C8">
        <w:rPr>
          <w:sz w:val="16"/>
          <w:szCs w:val="16"/>
        </w:rPr>
        <w:t xml:space="preserve">, </w:t>
      </w:r>
      <w:r w:rsidR="00DF4C05">
        <w:rPr>
          <w:sz w:val="16"/>
          <w:szCs w:val="16"/>
        </w:rPr>
        <w:t>w rolnictwie, leśnictwie, rybołówstwie – 1A1c</w:t>
      </w:r>
      <w:r w:rsidR="008617C8" w:rsidRPr="008617C8">
        <w:rPr>
          <w:sz w:val="16"/>
          <w:szCs w:val="16"/>
        </w:rPr>
        <w:t xml:space="preserve">; 1B </w:t>
      </w:r>
      <w:r w:rsidR="00DF4C05">
        <w:rPr>
          <w:sz w:val="16"/>
          <w:szCs w:val="16"/>
        </w:rPr>
        <w:t>–</w:t>
      </w:r>
      <w:r w:rsidR="008617C8" w:rsidRPr="008617C8">
        <w:rPr>
          <w:sz w:val="16"/>
          <w:szCs w:val="16"/>
        </w:rPr>
        <w:t xml:space="preserve"> emisja lotna z paliw</w:t>
      </w:r>
      <w:r w:rsidR="00DF4C05">
        <w:rPr>
          <w:sz w:val="16"/>
          <w:szCs w:val="16"/>
        </w:rPr>
        <w:t>.</w:t>
      </w:r>
    </w:p>
    <w:p w14:paraId="0C449EB0" w14:textId="2DF1DEEE" w:rsidR="00B54094" w:rsidRPr="008617C8" w:rsidRDefault="00B53E8D" w:rsidP="00DF4C05">
      <w:pPr>
        <w:pStyle w:val="Przypisy"/>
        <w:ind w:left="0"/>
        <w:rPr>
          <w:rFonts w:eastAsia="Times New Roman"/>
          <w:sz w:val="16"/>
          <w:szCs w:val="16"/>
          <w:lang w:eastAsia="pl-PL"/>
          <w14:ligatures w14:val="none"/>
        </w:rPr>
      </w:pPr>
      <w:r w:rsidRPr="008617C8">
        <w:rPr>
          <w:rFonts w:eastAsia="Times New Roman"/>
          <w:sz w:val="16"/>
          <w:szCs w:val="16"/>
          <w:lang w:eastAsia="pl-PL"/>
          <w14:ligatures w14:val="none"/>
        </w:rPr>
        <w:t>Sektor „p</w:t>
      </w:r>
      <w:r w:rsidR="003E3D7C" w:rsidRPr="008617C8">
        <w:rPr>
          <w:rFonts w:eastAsia="Times New Roman"/>
          <w:sz w:val="16"/>
          <w:szCs w:val="16"/>
          <w:lang w:eastAsia="pl-PL"/>
          <w14:ligatures w14:val="none"/>
        </w:rPr>
        <w:t>rocesy przemysłowe i</w:t>
      </w:r>
      <w:r w:rsidR="00F00E2B" w:rsidRPr="008617C8">
        <w:rPr>
          <w:rFonts w:eastAsia="Times New Roman"/>
          <w:sz w:val="16"/>
          <w:szCs w:val="16"/>
          <w:lang w:eastAsia="pl-PL"/>
          <w14:ligatures w14:val="none"/>
        </w:rPr>
        <w:t xml:space="preserve"> </w:t>
      </w:r>
      <w:r w:rsidR="003E3D7C" w:rsidRPr="008617C8">
        <w:rPr>
          <w:rFonts w:eastAsia="Times New Roman"/>
          <w:sz w:val="16"/>
          <w:szCs w:val="16"/>
          <w:lang w:eastAsia="pl-PL"/>
          <w14:ligatures w14:val="none"/>
        </w:rPr>
        <w:t>użytkowanie produktów</w:t>
      </w:r>
      <w:r w:rsidRPr="008617C8">
        <w:rPr>
          <w:rFonts w:eastAsia="Times New Roman"/>
          <w:sz w:val="16"/>
          <w:szCs w:val="16"/>
          <w:lang w:eastAsia="pl-PL"/>
          <w14:ligatures w14:val="none"/>
        </w:rPr>
        <w:t>”</w:t>
      </w:r>
      <w:r w:rsidR="003E3D7C" w:rsidRPr="008617C8">
        <w:rPr>
          <w:rFonts w:eastAsia="Times New Roman"/>
          <w:sz w:val="16"/>
          <w:szCs w:val="16"/>
          <w:lang w:eastAsia="pl-PL"/>
          <w14:ligatures w14:val="none"/>
        </w:rPr>
        <w:t xml:space="preserve"> </w:t>
      </w:r>
      <w:r w:rsidRPr="008617C8">
        <w:rPr>
          <w:rFonts w:eastAsia="Times New Roman"/>
          <w:sz w:val="16"/>
          <w:szCs w:val="16"/>
          <w:lang w:eastAsia="pl-PL"/>
          <w14:ligatures w14:val="none"/>
        </w:rPr>
        <w:t>obejmuje emisje towarzyszące procesom produkcji</w:t>
      </w:r>
      <w:r w:rsidR="003E3D7C" w:rsidRPr="008617C8">
        <w:rPr>
          <w:rFonts w:eastAsia="Times New Roman"/>
          <w:sz w:val="16"/>
          <w:szCs w:val="16"/>
          <w:lang w:eastAsia="pl-PL"/>
          <w14:ligatures w14:val="none"/>
        </w:rPr>
        <w:t xml:space="preserve"> produkt</w:t>
      </w:r>
      <w:r w:rsidRPr="008617C8">
        <w:rPr>
          <w:rFonts w:eastAsia="Times New Roman"/>
          <w:sz w:val="16"/>
          <w:szCs w:val="16"/>
          <w:lang w:eastAsia="pl-PL"/>
          <w14:ligatures w14:val="none"/>
        </w:rPr>
        <w:t>ów</w:t>
      </w:r>
      <w:r w:rsidR="003E3D7C" w:rsidRPr="008617C8">
        <w:rPr>
          <w:rFonts w:eastAsia="Times New Roman"/>
          <w:sz w:val="16"/>
          <w:szCs w:val="16"/>
          <w:lang w:eastAsia="pl-PL"/>
          <w14:ligatures w14:val="none"/>
        </w:rPr>
        <w:t xml:space="preserve"> mineraln</w:t>
      </w:r>
      <w:r w:rsidRPr="008617C8">
        <w:rPr>
          <w:rFonts w:eastAsia="Times New Roman"/>
          <w:sz w:val="16"/>
          <w:szCs w:val="16"/>
          <w:lang w:eastAsia="pl-PL"/>
          <w14:ligatures w14:val="none"/>
        </w:rPr>
        <w:t>ych</w:t>
      </w:r>
      <w:r w:rsidR="003E3D7C" w:rsidRPr="008617C8">
        <w:rPr>
          <w:rFonts w:eastAsia="Times New Roman"/>
          <w:sz w:val="16"/>
          <w:szCs w:val="16"/>
          <w:lang w:eastAsia="pl-PL"/>
          <w14:ligatures w14:val="none"/>
        </w:rPr>
        <w:t>,</w:t>
      </w:r>
      <w:r w:rsidRPr="008617C8">
        <w:rPr>
          <w:rFonts w:eastAsia="Times New Roman"/>
          <w:sz w:val="16"/>
          <w:szCs w:val="16"/>
          <w:lang w:eastAsia="pl-PL"/>
          <w14:ligatures w14:val="none"/>
        </w:rPr>
        <w:t xml:space="preserve"> w</w:t>
      </w:r>
      <w:r w:rsidR="003E3D7C" w:rsidRPr="008617C8">
        <w:rPr>
          <w:rFonts w:eastAsia="Times New Roman"/>
          <w:sz w:val="16"/>
          <w:szCs w:val="16"/>
          <w:lang w:eastAsia="pl-PL"/>
          <w14:ligatures w14:val="none"/>
        </w:rPr>
        <w:t xml:space="preserve"> przemy</w:t>
      </w:r>
      <w:r w:rsidRPr="008617C8">
        <w:rPr>
          <w:rFonts w:eastAsia="Times New Roman"/>
          <w:sz w:val="16"/>
          <w:szCs w:val="16"/>
          <w:lang w:eastAsia="pl-PL"/>
          <w14:ligatures w14:val="none"/>
        </w:rPr>
        <w:t>śle</w:t>
      </w:r>
      <w:r w:rsidR="003E3D7C" w:rsidRPr="008617C8">
        <w:rPr>
          <w:rFonts w:eastAsia="Times New Roman"/>
          <w:sz w:val="16"/>
          <w:szCs w:val="16"/>
          <w:lang w:eastAsia="pl-PL"/>
          <w14:ligatures w14:val="none"/>
        </w:rPr>
        <w:t xml:space="preserve"> chemiczny</w:t>
      </w:r>
      <w:r w:rsidRPr="008617C8">
        <w:rPr>
          <w:rFonts w:eastAsia="Times New Roman"/>
          <w:sz w:val="16"/>
          <w:szCs w:val="16"/>
          <w:lang w:eastAsia="pl-PL"/>
          <w14:ligatures w14:val="none"/>
        </w:rPr>
        <w:t>m</w:t>
      </w:r>
      <w:r w:rsidR="003E3D7C" w:rsidRPr="008617C8">
        <w:rPr>
          <w:rFonts w:eastAsia="Times New Roman"/>
          <w:sz w:val="16"/>
          <w:szCs w:val="16"/>
          <w:lang w:eastAsia="pl-PL"/>
          <w14:ligatures w14:val="none"/>
        </w:rPr>
        <w:t xml:space="preserve">, </w:t>
      </w:r>
      <w:r w:rsidRPr="008617C8">
        <w:rPr>
          <w:rFonts w:eastAsia="Times New Roman"/>
          <w:sz w:val="16"/>
          <w:szCs w:val="16"/>
          <w:lang w:eastAsia="pl-PL"/>
          <w14:ligatures w14:val="none"/>
        </w:rPr>
        <w:t xml:space="preserve">w </w:t>
      </w:r>
      <w:r w:rsidR="003E3D7C" w:rsidRPr="008617C8">
        <w:rPr>
          <w:rFonts w:eastAsia="Times New Roman"/>
          <w:sz w:val="16"/>
          <w:szCs w:val="16"/>
          <w:lang w:eastAsia="pl-PL"/>
          <w14:ligatures w14:val="none"/>
        </w:rPr>
        <w:t>produkcja metali</w:t>
      </w:r>
      <w:r w:rsidRPr="008617C8">
        <w:rPr>
          <w:rFonts w:eastAsia="Times New Roman"/>
          <w:sz w:val="16"/>
          <w:szCs w:val="16"/>
          <w:lang w:eastAsia="pl-PL"/>
          <w14:ligatures w14:val="none"/>
        </w:rPr>
        <w:t>. Emisje w tej kategorii obejmują emisje z</w:t>
      </w:r>
      <w:r w:rsidR="00F00E2B" w:rsidRPr="008617C8">
        <w:rPr>
          <w:rFonts w:eastAsia="Times New Roman"/>
          <w:sz w:val="16"/>
          <w:szCs w:val="16"/>
          <w:lang w:eastAsia="pl-PL"/>
          <w14:ligatures w14:val="none"/>
        </w:rPr>
        <w:t> </w:t>
      </w:r>
      <w:r w:rsidRPr="008617C8">
        <w:rPr>
          <w:rFonts w:eastAsia="Times New Roman"/>
          <w:sz w:val="16"/>
          <w:szCs w:val="16"/>
          <w:lang w:eastAsia="pl-PL"/>
          <w14:ligatures w14:val="none"/>
        </w:rPr>
        <w:t>procesów, ale nie emisje ze spalania paliw na potrzeby wytworzenia energii.</w:t>
      </w:r>
    </w:p>
    <w:bookmarkEnd w:id="28"/>
    <w:p w14:paraId="7D654D1D" w14:textId="77777777" w:rsidR="008617C8" w:rsidRDefault="008617C8" w:rsidP="00E9399E"/>
    <w:p w14:paraId="7353A331" w14:textId="77777777" w:rsidR="003C194F" w:rsidRDefault="00AC61D8" w:rsidP="00E579D6">
      <w:pPr>
        <w:pStyle w:val="Polityka"/>
        <w:spacing w:before="240"/>
      </w:pPr>
      <w:r w:rsidRPr="00C46DAA">
        <w:t>POLITYK</w:t>
      </w:r>
      <w:r w:rsidR="00E939BE" w:rsidRPr="00C46DAA">
        <w:t>A</w:t>
      </w:r>
    </w:p>
    <w:p w14:paraId="4122C3F2" w14:textId="22997E65" w:rsidR="00E939BE" w:rsidRPr="000E240E" w:rsidRDefault="003C194F" w:rsidP="00AC61D8">
      <w:r>
        <w:t>Do realizacji cel</w:t>
      </w:r>
      <w:r w:rsidR="008F02EE">
        <w:t>u</w:t>
      </w:r>
      <w:r>
        <w:t xml:space="preserve"> przyczyniać się będzie </w:t>
      </w:r>
      <w:r w:rsidRPr="00783334">
        <w:rPr>
          <w:b/>
          <w:bCs/>
        </w:rPr>
        <w:t>p</w:t>
      </w:r>
      <w:r w:rsidR="00AC61D8" w:rsidRPr="00783334">
        <w:rPr>
          <w:b/>
          <w:bCs/>
        </w:rPr>
        <w:t xml:space="preserve">odejmowanie wysiłków </w:t>
      </w:r>
      <w:r w:rsidR="00174C5E" w:rsidRPr="00783334">
        <w:rPr>
          <w:b/>
          <w:bCs/>
        </w:rPr>
        <w:t>dekarbonizacyjnych</w:t>
      </w:r>
      <w:r w:rsidR="00174C5E">
        <w:t xml:space="preserve"> </w:t>
      </w:r>
      <w:r w:rsidR="00AC61D8" w:rsidRPr="00783334">
        <w:rPr>
          <w:b/>
          <w:bCs/>
        </w:rPr>
        <w:t>we wszystkich sektorach gospodarki</w:t>
      </w:r>
      <w:r w:rsidR="00AC61D8" w:rsidRPr="000E240E">
        <w:t xml:space="preserve">, z zachowaniem </w:t>
      </w:r>
      <w:r w:rsidR="00E939BE" w:rsidRPr="000E240E">
        <w:t xml:space="preserve">bezpieczeństwa energetycznego oraz racjonalności </w:t>
      </w:r>
      <w:r w:rsidR="00CE6C29">
        <w:t>inwestowania</w:t>
      </w:r>
      <w:r w:rsidR="00CE6C29" w:rsidRPr="000E240E">
        <w:t xml:space="preserve"> </w:t>
      </w:r>
      <w:r w:rsidR="00E939BE" w:rsidRPr="000E240E">
        <w:t xml:space="preserve">środków i obciążeń dla </w:t>
      </w:r>
      <w:r w:rsidR="0036745E">
        <w:t>społeczeństwa</w:t>
      </w:r>
      <w:r w:rsidR="00E939BE" w:rsidRPr="000E240E">
        <w:t xml:space="preserve"> </w:t>
      </w:r>
      <w:r w:rsidR="00783334">
        <w:t>oraz</w:t>
      </w:r>
      <w:r w:rsidR="00E939BE" w:rsidRPr="000E240E">
        <w:t xml:space="preserve"> podmiotów gospodarczych. </w:t>
      </w:r>
    </w:p>
    <w:p w14:paraId="7EBC107B" w14:textId="0830C66B" w:rsidR="00AC61D8" w:rsidRPr="00AC61D8" w:rsidRDefault="00E939BE" w:rsidP="00AC61D8">
      <w:pPr>
        <w:rPr>
          <w:i/>
          <w:iCs/>
        </w:rPr>
      </w:pPr>
      <w:r>
        <w:rPr>
          <w:i/>
          <w:iCs/>
        </w:rPr>
        <w:t xml:space="preserve">Uszczegółowienie stanowią polityki i działania wskazane przy kolejnych celach </w:t>
      </w:r>
      <w:r w:rsidR="00783334">
        <w:rPr>
          <w:i/>
          <w:iCs/>
        </w:rPr>
        <w:t>dotyczących sektorów gospodarki</w:t>
      </w:r>
      <w:r>
        <w:rPr>
          <w:i/>
          <w:iCs/>
        </w:rPr>
        <w:t>.</w:t>
      </w:r>
      <w:r w:rsidR="00AC61D8">
        <w:rPr>
          <w:i/>
          <w:iCs/>
        </w:rPr>
        <w:t xml:space="preserve"> </w:t>
      </w:r>
    </w:p>
    <w:p w14:paraId="6B8883A3" w14:textId="5C9FBF9C" w:rsidR="00AC61D8" w:rsidRPr="00C46DAA" w:rsidRDefault="00AC61D8" w:rsidP="00313DE1">
      <w:pPr>
        <w:pStyle w:val="Polityka"/>
      </w:pPr>
      <w:r w:rsidRPr="00C46DAA">
        <w:lastRenderedPageBreak/>
        <w:t>DZIAŁANIA:</w:t>
      </w:r>
    </w:p>
    <w:p w14:paraId="1A074976" w14:textId="213697DD" w:rsidR="00AC61D8" w:rsidRDefault="00E939BE" w:rsidP="00AC61D8">
      <w:pPr>
        <w:rPr>
          <w:i/>
          <w:iCs/>
        </w:rPr>
      </w:pPr>
      <w:r>
        <w:rPr>
          <w:i/>
          <w:iCs/>
        </w:rPr>
        <w:t xml:space="preserve">Do realizacji celu ogólnego przyczyniać się będą działania wskazane przy kolejnych celach szczegółowych, odnoszących się </w:t>
      </w:r>
      <w:r w:rsidR="00783334">
        <w:rPr>
          <w:i/>
          <w:iCs/>
        </w:rPr>
        <w:t xml:space="preserve">do </w:t>
      </w:r>
      <w:r>
        <w:rPr>
          <w:i/>
          <w:iCs/>
        </w:rPr>
        <w:t>właściwych sektorów</w:t>
      </w:r>
      <w:r w:rsidR="00575331">
        <w:rPr>
          <w:i/>
          <w:iCs/>
        </w:rPr>
        <w:t>.</w:t>
      </w:r>
    </w:p>
    <w:p w14:paraId="3B87F19B" w14:textId="19BF47F9" w:rsidR="001D6A7F" w:rsidRPr="00AB61AA" w:rsidRDefault="005A0EA7" w:rsidP="00AB61AA">
      <w:pPr>
        <w:pStyle w:val="Nagwek4"/>
        <w:rPr>
          <w:color w:val="70AD47" w:themeColor="accent6"/>
        </w:rPr>
      </w:pPr>
      <w:bookmarkStart w:id="29" w:name="_Toc159598286"/>
      <w:bookmarkStart w:id="30" w:name="_Ref173840260"/>
      <w:bookmarkStart w:id="31" w:name="_Toc179536934"/>
      <w:r>
        <w:rPr>
          <w:color w:val="70AD47" w:themeColor="accent6"/>
        </w:rPr>
        <w:t>O</w:t>
      </w:r>
      <w:r w:rsidR="001C4F5B" w:rsidRPr="00AB61AA">
        <w:rPr>
          <w:color w:val="70AD47" w:themeColor="accent6"/>
        </w:rPr>
        <w:t>granicz</w:t>
      </w:r>
      <w:r>
        <w:rPr>
          <w:color w:val="70AD47" w:themeColor="accent6"/>
        </w:rPr>
        <w:t>anie</w:t>
      </w:r>
      <w:r w:rsidR="001C4F5B" w:rsidRPr="00AB61AA">
        <w:rPr>
          <w:color w:val="70AD47" w:themeColor="accent6"/>
        </w:rPr>
        <w:t xml:space="preserve"> </w:t>
      </w:r>
      <w:r w:rsidR="001D6A7F" w:rsidRPr="00AB61AA">
        <w:rPr>
          <w:color w:val="70AD47" w:themeColor="accent6"/>
        </w:rPr>
        <w:t>emisji gazów cieplarnianych</w:t>
      </w:r>
      <w:r w:rsidR="001C4F5B" w:rsidRPr="00AB61AA">
        <w:rPr>
          <w:color w:val="70AD47" w:themeColor="accent6"/>
        </w:rPr>
        <w:t xml:space="preserve"> </w:t>
      </w:r>
      <w:r w:rsidR="009F4788">
        <w:rPr>
          <w:color w:val="70AD47" w:themeColor="accent6"/>
        </w:rPr>
        <w:t>w</w:t>
      </w:r>
      <w:r>
        <w:rPr>
          <w:color w:val="70AD47" w:themeColor="accent6"/>
        </w:rPr>
        <w:t> </w:t>
      </w:r>
      <w:r w:rsidR="009F4788">
        <w:rPr>
          <w:color w:val="70AD47" w:themeColor="accent6"/>
        </w:rPr>
        <w:t>sektorach</w:t>
      </w:r>
      <w:r w:rsidR="008B71F5">
        <w:rPr>
          <w:color w:val="70AD47" w:themeColor="accent6"/>
        </w:rPr>
        <w:t xml:space="preserve"> non-ETS</w:t>
      </w:r>
      <w:r w:rsidR="001E75C1">
        <w:rPr>
          <w:color w:val="70AD47" w:themeColor="accent6"/>
        </w:rPr>
        <w:t xml:space="preserve"> (ES</w:t>
      </w:r>
      <w:r w:rsidR="00FE3A61">
        <w:rPr>
          <w:color w:val="70AD47" w:themeColor="accent6"/>
        </w:rPr>
        <w:t>R</w:t>
      </w:r>
      <w:r w:rsidR="001E75C1">
        <w:rPr>
          <w:color w:val="70AD47" w:themeColor="accent6"/>
        </w:rPr>
        <w:t>)</w:t>
      </w:r>
      <w:r w:rsidR="009F4788">
        <w:rPr>
          <w:color w:val="70AD47" w:themeColor="accent6"/>
        </w:rPr>
        <w:t xml:space="preserve"> i </w:t>
      </w:r>
      <w:r w:rsidR="00287862">
        <w:rPr>
          <w:color w:val="70AD47" w:themeColor="accent6"/>
        </w:rPr>
        <w:t>szacowana</w:t>
      </w:r>
      <w:r w:rsidR="009F4788">
        <w:rPr>
          <w:color w:val="70AD47" w:themeColor="accent6"/>
        </w:rPr>
        <w:t xml:space="preserve"> redukcja w sektorach ETS</w:t>
      </w:r>
      <w:bookmarkEnd w:id="29"/>
      <w:bookmarkEnd w:id="30"/>
      <w:bookmarkEnd w:id="31"/>
    </w:p>
    <w:p w14:paraId="37CE01E1" w14:textId="284E0022" w:rsidR="006B2A65" w:rsidRDefault="005D0228" w:rsidP="00F40D7B">
      <w:pPr>
        <w:rPr>
          <w:rFonts w:cs="Calibri"/>
          <w:bCs/>
        </w:rPr>
      </w:pPr>
      <w:r>
        <w:rPr>
          <w:rFonts w:cs="Calibri"/>
          <w:bCs/>
        </w:rPr>
        <w:t>U</w:t>
      </w:r>
      <w:r w:rsidR="001E75C1">
        <w:rPr>
          <w:rFonts w:cs="Calibri"/>
          <w:bCs/>
        </w:rPr>
        <w:t xml:space="preserve">nijna </w:t>
      </w:r>
      <w:r>
        <w:rPr>
          <w:rFonts w:cs="Calibri"/>
          <w:bCs/>
        </w:rPr>
        <w:t xml:space="preserve">polityka </w:t>
      </w:r>
      <w:r w:rsidR="001E75C1">
        <w:rPr>
          <w:rFonts w:cs="Calibri"/>
          <w:bCs/>
        </w:rPr>
        <w:t xml:space="preserve">w zakresie obniżania </w:t>
      </w:r>
      <w:r>
        <w:rPr>
          <w:rFonts w:cs="Calibri"/>
          <w:bCs/>
        </w:rPr>
        <w:t xml:space="preserve">poziomu emisji CG </w:t>
      </w:r>
      <w:r w:rsidR="001E75C1">
        <w:rPr>
          <w:rFonts w:cs="Calibri"/>
          <w:bCs/>
        </w:rPr>
        <w:t>różni się w zależności od sektorów. Sektor</w:t>
      </w:r>
      <w:r w:rsidR="00A55765">
        <w:rPr>
          <w:rFonts w:cs="Calibri"/>
          <w:bCs/>
        </w:rPr>
        <w:t>y</w:t>
      </w:r>
      <w:r w:rsidR="001E75C1">
        <w:rPr>
          <w:rFonts w:cs="Calibri"/>
          <w:bCs/>
        </w:rPr>
        <w:t xml:space="preserve"> energ</w:t>
      </w:r>
      <w:r w:rsidR="001473F6">
        <w:rPr>
          <w:rFonts w:cs="Calibri"/>
          <w:bCs/>
        </w:rPr>
        <w:t>etyki</w:t>
      </w:r>
      <w:r w:rsidR="00B21AD3">
        <w:rPr>
          <w:rFonts w:cs="Calibri"/>
          <w:bCs/>
        </w:rPr>
        <w:t xml:space="preserve"> (elektroenergetyki i ciepłownictwa)</w:t>
      </w:r>
      <w:r w:rsidR="001E75C1">
        <w:rPr>
          <w:rFonts w:cs="Calibri"/>
          <w:bCs/>
        </w:rPr>
        <w:t xml:space="preserve">, przemysłu energochłonnego i lotnictwo </w:t>
      </w:r>
      <w:r w:rsidR="006B2A65">
        <w:rPr>
          <w:rFonts w:cs="Calibri"/>
          <w:bCs/>
        </w:rPr>
        <w:t xml:space="preserve">objęte są </w:t>
      </w:r>
      <w:r w:rsidR="001E75C1" w:rsidRPr="00B5086C">
        <w:t>europejski</w:t>
      </w:r>
      <w:r w:rsidR="006B2A65">
        <w:t>m</w:t>
      </w:r>
      <w:r w:rsidR="001E75C1">
        <w:rPr>
          <w:rFonts w:cs="Calibri"/>
          <w:bCs/>
        </w:rPr>
        <w:t xml:space="preserve"> system</w:t>
      </w:r>
      <w:r>
        <w:rPr>
          <w:rFonts w:cs="Calibri"/>
          <w:bCs/>
        </w:rPr>
        <w:t>em</w:t>
      </w:r>
      <w:r w:rsidR="001E75C1">
        <w:rPr>
          <w:rFonts w:cs="Calibri"/>
          <w:bCs/>
        </w:rPr>
        <w:t xml:space="preserve"> handlu uprawnie</w:t>
      </w:r>
      <w:r>
        <w:rPr>
          <w:rFonts w:cs="Calibri"/>
          <w:bCs/>
        </w:rPr>
        <w:t>niami</w:t>
      </w:r>
      <w:r w:rsidR="001E75C1">
        <w:rPr>
          <w:rFonts w:cs="Calibri"/>
          <w:bCs/>
        </w:rPr>
        <w:t xml:space="preserve"> do emisji </w:t>
      </w:r>
      <w:r w:rsidR="001E75C1">
        <w:t xml:space="preserve">– </w:t>
      </w:r>
      <w:r w:rsidR="001E75C1" w:rsidRPr="00783334">
        <w:rPr>
          <w:rFonts w:cs="Calibri"/>
          <w:bCs/>
        </w:rPr>
        <w:t>EU ETS</w:t>
      </w:r>
      <w:r w:rsidR="00D86C2F" w:rsidRPr="00783334">
        <w:rPr>
          <w:rFonts w:cs="Calibri"/>
          <w:bCs/>
        </w:rPr>
        <w:t xml:space="preserve">, </w:t>
      </w:r>
      <w:r w:rsidR="00E579D6">
        <w:rPr>
          <w:rFonts w:cs="Calibri"/>
          <w:bCs/>
        </w:rPr>
        <w:t>przy czym</w:t>
      </w:r>
      <w:r w:rsidR="00D86C2F" w:rsidRPr="00783334">
        <w:rPr>
          <w:rFonts w:cs="Calibri"/>
          <w:bCs/>
        </w:rPr>
        <w:t xml:space="preserve"> odpowiadają</w:t>
      </w:r>
      <w:r w:rsidR="00D86C2F">
        <w:rPr>
          <w:rFonts w:cs="Calibri"/>
          <w:bCs/>
        </w:rPr>
        <w:t xml:space="preserve"> za około połowę emisji GC w</w:t>
      </w:r>
      <w:r w:rsidR="00E579D6">
        <w:rPr>
          <w:rFonts w:cs="Calibri"/>
          <w:bCs/>
        </w:rPr>
        <w:t> </w:t>
      </w:r>
      <w:r w:rsidR="00D86C2F">
        <w:rPr>
          <w:rFonts w:cs="Calibri"/>
          <w:bCs/>
        </w:rPr>
        <w:t>Polsce</w:t>
      </w:r>
      <w:r w:rsidR="001E75C1">
        <w:rPr>
          <w:rFonts w:cs="Calibri"/>
          <w:bCs/>
        </w:rPr>
        <w:t xml:space="preserve">. </w:t>
      </w:r>
      <w:r w:rsidR="00FE3A61" w:rsidRPr="00FE3A61">
        <w:rPr>
          <w:rFonts w:cs="Calibri"/>
          <w:b/>
        </w:rPr>
        <w:t>E</w:t>
      </w:r>
      <w:r w:rsidR="001E75C1" w:rsidRPr="00FE3A61">
        <w:rPr>
          <w:rFonts w:cs="Calibri"/>
          <w:b/>
        </w:rPr>
        <w:t>misj</w:t>
      </w:r>
      <w:r w:rsidR="00FE3A61" w:rsidRPr="00FE3A61">
        <w:rPr>
          <w:rFonts w:cs="Calibri"/>
          <w:b/>
        </w:rPr>
        <w:t>e</w:t>
      </w:r>
      <w:r w:rsidR="001E75C1" w:rsidRPr="006D1B23">
        <w:rPr>
          <w:rFonts w:cs="Calibri"/>
          <w:b/>
        </w:rPr>
        <w:t xml:space="preserve"> </w:t>
      </w:r>
      <w:r w:rsidR="006B2A65" w:rsidRPr="006D1B23">
        <w:rPr>
          <w:rFonts w:cs="Calibri"/>
          <w:b/>
        </w:rPr>
        <w:t>z </w:t>
      </w:r>
      <w:r w:rsidR="00F40D7B" w:rsidRPr="006D1B23">
        <w:rPr>
          <w:rFonts w:cs="Calibri"/>
          <w:b/>
        </w:rPr>
        <w:t>sektor</w:t>
      </w:r>
      <w:r w:rsidR="006B2A65" w:rsidRPr="006D1B23">
        <w:rPr>
          <w:rFonts w:cs="Calibri"/>
          <w:b/>
        </w:rPr>
        <w:t>ów</w:t>
      </w:r>
      <w:r w:rsidR="00F40D7B" w:rsidRPr="006D1B23">
        <w:rPr>
          <w:rFonts w:cs="Calibri"/>
          <w:b/>
        </w:rPr>
        <w:t xml:space="preserve"> </w:t>
      </w:r>
      <w:r w:rsidR="00D86C2F" w:rsidRPr="006D1B23">
        <w:rPr>
          <w:rFonts w:cs="Calibri"/>
          <w:b/>
        </w:rPr>
        <w:t xml:space="preserve">EU ETS </w:t>
      </w:r>
      <w:r w:rsidR="00FE3A61">
        <w:rPr>
          <w:rFonts w:cs="Calibri"/>
          <w:b/>
        </w:rPr>
        <w:t>powinny</w:t>
      </w:r>
      <w:r w:rsidR="006B2A65" w:rsidRPr="006D1B23">
        <w:rPr>
          <w:rFonts w:cs="Calibri"/>
          <w:b/>
        </w:rPr>
        <w:t xml:space="preserve"> być </w:t>
      </w:r>
      <w:r w:rsidR="00FE3A61">
        <w:rPr>
          <w:rFonts w:cs="Calibri"/>
          <w:b/>
        </w:rPr>
        <w:t>w</w:t>
      </w:r>
      <w:r w:rsidR="006B2A65" w:rsidRPr="006D1B23">
        <w:rPr>
          <w:rFonts w:cs="Calibri"/>
          <w:b/>
        </w:rPr>
        <w:t xml:space="preserve"> UE niższ</w:t>
      </w:r>
      <w:r w:rsidR="00FE3A61">
        <w:rPr>
          <w:rFonts w:cs="Calibri"/>
          <w:b/>
        </w:rPr>
        <w:t>e</w:t>
      </w:r>
      <w:r w:rsidR="006B2A65" w:rsidRPr="006D1B23">
        <w:rPr>
          <w:rFonts w:cs="Calibri"/>
          <w:b/>
        </w:rPr>
        <w:t xml:space="preserve"> o 6</w:t>
      </w:r>
      <w:r w:rsidR="006D1B23" w:rsidRPr="006D1B23">
        <w:rPr>
          <w:rFonts w:cs="Calibri"/>
          <w:b/>
        </w:rPr>
        <w:t>2</w:t>
      </w:r>
      <w:r w:rsidR="006B2A65" w:rsidRPr="006D1B23">
        <w:rPr>
          <w:rFonts w:cs="Calibri"/>
          <w:b/>
        </w:rPr>
        <w:t>%</w:t>
      </w:r>
      <w:r w:rsidR="006B2A65">
        <w:rPr>
          <w:rFonts w:cs="Calibri"/>
          <w:bCs/>
        </w:rPr>
        <w:t xml:space="preserve"> </w:t>
      </w:r>
      <w:r w:rsidR="006B2A65" w:rsidRPr="006D1B23">
        <w:rPr>
          <w:rFonts w:cs="Calibri"/>
          <w:b/>
        </w:rPr>
        <w:t>niż w 2005 r.</w:t>
      </w:r>
      <w:r w:rsidR="006B2A65">
        <w:rPr>
          <w:rFonts w:cs="Calibri"/>
          <w:bCs/>
        </w:rPr>
        <w:t xml:space="preserve"> (</w:t>
      </w:r>
      <w:r>
        <w:rPr>
          <w:rFonts w:cs="Calibri"/>
          <w:bCs/>
        </w:rPr>
        <w:t xml:space="preserve">poprzednio </w:t>
      </w:r>
      <w:r w:rsidR="006B2A65">
        <w:rPr>
          <w:rFonts w:cs="Calibri"/>
          <w:bCs/>
        </w:rPr>
        <w:t>43%)</w:t>
      </w:r>
      <w:r w:rsidR="000A5A45">
        <w:rPr>
          <w:rFonts w:cs="Calibri"/>
          <w:bCs/>
        </w:rPr>
        <w:t xml:space="preserve">, </w:t>
      </w:r>
      <w:r w:rsidR="00D84AAA">
        <w:rPr>
          <w:rFonts w:cs="Calibri"/>
          <w:bCs/>
        </w:rPr>
        <w:t>do</w:t>
      </w:r>
      <w:r w:rsidR="00FE3A61">
        <w:rPr>
          <w:rFonts w:cs="Calibri"/>
          <w:bCs/>
        </w:rPr>
        <w:t> </w:t>
      </w:r>
      <w:r w:rsidR="00D84AAA">
        <w:rPr>
          <w:rFonts w:cs="Calibri"/>
          <w:bCs/>
        </w:rPr>
        <w:t xml:space="preserve">czego ma doprowadzić </w:t>
      </w:r>
      <w:r w:rsidR="00287862">
        <w:rPr>
          <w:rFonts w:cs="Calibri"/>
          <w:bCs/>
        </w:rPr>
        <w:t xml:space="preserve">m.in. </w:t>
      </w:r>
      <w:r w:rsidR="00D84AAA">
        <w:rPr>
          <w:rFonts w:cs="Calibri"/>
          <w:bCs/>
        </w:rPr>
        <w:t>wdrożenie</w:t>
      </w:r>
      <w:r w:rsidR="000A5A45">
        <w:rPr>
          <w:rFonts w:cs="Calibri"/>
          <w:bCs/>
        </w:rPr>
        <w:t xml:space="preserve"> dyrektyw</w:t>
      </w:r>
      <w:r w:rsidR="00D84AAA">
        <w:rPr>
          <w:rFonts w:cs="Calibri"/>
          <w:bCs/>
        </w:rPr>
        <w:t>y</w:t>
      </w:r>
      <w:r w:rsidR="000A5A45">
        <w:rPr>
          <w:rFonts w:cs="Calibri"/>
          <w:bCs/>
        </w:rPr>
        <w:t xml:space="preserve"> </w:t>
      </w:r>
      <w:r w:rsidR="000A5A45">
        <w:t>2023/959</w:t>
      </w:r>
      <w:r w:rsidR="006E3DFB">
        <w:t>/UE</w:t>
      </w:r>
      <w:r>
        <w:t>, zmieniającej dyrektywę 2003/87/WE</w:t>
      </w:r>
      <w:r w:rsidR="000A5A45">
        <w:t xml:space="preserve"> – dyrektyw</w:t>
      </w:r>
      <w:r w:rsidR="00287862">
        <w:t>y</w:t>
      </w:r>
      <w:r w:rsidR="000A5A45">
        <w:t xml:space="preserve"> ETS</w:t>
      </w:r>
      <w:r w:rsidR="001473F6">
        <w:rPr>
          <w:rStyle w:val="Odwoanieprzypisudolnego"/>
          <w:rFonts w:cs="Calibri"/>
          <w:bCs/>
        </w:rPr>
        <w:footnoteReference w:id="6"/>
      </w:r>
      <w:r w:rsidR="006B2A65">
        <w:rPr>
          <w:rFonts w:cs="Calibri"/>
          <w:bCs/>
        </w:rPr>
        <w:t>. Nie</w:t>
      </w:r>
      <w:r w:rsidR="000B5BED">
        <w:rPr>
          <w:rFonts w:cs="Calibri"/>
          <w:bCs/>
        </w:rPr>
        <w:t xml:space="preserve"> </w:t>
      </w:r>
      <w:r w:rsidR="006B2A65">
        <w:rPr>
          <w:rFonts w:cs="Calibri"/>
          <w:bCs/>
        </w:rPr>
        <w:t xml:space="preserve">zostały </w:t>
      </w:r>
      <w:r w:rsidR="002E068E">
        <w:rPr>
          <w:rFonts w:cs="Calibri"/>
          <w:bCs/>
        </w:rPr>
        <w:t xml:space="preserve">w niej </w:t>
      </w:r>
      <w:r w:rsidR="006B2A65">
        <w:rPr>
          <w:rFonts w:cs="Calibri"/>
          <w:bCs/>
        </w:rPr>
        <w:t>określone cele dla poszczególnych państw członkowskich UE.</w:t>
      </w:r>
      <w:r w:rsidR="001473F6">
        <w:rPr>
          <w:rFonts w:cs="Calibri"/>
          <w:bCs/>
        </w:rPr>
        <w:t xml:space="preserve"> Polska nie określa wkładu w tym zakresie, lecz podaje szacunkową wartość</w:t>
      </w:r>
      <w:r w:rsidR="00D84AAA">
        <w:rPr>
          <w:rFonts w:cs="Calibri"/>
          <w:bCs/>
        </w:rPr>
        <w:t>,</w:t>
      </w:r>
      <w:r w:rsidR="001473F6">
        <w:rPr>
          <w:rFonts w:cs="Calibri"/>
          <w:bCs/>
        </w:rPr>
        <w:t xml:space="preserve"> jaką może osiągnąć jako wkład w realizację unijnego celu.</w:t>
      </w:r>
    </w:p>
    <w:p w14:paraId="7475CFA7" w14:textId="44E6823D" w:rsidR="006B2A65" w:rsidRPr="00080BA7" w:rsidRDefault="006B2A65" w:rsidP="00E74EA2">
      <w:pPr>
        <w:pStyle w:val="Cele"/>
        <w:rPr>
          <w:bCs/>
          <w:i/>
          <w:iCs/>
        </w:rPr>
      </w:pPr>
      <w:r w:rsidRPr="006B2A65">
        <w:t xml:space="preserve">Prognozy wskazują, że </w:t>
      </w:r>
      <w:r>
        <w:t xml:space="preserve">Polska może osiągnąć </w:t>
      </w:r>
      <w:r w:rsidRPr="00575331">
        <w:rPr>
          <w:b/>
          <w:bCs/>
        </w:rPr>
        <w:t>redukcję emisji w sektorach objętych EU ETS w</w:t>
      </w:r>
      <w:r w:rsidR="001473F6" w:rsidRPr="00575331">
        <w:rPr>
          <w:b/>
          <w:bCs/>
        </w:rPr>
        <w:t> </w:t>
      </w:r>
      <w:r w:rsidRPr="00575331">
        <w:rPr>
          <w:b/>
          <w:bCs/>
        </w:rPr>
        <w:t xml:space="preserve">stosunku do </w:t>
      </w:r>
      <w:r w:rsidR="00B377B2" w:rsidRPr="00575331">
        <w:rPr>
          <w:b/>
          <w:bCs/>
        </w:rPr>
        <w:t>poziom</w:t>
      </w:r>
      <w:r w:rsidR="002B387F">
        <w:rPr>
          <w:b/>
          <w:bCs/>
        </w:rPr>
        <w:t>u</w:t>
      </w:r>
      <w:r w:rsidR="00B377B2" w:rsidRPr="00575331">
        <w:rPr>
          <w:b/>
          <w:bCs/>
        </w:rPr>
        <w:t xml:space="preserve"> z </w:t>
      </w:r>
      <w:r w:rsidR="001473F6" w:rsidRPr="00575331">
        <w:rPr>
          <w:b/>
          <w:bCs/>
        </w:rPr>
        <w:t>2005 r. o</w:t>
      </w:r>
      <w:r w:rsidR="00EA3610">
        <w:rPr>
          <w:b/>
          <w:bCs/>
        </w:rPr>
        <w:t xml:space="preserve"> </w:t>
      </w:r>
      <w:r w:rsidR="009B6EC9">
        <w:rPr>
          <w:b/>
          <w:bCs/>
        </w:rPr>
        <w:t>49</w:t>
      </w:r>
      <w:r w:rsidR="00A845E8">
        <w:rPr>
          <w:b/>
          <w:bCs/>
        </w:rPr>
        <w:t>,4</w:t>
      </w:r>
      <w:r w:rsidR="001473F6" w:rsidRPr="00575331">
        <w:rPr>
          <w:b/>
          <w:bCs/>
        </w:rPr>
        <w:t xml:space="preserve">% </w:t>
      </w:r>
      <w:r w:rsidR="00B377B2" w:rsidRPr="00575331">
        <w:rPr>
          <w:b/>
          <w:bCs/>
        </w:rPr>
        <w:t xml:space="preserve">w </w:t>
      </w:r>
      <w:r w:rsidRPr="00575331">
        <w:rPr>
          <w:b/>
          <w:bCs/>
        </w:rPr>
        <w:t>2030 r.</w:t>
      </w:r>
      <w:r w:rsidR="000B5BED">
        <w:t xml:space="preserve"> </w:t>
      </w:r>
      <w:r w:rsidR="00B377B2" w:rsidRPr="00B377B2">
        <w:t>(</w:t>
      </w:r>
      <w:r w:rsidR="00EA3610" w:rsidRPr="00484E4C">
        <w:rPr>
          <w:szCs w:val="24"/>
        </w:rPr>
        <w:t>do</w:t>
      </w:r>
      <w:r w:rsidR="00484E4C" w:rsidRPr="00484E4C">
        <w:rPr>
          <w:szCs w:val="24"/>
        </w:rPr>
        <w:t xml:space="preserve"> </w:t>
      </w:r>
      <w:r w:rsidR="009B6EC9" w:rsidRPr="00484E4C">
        <w:rPr>
          <w:szCs w:val="24"/>
        </w:rPr>
        <w:t>105,6</w:t>
      </w:r>
      <w:r w:rsidR="00EA3610" w:rsidRPr="00484E4C">
        <w:rPr>
          <w:szCs w:val="24"/>
        </w:rPr>
        <w:t xml:space="preserve"> mln</w:t>
      </w:r>
      <w:r w:rsidR="00B377B2" w:rsidRPr="00484E4C">
        <w:rPr>
          <w:szCs w:val="24"/>
        </w:rPr>
        <w:t xml:space="preserve"> t</w:t>
      </w:r>
      <w:r w:rsidR="002B387F" w:rsidRPr="00484E4C">
        <w:rPr>
          <w:szCs w:val="24"/>
        </w:rPr>
        <w:t xml:space="preserve"> ekw. CO</w:t>
      </w:r>
      <w:r w:rsidR="002B387F" w:rsidRPr="00484E4C">
        <w:rPr>
          <w:szCs w:val="24"/>
          <w:vertAlign w:val="subscript"/>
        </w:rPr>
        <w:t>2</w:t>
      </w:r>
      <w:r w:rsidR="00B377B2" w:rsidRPr="00484E4C">
        <w:rPr>
          <w:szCs w:val="24"/>
        </w:rPr>
        <w:t>)</w:t>
      </w:r>
      <w:r w:rsidR="002B387F" w:rsidRPr="00484E4C">
        <w:rPr>
          <w:szCs w:val="24"/>
        </w:rPr>
        <w:t xml:space="preserve"> i o</w:t>
      </w:r>
      <w:r w:rsidR="00484E4C" w:rsidRPr="00484E4C">
        <w:rPr>
          <w:szCs w:val="24"/>
        </w:rPr>
        <w:t> </w:t>
      </w:r>
      <w:r w:rsidR="002B387F" w:rsidRPr="00484E4C">
        <w:rPr>
          <w:szCs w:val="24"/>
        </w:rPr>
        <w:t>79,2% w 2040 r</w:t>
      </w:r>
      <w:r w:rsidR="00E579D6" w:rsidRPr="00484E4C">
        <w:rPr>
          <w:szCs w:val="24"/>
        </w:rPr>
        <w:t>.</w:t>
      </w:r>
      <w:r w:rsidR="002B387F" w:rsidRPr="00484E4C">
        <w:rPr>
          <w:szCs w:val="24"/>
        </w:rPr>
        <w:t xml:space="preserve"> (do 43,4 mln t ekw. CO</w:t>
      </w:r>
      <w:r w:rsidR="002B387F" w:rsidRPr="00484E4C">
        <w:rPr>
          <w:szCs w:val="24"/>
          <w:vertAlign w:val="subscript"/>
        </w:rPr>
        <w:t>2</w:t>
      </w:r>
      <w:r w:rsidR="002B387F" w:rsidRPr="00484E4C">
        <w:rPr>
          <w:szCs w:val="24"/>
        </w:rPr>
        <w:t>]</w:t>
      </w:r>
      <w:r w:rsidR="00B377B2">
        <w:t xml:space="preserve"> </w:t>
      </w:r>
      <w:r w:rsidR="00080BA7" w:rsidRPr="00080BA7">
        <w:rPr>
          <w:i/>
          <w:iCs/>
        </w:rPr>
        <w:t>[szacunki nie mają charakteru celu]</w:t>
      </w:r>
    </w:p>
    <w:p w14:paraId="15144381" w14:textId="33882400" w:rsidR="006B2A65" w:rsidRDefault="009A021C" w:rsidP="00F40D7B">
      <w:pPr>
        <w:rPr>
          <w:rFonts w:cs="Calibri"/>
          <w:bCs/>
        </w:rPr>
      </w:pPr>
      <w:r>
        <w:rPr>
          <w:rFonts w:cs="Calibri"/>
          <w:bCs/>
        </w:rPr>
        <w:t>Na</w:t>
      </w:r>
      <w:r w:rsidR="00CC42E3">
        <w:rPr>
          <w:rFonts w:cs="Calibri"/>
          <w:bCs/>
        </w:rPr>
        <w:t xml:space="preserve"> podstawie rozporządzenia UE 2023/857 </w:t>
      </w:r>
      <w:r>
        <w:rPr>
          <w:rFonts w:cs="Calibri"/>
          <w:bCs/>
        </w:rPr>
        <w:t>(</w:t>
      </w:r>
      <w:r w:rsidR="00FE3A61">
        <w:rPr>
          <w:rFonts w:cs="Calibri"/>
          <w:bCs/>
        </w:rPr>
        <w:t xml:space="preserve">nowelizującego </w:t>
      </w:r>
      <w:r w:rsidR="00CC42E3">
        <w:rPr>
          <w:rFonts w:cs="Calibri"/>
          <w:bCs/>
        </w:rPr>
        <w:t>rozporządzenie ESR</w:t>
      </w:r>
      <w:r>
        <w:rPr>
          <w:rFonts w:cs="Calibri"/>
          <w:bCs/>
        </w:rPr>
        <w:t xml:space="preserve">) </w:t>
      </w:r>
      <w:r w:rsidR="00CC42E3">
        <w:rPr>
          <w:rFonts w:cs="Calibri"/>
          <w:bCs/>
        </w:rPr>
        <w:t>d</w:t>
      </w:r>
      <w:r w:rsidR="00F40D7B">
        <w:rPr>
          <w:rFonts w:cs="Calibri"/>
          <w:bCs/>
        </w:rPr>
        <w:t>la p</w:t>
      </w:r>
      <w:r w:rsidR="001E75C1">
        <w:rPr>
          <w:rFonts w:cs="Calibri"/>
          <w:bCs/>
        </w:rPr>
        <w:t>ozostał</w:t>
      </w:r>
      <w:r w:rsidR="00F40D7B">
        <w:rPr>
          <w:rFonts w:cs="Calibri"/>
          <w:bCs/>
        </w:rPr>
        <w:t>ych</w:t>
      </w:r>
      <w:r w:rsidR="001E75C1">
        <w:rPr>
          <w:rFonts w:cs="Calibri"/>
          <w:bCs/>
        </w:rPr>
        <w:t xml:space="preserve"> </w:t>
      </w:r>
      <w:r w:rsidR="001E75C1" w:rsidRPr="00516D41">
        <w:rPr>
          <w:rFonts w:cs="Calibri"/>
          <w:bCs/>
        </w:rPr>
        <w:t>sektor</w:t>
      </w:r>
      <w:r w:rsidR="00F40D7B" w:rsidRPr="00516D41">
        <w:rPr>
          <w:rFonts w:cs="Calibri"/>
          <w:bCs/>
        </w:rPr>
        <w:t>ów</w:t>
      </w:r>
      <w:r w:rsidR="001E75C1" w:rsidRPr="00516D41">
        <w:rPr>
          <w:rFonts w:cs="Calibri"/>
          <w:bCs/>
        </w:rPr>
        <w:t xml:space="preserve"> </w:t>
      </w:r>
      <w:r w:rsidR="00F63EAE" w:rsidRPr="00516D41">
        <w:rPr>
          <w:rFonts w:cs="Calibri"/>
          <w:bCs/>
        </w:rPr>
        <w:t>(budynki, transport</w:t>
      </w:r>
      <w:r w:rsidR="00F63EAE">
        <w:rPr>
          <w:rFonts w:cs="Calibri"/>
          <w:bCs/>
        </w:rPr>
        <w:t xml:space="preserve"> drogowy i transport morski, rolnictwo, odpady, drobny przemysł), objętych wspólnym wysiłkiem redukcyjnym,</w:t>
      </w:r>
      <w:r w:rsidR="00F40D7B">
        <w:rPr>
          <w:rFonts w:cs="Calibri"/>
          <w:bCs/>
        </w:rPr>
        <w:t xml:space="preserve"> </w:t>
      </w:r>
      <w:r w:rsidR="001E75C1">
        <w:rPr>
          <w:rFonts w:cs="Calibri"/>
          <w:bCs/>
        </w:rPr>
        <w:t>zwan</w:t>
      </w:r>
      <w:r w:rsidR="00F40D7B">
        <w:rPr>
          <w:rFonts w:cs="Calibri"/>
          <w:bCs/>
        </w:rPr>
        <w:t>ych</w:t>
      </w:r>
      <w:r w:rsidR="001E75C1">
        <w:rPr>
          <w:rFonts w:cs="Calibri"/>
          <w:bCs/>
        </w:rPr>
        <w:t xml:space="preserve"> dotychczas non-ETS</w:t>
      </w:r>
      <w:r w:rsidR="00F63EAE">
        <w:rPr>
          <w:rFonts w:cs="Calibri"/>
          <w:bCs/>
        </w:rPr>
        <w:t>,</w:t>
      </w:r>
      <w:r w:rsidR="00F40D7B">
        <w:rPr>
          <w:rFonts w:cs="Calibri"/>
          <w:bCs/>
        </w:rPr>
        <w:t xml:space="preserve"> określony został </w:t>
      </w:r>
      <w:r w:rsidR="006B2A65">
        <w:rPr>
          <w:rFonts w:cs="Calibri"/>
          <w:bCs/>
        </w:rPr>
        <w:t xml:space="preserve">unijny </w:t>
      </w:r>
      <w:r w:rsidR="00F40D7B">
        <w:rPr>
          <w:rFonts w:cs="Calibri"/>
          <w:bCs/>
        </w:rPr>
        <w:t>cel redukcyjny na</w:t>
      </w:r>
      <w:r w:rsidR="001B49A5">
        <w:rPr>
          <w:rFonts w:cs="Calibri"/>
          <w:bCs/>
        </w:rPr>
        <w:t> </w:t>
      </w:r>
      <w:r w:rsidR="00F40D7B">
        <w:rPr>
          <w:rFonts w:cs="Calibri"/>
          <w:bCs/>
        </w:rPr>
        <w:t xml:space="preserve">poziomie </w:t>
      </w:r>
      <w:r w:rsidR="006B2A65">
        <w:rPr>
          <w:rFonts w:cs="Calibri"/>
          <w:bCs/>
        </w:rPr>
        <w:t>40</w:t>
      </w:r>
      <w:r w:rsidR="00F40D7B">
        <w:rPr>
          <w:rFonts w:cs="Calibri"/>
          <w:bCs/>
        </w:rPr>
        <w:t xml:space="preserve">% </w:t>
      </w:r>
      <w:r w:rsidR="00451528">
        <w:rPr>
          <w:rFonts w:cs="Calibri"/>
          <w:bCs/>
        </w:rPr>
        <w:t>w </w:t>
      </w:r>
      <w:r w:rsidR="00451528" w:rsidRPr="001E75C1">
        <w:rPr>
          <w:rFonts w:cs="Calibri"/>
          <w:bCs/>
        </w:rPr>
        <w:t>2030 r. w porównaniu do poziomu</w:t>
      </w:r>
      <w:r w:rsidR="002E068E">
        <w:rPr>
          <w:rFonts w:cs="Calibri"/>
          <w:bCs/>
        </w:rPr>
        <w:t xml:space="preserve"> z</w:t>
      </w:r>
      <w:r w:rsidR="00451528" w:rsidRPr="001E75C1">
        <w:rPr>
          <w:rFonts w:cs="Calibri"/>
          <w:bCs/>
        </w:rPr>
        <w:t xml:space="preserve"> 2005</w:t>
      </w:r>
      <w:r w:rsidR="00451528">
        <w:rPr>
          <w:rFonts w:cs="Calibri"/>
          <w:bCs/>
        </w:rPr>
        <w:t xml:space="preserve"> r.</w:t>
      </w:r>
      <w:r w:rsidR="006E3DFB">
        <w:rPr>
          <w:rStyle w:val="Odwoanieprzypisudolnego"/>
          <w:rFonts w:cs="Calibri"/>
          <w:bCs/>
        </w:rPr>
        <w:footnoteReference w:id="7"/>
      </w:r>
      <w:r w:rsidR="006B2A65">
        <w:rPr>
          <w:rFonts w:cs="Calibri"/>
          <w:bCs/>
        </w:rPr>
        <w:t xml:space="preserve"> (dotychczas 29%)</w:t>
      </w:r>
      <w:r>
        <w:rPr>
          <w:rFonts w:cs="Calibri"/>
          <w:bCs/>
        </w:rPr>
        <w:t>.</w:t>
      </w:r>
      <w:r w:rsidR="00D84AAA">
        <w:rPr>
          <w:rFonts w:cs="Calibri"/>
          <w:bCs/>
        </w:rPr>
        <w:t xml:space="preserve"> </w:t>
      </w:r>
      <w:r w:rsidR="006B2A65" w:rsidRPr="00D86C2F">
        <w:rPr>
          <w:rFonts w:cs="Calibri"/>
          <w:b/>
        </w:rPr>
        <w:t xml:space="preserve">Dla Polski określony został wiążący cel </w:t>
      </w:r>
      <w:r w:rsidR="00D86C2F">
        <w:rPr>
          <w:rFonts w:cs="Calibri"/>
          <w:b/>
        </w:rPr>
        <w:t xml:space="preserve">redukcji emisji w sektorach </w:t>
      </w:r>
      <w:r w:rsidR="001B49A5">
        <w:rPr>
          <w:rFonts w:cs="Calibri"/>
          <w:b/>
        </w:rPr>
        <w:t>non-ETS</w:t>
      </w:r>
      <w:r w:rsidR="00D86C2F">
        <w:rPr>
          <w:rFonts w:cs="Calibri"/>
          <w:b/>
        </w:rPr>
        <w:t xml:space="preserve"> o</w:t>
      </w:r>
      <w:r w:rsidR="006B2A65" w:rsidRPr="00D86C2F">
        <w:rPr>
          <w:rFonts w:cs="Calibri"/>
          <w:b/>
        </w:rPr>
        <w:t xml:space="preserve"> 17,7%</w:t>
      </w:r>
      <w:r w:rsidR="00D86C2F">
        <w:rPr>
          <w:rFonts w:cs="Calibri"/>
          <w:b/>
        </w:rPr>
        <w:t xml:space="preserve"> w stosunku do 2005 r.</w:t>
      </w:r>
      <w:r w:rsidR="001473F6">
        <w:rPr>
          <w:rStyle w:val="Odwoanieprzypisudolnego"/>
          <w:rFonts w:cs="Calibri"/>
          <w:b/>
        </w:rPr>
        <w:footnoteReference w:id="8"/>
      </w:r>
      <w:r w:rsidR="006B2A65">
        <w:rPr>
          <w:rFonts w:cs="Calibri"/>
          <w:bCs/>
        </w:rPr>
        <w:t xml:space="preserve"> </w:t>
      </w:r>
    </w:p>
    <w:p w14:paraId="42B9720F" w14:textId="7F6CFDBE" w:rsidR="006B2A65" w:rsidRPr="00B377B2" w:rsidRDefault="00E615F8" w:rsidP="00B377B2">
      <w:pPr>
        <w:pStyle w:val="Cele"/>
      </w:pPr>
      <w:r>
        <w:rPr>
          <w:rStyle w:val="CeleZnak"/>
          <w:b/>
        </w:rPr>
        <w:t>Z</w:t>
      </w:r>
      <w:r w:rsidRPr="00B377B2">
        <w:rPr>
          <w:rStyle w:val="CeleZnak"/>
          <w:b/>
        </w:rPr>
        <w:t>godnie z</w:t>
      </w:r>
      <w:r w:rsidR="009A021C">
        <w:rPr>
          <w:rStyle w:val="CeleZnak"/>
          <w:b/>
        </w:rPr>
        <w:t xml:space="preserve"> </w:t>
      </w:r>
      <w:r w:rsidRPr="00B377B2">
        <w:rPr>
          <w:rStyle w:val="CeleZnak"/>
          <w:b/>
        </w:rPr>
        <w:t xml:space="preserve">prognozami </w:t>
      </w:r>
      <w:r w:rsidR="006B2A65" w:rsidRPr="00B377B2">
        <w:rPr>
          <w:rStyle w:val="CeleZnak"/>
          <w:b/>
        </w:rPr>
        <w:t xml:space="preserve">Polska </w:t>
      </w:r>
      <w:r w:rsidR="009F4788" w:rsidRPr="00B377B2">
        <w:rPr>
          <w:rStyle w:val="CeleZnak"/>
          <w:b/>
        </w:rPr>
        <w:t xml:space="preserve">wyznacza </w:t>
      </w:r>
      <w:r w:rsidR="001473F6" w:rsidRPr="00B377B2">
        <w:rPr>
          <w:rStyle w:val="CeleZnak"/>
          <w:b/>
        </w:rPr>
        <w:t xml:space="preserve">na 2030 r. </w:t>
      </w:r>
      <w:r w:rsidR="009F4788" w:rsidRPr="00B377B2">
        <w:rPr>
          <w:rStyle w:val="CeleZnak"/>
          <w:b/>
        </w:rPr>
        <w:t xml:space="preserve">cel </w:t>
      </w:r>
      <w:r w:rsidR="006B2A65" w:rsidRPr="00B377B2">
        <w:rPr>
          <w:rStyle w:val="CeleZnak"/>
          <w:b/>
        </w:rPr>
        <w:t>redukcj</w:t>
      </w:r>
      <w:r w:rsidR="00E74EA2" w:rsidRPr="00B377B2">
        <w:rPr>
          <w:rStyle w:val="CeleZnak"/>
          <w:b/>
        </w:rPr>
        <w:t>i</w:t>
      </w:r>
      <w:r w:rsidR="006B2A65" w:rsidRPr="00B377B2">
        <w:rPr>
          <w:rStyle w:val="CeleZnak"/>
          <w:b/>
        </w:rPr>
        <w:t xml:space="preserve"> emisji w sektorach objętych </w:t>
      </w:r>
      <w:r w:rsidR="00F63EAE" w:rsidRPr="00B377B2">
        <w:rPr>
          <w:rStyle w:val="CeleZnak"/>
          <w:b/>
        </w:rPr>
        <w:t>rozporządzeniem o</w:t>
      </w:r>
      <w:r w:rsidR="009F4788" w:rsidRPr="00B377B2">
        <w:rPr>
          <w:rStyle w:val="CeleZnak"/>
          <w:b/>
        </w:rPr>
        <w:t> </w:t>
      </w:r>
      <w:r w:rsidR="00F63EAE" w:rsidRPr="00B377B2">
        <w:rPr>
          <w:rStyle w:val="CeleZnak"/>
          <w:b/>
        </w:rPr>
        <w:t xml:space="preserve">wspólnym wysiłku redukcyjnym </w:t>
      </w:r>
      <w:r w:rsidR="009F4788" w:rsidRPr="00B377B2">
        <w:rPr>
          <w:rStyle w:val="CeleZnak"/>
          <w:b/>
        </w:rPr>
        <w:t>(</w:t>
      </w:r>
      <w:r w:rsidR="001473F6" w:rsidRPr="00B377B2">
        <w:rPr>
          <w:rStyle w:val="CeleZnak"/>
          <w:b/>
        </w:rPr>
        <w:t>non-ETS</w:t>
      </w:r>
      <w:r w:rsidR="009F4788" w:rsidRPr="00B377B2">
        <w:rPr>
          <w:rStyle w:val="CeleZnak"/>
          <w:b/>
        </w:rPr>
        <w:t xml:space="preserve">) </w:t>
      </w:r>
      <w:r w:rsidR="006B2A65" w:rsidRPr="00B377B2">
        <w:rPr>
          <w:rStyle w:val="CeleZnak"/>
          <w:b/>
        </w:rPr>
        <w:t>o </w:t>
      </w:r>
      <w:r w:rsidR="00936328">
        <w:rPr>
          <w:rStyle w:val="CeleZnak"/>
          <w:b/>
        </w:rPr>
        <w:t>18,2</w:t>
      </w:r>
      <w:r w:rsidR="006B2A65" w:rsidRPr="00B377B2">
        <w:rPr>
          <w:rStyle w:val="CeleZnak"/>
          <w:b/>
        </w:rPr>
        <w:t>% w</w:t>
      </w:r>
      <w:r w:rsidR="00C310BC">
        <w:rPr>
          <w:rStyle w:val="CeleZnak"/>
          <w:b/>
        </w:rPr>
        <w:t> </w:t>
      </w:r>
      <w:r w:rsidR="006B2A65" w:rsidRPr="00B377B2">
        <w:rPr>
          <w:rStyle w:val="CeleZnak"/>
          <w:b/>
        </w:rPr>
        <w:t xml:space="preserve">stosunku </w:t>
      </w:r>
      <w:r w:rsidR="001473F6" w:rsidRPr="00B377B2">
        <w:rPr>
          <w:rStyle w:val="CeleZnak"/>
          <w:b/>
        </w:rPr>
        <w:t>do poziomu z 2005 r.</w:t>
      </w:r>
      <w:r w:rsidR="004B63DA" w:rsidRPr="00B74069">
        <w:t xml:space="preserve"> </w:t>
      </w:r>
      <w:r w:rsidR="00B377B2" w:rsidRPr="00B377B2">
        <w:rPr>
          <w:rStyle w:val="CeleZnak"/>
          <w:b/>
        </w:rPr>
        <w:t>(z</w:t>
      </w:r>
      <w:r w:rsidR="003C194F">
        <w:rPr>
          <w:rStyle w:val="CeleZnak"/>
          <w:b/>
        </w:rPr>
        <w:t> </w:t>
      </w:r>
      <w:r w:rsidR="006D1B23">
        <w:rPr>
          <w:rStyle w:val="CeleZnak"/>
          <w:b/>
        </w:rPr>
        <w:t>192,</w:t>
      </w:r>
      <w:r w:rsidR="006D1B23" w:rsidRPr="006D1B23">
        <w:rPr>
          <w:rStyle w:val="CeleZnak"/>
          <w:b/>
        </w:rPr>
        <w:t>5</w:t>
      </w:r>
      <w:r w:rsidR="004B63DA">
        <w:rPr>
          <w:rStyle w:val="CeleZnak"/>
          <w:b/>
        </w:rPr>
        <w:t> </w:t>
      </w:r>
      <w:r w:rsidR="00B377B2" w:rsidRPr="006D1B23">
        <w:rPr>
          <w:rStyle w:val="CeleZnak"/>
          <w:b/>
        </w:rPr>
        <w:t xml:space="preserve">mln t do </w:t>
      </w:r>
      <w:r w:rsidR="004B63DA">
        <w:rPr>
          <w:rStyle w:val="CeleZnak"/>
          <w:b/>
        </w:rPr>
        <w:t>158,4</w:t>
      </w:r>
      <w:r w:rsidR="00B377B2" w:rsidRPr="00B377B2">
        <w:rPr>
          <w:rStyle w:val="CeleZnak"/>
          <w:b/>
        </w:rPr>
        <w:t xml:space="preserve"> mln t</w:t>
      </w:r>
      <w:r w:rsidR="004B63DA">
        <w:rPr>
          <w:rStyle w:val="CeleZnak"/>
          <w:b/>
        </w:rPr>
        <w:t xml:space="preserve"> ekw. CO</w:t>
      </w:r>
      <w:r w:rsidR="004B63DA" w:rsidRPr="004B63DA">
        <w:rPr>
          <w:rStyle w:val="CeleZnak"/>
          <w:b/>
          <w:vertAlign w:val="subscript"/>
        </w:rPr>
        <w:t>2</w:t>
      </w:r>
      <w:r w:rsidR="00B377B2" w:rsidRPr="00B377B2">
        <w:rPr>
          <w:rStyle w:val="CeleZnak"/>
          <w:b/>
        </w:rPr>
        <w:t>)</w:t>
      </w:r>
      <w:r w:rsidR="00781255" w:rsidRPr="00781255">
        <w:rPr>
          <w:rStyle w:val="CeleZnak"/>
          <w:b/>
        </w:rPr>
        <w:t xml:space="preserve"> </w:t>
      </w:r>
      <w:r w:rsidR="00781255">
        <w:rPr>
          <w:rStyle w:val="CeleZnak"/>
          <w:b/>
        </w:rPr>
        <w:br/>
      </w:r>
      <w:r w:rsidR="00781255" w:rsidRPr="00781255">
        <w:rPr>
          <w:rStyle w:val="CeleZnak"/>
          <w:bCs/>
        </w:rPr>
        <w:t>– zgodnie z celem z rozporządzenia ESR</w:t>
      </w:r>
      <w:r w:rsidR="009F4788" w:rsidRPr="00B377B2">
        <w:t>.</w:t>
      </w:r>
      <w:r w:rsidR="001473F6" w:rsidRPr="00B377B2">
        <w:t xml:space="preserve"> </w:t>
      </w:r>
    </w:p>
    <w:p w14:paraId="1883D058" w14:textId="223E89CB" w:rsidR="00B74069" w:rsidRDefault="00B74069" w:rsidP="003772B3">
      <w:r w:rsidRPr="00B74069">
        <w:t xml:space="preserve">Prognozy wskazują, że poziom </w:t>
      </w:r>
      <w:r>
        <w:t xml:space="preserve">redukcji w non-ETS </w:t>
      </w:r>
      <w:r w:rsidR="002B387F">
        <w:t xml:space="preserve">w 2030 r. </w:t>
      </w:r>
      <w:r w:rsidRPr="00B74069">
        <w:t>może być nawet wyższy</w:t>
      </w:r>
      <w:r>
        <w:t xml:space="preserve"> </w:t>
      </w:r>
      <w:r w:rsidR="00781255">
        <w:t xml:space="preserve">– </w:t>
      </w:r>
      <w:r>
        <w:t>tj. 18,2%</w:t>
      </w:r>
      <w:r w:rsidR="004B63DA">
        <w:t xml:space="preserve"> w</w:t>
      </w:r>
      <w:r w:rsidR="002B387F">
        <w:t> </w:t>
      </w:r>
      <w:r w:rsidR="004B63DA">
        <w:t>stosunku do 2005 r.</w:t>
      </w:r>
      <w:r w:rsidRPr="00B74069">
        <w:t xml:space="preserve"> (</w:t>
      </w:r>
      <w:r>
        <w:t>spadek z</w:t>
      </w:r>
      <w:r w:rsidRPr="00B74069">
        <w:t xml:space="preserve"> 192,5 mln</w:t>
      </w:r>
      <w:r>
        <w:t> </w:t>
      </w:r>
      <w:r w:rsidRPr="00B74069">
        <w:t>t do 1</w:t>
      </w:r>
      <w:r>
        <w:t>57</w:t>
      </w:r>
      <w:r w:rsidRPr="00B74069">
        <w:t>,3 mln</w:t>
      </w:r>
      <w:r>
        <w:t> </w:t>
      </w:r>
      <w:r w:rsidRPr="00B74069">
        <w:t>t</w:t>
      </w:r>
      <w:r w:rsidR="004B63DA">
        <w:t xml:space="preserve"> </w:t>
      </w:r>
      <w:r w:rsidR="004B63DA" w:rsidRPr="004B63DA">
        <w:t>ekw. CO</w:t>
      </w:r>
      <w:r w:rsidR="004B63DA" w:rsidRPr="004B63DA">
        <w:rPr>
          <w:vertAlign w:val="subscript"/>
        </w:rPr>
        <w:t>2</w:t>
      </w:r>
      <w:r w:rsidRPr="00B74069">
        <w:t>)</w:t>
      </w:r>
      <w:r w:rsidR="00781255">
        <w:t>, ale zależeć będzie zarówno od skuteczności działań, jak również od zaangażowania na poziomie społecznym</w:t>
      </w:r>
      <w:r w:rsidRPr="00B74069">
        <w:t>.</w:t>
      </w:r>
      <w:r w:rsidR="004F7AD9">
        <w:t xml:space="preserve"> Na 2040 r. prognozuje się </w:t>
      </w:r>
      <w:r w:rsidR="002B387F">
        <w:t>redukcję w tym zakresie o 38,2%.</w:t>
      </w:r>
    </w:p>
    <w:p w14:paraId="6E5FB0E5" w14:textId="68DE0848" w:rsidR="009A021C" w:rsidRDefault="000B5BED" w:rsidP="003772B3">
      <w:r>
        <w:t>Dodatkowo nowe regulacje</w:t>
      </w:r>
      <w:r w:rsidR="006E3DFB">
        <w:t xml:space="preserve"> dyrektywy ETS</w:t>
      </w:r>
      <w:r>
        <w:t xml:space="preserve"> </w:t>
      </w:r>
      <w:r w:rsidR="006E3DFB">
        <w:t xml:space="preserve">mają skutkować osiągnieciem nowego </w:t>
      </w:r>
      <w:r>
        <w:t>cel</w:t>
      </w:r>
      <w:r w:rsidR="006E3DFB">
        <w:t>u</w:t>
      </w:r>
      <w:r>
        <w:t xml:space="preserve"> dla sekto</w:t>
      </w:r>
      <w:r w:rsidR="00850BAF">
        <w:t xml:space="preserve">ra budowalnego </w:t>
      </w:r>
      <w:r w:rsidR="00616B1C">
        <w:t xml:space="preserve">(w tym gospodarstwa domowe) </w:t>
      </w:r>
      <w:r w:rsidR="00850BAF">
        <w:t>i transportu drogowego</w:t>
      </w:r>
      <w:r w:rsidR="00616B1C">
        <w:rPr>
          <w:rStyle w:val="Odwoanieprzypisudolnego"/>
        </w:rPr>
        <w:footnoteReference w:id="9"/>
      </w:r>
      <w:r w:rsidR="00850BAF">
        <w:t>, przez objęcie ich nowym systemem handlu uprawnie</w:t>
      </w:r>
      <w:r w:rsidR="00E615F8">
        <w:t>niami</w:t>
      </w:r>
      <w:r w:rsidR="00850BAF">
        <w:t xml:space="preserve"> do emisji gazów cieplarnianych – </w:t>
      </w:r>
      <w:r w:rsidR="006C780A">
        <w:t>EU ETS</w:t>
      </w:r>
      <w:r w:rsidR="006C780A">
        <w:noBreakHyphen/>
        <w:t>2 / BRT</w:t>
      </w:r>
      <w:r w:rsidR="00F273EA">
        <w:t xml:space="preserve"> ETS</w:t>
      </w:r>
      <w:r w:rsidR="006C780A">
        <w:t xml:space="preserve"> (ang.</w:t>
      </w:r>
      <w:r w:rsidR="00C310BC" w:rsidRPr="00C310BC">
        <w:rPr>
          <w:i/>
          <w:iCs/>
        </w:rPr>
        <w:t xml:space="preserve"> </w:t>
      </w:r>
      <w:r w:rsidR="00C310BC" w:rsidRPr="00A853AC">
        <w:rPr>
          <w:i/>
          <w:iCs/>
        </w:rPr>
        <w:t>buildings, road transport and additional sectors</w:t>
      </w:r>
      <w:r w:rsidR="006C780A">
        <w:t>)</w:t>
      </w:r>
      <w:r w:rsidR="00850BAF">
        <w:t>,</w:t>
      </w:r>
      <w:r w:rsidR="00616B1C">
        <w:t xml:space="preserve"> który ma być uruchomiony w 2027 r.</w:t>
      </w:r>
      <w:r w:rsidR="00850BAF">
        <w:t xml:space="preserve"> </w:t>
      </w:r>
      <w:r w:rsidR="00616B1C">
        <w:t>Działanie to ma</w:t>
      </w:r>
      <w:r w:rsidR="00850BAF">
        <w:t xml:space="preserve"> skutkować redukcją GC </w:t>
      </w:r>
      <w:r w:rsidR="00E615F8">
        <w:t>w</w:t>
      </w:r>
      <w:r w:rsidR="006E3DFB">
        <w:t xml:space="preserve"> tych sektor</w:t>
      </w:r>
      <w:r w:rsidR="001B49A5">
        <w:t>ach</w:t>
      </w:r>
      <w:r w:rsidR="006E3DFB">
        <w:t xml:space="preserve"> </w:t>
      </w:r>
      <w:r w:rsidR="00850BAF">
        <w:t>w całej UE o 43% w porównaniu do poziomów z 2005 r.</w:t>
      </w:r>
      <w:r w:rsidR="003768A4">
        <w:t xml:space="preserve"> </w:t>
      </w:r>
      <w:r w:rsidR="00E615F8">
        <w:t>N</w:t>
      </w:r>
      <w:r w:rsidR="003768A4">
        <w:t xml:space="preserve">ie określono </w:t>
      </w:r>
      <w:r w:rsidR="00C46DAA">
        <w:t xml:space="preserve">oddzielnych </w:t>
      </w:r>
      <w:r w:rsidR="003768A4">
        <w:lastRenderedPageBreak/>
        <w:t xml:space="preserve">celów </w:t>
      </w:r>
      <w:r w:rsidR="00C46DAA">
        <w:t>dla państw członkowskich</w:t>
      </w:r>
      <w:r w:rsidR="00616B1C">
        <w:rPr>
          <w:rStyle w:val="Odwoanieprzypisudolnego"/>
        </w:rPr>
        <w:footnoteReference w:id="10"/>
      </w:r>
      <w:r w:rsidR="003768A4">
        <w:t>.</w:t>
      </w:r>
      <w:r w:rsidR="00850BAF">
        <w:t xml:space="preserve"> Tym samym</w:t>
      </w:r>
      <w:r w:rsidR="00616B1C">
        <w:t xml:space="preserve"> redukcja emisji w tych sektorach wciąż będzie </w:t>
      </w:r>
      <w:r w:rsidR="001B49A5">
        <w:t xml:space="preserve">włączona </w:t>
      </w:r>
      <w:r w:rsidR="00616B1C">
        <w:t>w</w:t>
      </w:r>
      <w:r w:rsidR="003768A4">
        <w:t> </w:t>
      </w:r>
      <w:r w:rsidR="00616B1C">
        <w:t>realizacj</w:t>
      </w:r>
      <w:r w:rsidR="001B49A5">
        <w:t>ę</w:t>
      </w:r>
      <w:r w:rsidR="00616B1C">
        <w:t xml:space="preserve"> wspólnego wysiłku redukcyjnego (ES</w:t>
      </w:r>
      <w:r w:rsidR="00FE3A61">
        <w:t>R</w:t>
      </w:r>
      <w:r w:rsidR="00616B1C">
        <w:t>), a</w:t>
      </w:r>
      <w:r w:rsidR="00E203CD">
        <w:t xml:space="preserve"> </w:t>
      </w:r>
      <w:r w:rsidR="00616B1C">
        <w:t xml:space="preserve">jednocześnie </w:t>
      </w:r>
      <w:r w:rsidR="00C310BC">
        <w:t xml:space="preserve">będzie </w:t>
      </w:r>
      <w:r w:rsidR="00616B1C">
        <w:t>wpływać na realizację odrębnego celu</w:t>
      </w:r>
      <w:r w:rsidR="003768A4">
        <w:t xml:space="preserve">, wyznaczonego tylko dla </w:t>
      </w:r>
      <w:r w:rsidR="00C46DAA">
        <w:t>tych</w:t>
      </w:r>
      <w:r w:rsidR="003768A4">
        <w:t xml:space="preserve"> sektorów</w:t>
      </w:r>
      <w:r w:rsidR="00616B1C">
        <w:t xml:space="preserve">. </w:t>
      </w:r>
      <w:r w:rsidR="00ED3548">
        <w:t xml:space="preserve">Ponieważ </w:t>
      </w:r>
      <w:r w:rsidR="00E615F8">
        <w:t>c</w:t>
      </w:r>
      <w:r w:rsidR="00470030">
        <w:t>el unijny jest nowy, nie</w:t>
      </w:r>
      <w:r w:rsidR="00ED3548">
        <w:t xml:space="preserve"> </w:t>
      </w:r>
      <w:r w:rsidR="00470030">
        <w:t xml:space="preserve">została określona </w:t>
      </w:r>
      <w:r w:rsidR="00C310BC">
        <w:t xml:space="preserve">jego </w:t>
      </w:r>
      <w:r w:rsidR="00470030">
        <w:t>dokładna</w:t>
      </w:r>
      <w:r w:rsidR="00C310BC">
        <w:t xml:space="preserve"> </w:t>
      </w:r>
      <w:r w:rsidR="00470030">
        <w:t xml:space="preserve">metodyka. </w:t>
      </w:r>
      <w:r w:rsidR="00470030" w:rsidRPr="001A45B6">
        <w:rPr>
          <w:b/>
          <w:bCs/>
        </w:rPr>
        <w:t>Z</w:t>
      </w:r>
      <w:r w:rsidR="00ED3548">
        <w:rPr>
          <w:b/>
          <w:bCs/>
        </w:rPr>
        <w:t> </w:t>
      </w:r>
      <w:r w:rsidR="00470030" w:rsidRPr="001A45B6">
        <w:rPr>
          <w:b/>
          <w:bCs/>
        </w:rPr>
        <w:t>tego względu nie jest możliwe</w:t>
      </w:r>
      <w:r w:rsidR="00E579D6">
        <w:rPr>
          <w:b/>
          <w:bCs/>
        </w:rPr>
        <w:t xml:space="preserve"> </w:t>
      </w:r>
      <w:r w:rsidR="00470030" w:rsidRPr="001A45B6">
        <w:rPr>
          <w:b/>
          <w:bCs/>
        </w:rPr>
        <w:t>określenie celu krajowego w odniesieniu do EU ETS-2</w:t>
      </w:r>
      <w:r w:rsidR="0095574F">
        <w:rPr>
          <w:b/>
          <w:bCs/>
        </w:rPr>
        <w:t xml:space="preserve">, </w:t>
      </w:r>
      <w:r w:rsidR="0095574F">
        <w:t>w oparciu o szczegółowe, spójne metodycznie analizy</w:t>
      </w:r>
      <w:r w:rsidR="00470030">
        <w:t xml:space="preserve">. </w:t>
      </w:r>
    </w:p>
    <w:p w14:paraId="0B9E9EC3" w14:textId="1B5EF58F" w:rsidR="003772B3" w:rsidRDefault="00C310BC" w:rsidP="003772B3">
      <w:r>
        <w:rPr>
          <w:noProof/>
        </w:rPr>
        <mc:AlternateContent>
          <mc:Choice Requires="wpg">
            <w:drawing>
              <wp:anchor distT="0" distB="0" distL="114300" distR="114300" simplePos="0" relativeHeight="251631616" behindDoc="0" locked="0" layoutInCell="1" allowOverlap="1" wp14:anchorId="7C631DC6" wp14:editId="5FE7299E">
                <wp:simplePos x="0" y="0"/>
                <wp:positionH relativeFrom="column">
                  <wp:posOffset>100330</wp:posOffset>
                </wp:positionH>
                <wp:positionV relativeFrom="paragraph">
                  <wp:posOffset>805180</wp:posOffset>
                </wp:positionV>
                <wp:extent cx="5284470" cy="2826385"/>
                <wp:effectExtent l="0" t="0" r="11430" b="12065"/>
                <wp:wrapTopAndBottom/>
                <wp:docPr id="2" name="Grupa 1"/>
                <wp:cNvGraphicFramePr/>
                <a:graphic xmlns:a="http://schemas.openxmlformats.org/drawingml/2006/main">
                  <a:graphicData uri="http://schemas.microsoft.com/office/word/2010/wordprocessingGroup">
                    <wpg:wgp>
                      <wpg:cNvGrpSpPr/>
                      <wpg:grpSpPr>
                        <a:xfrm>
                          <a:off x="0" y="0"/>
                          <a:ext cx="5284470" cy="2826385"/>
                          <a:chOff x="81415" y="189738"/>
                          <a:chExt cx="3856754" cy="2576225"/>
                        </a:xfrm>
                      </wpg:grpSpPr>
                      <wps:wsp>
                        <wps:cNvPr id="131712259" name="Prostokąt: zaokrąglone rogi 131712259"/>
                        <wps:cNvSpPr/>
                        <wps:spPr>
                          <a:xfrm>
                            <a:off x="1971120" y="654285"/>
                            <a:ext cx="1661161" cy="2111678"/>
                          </a:xfrm>
                          <a:prstGeom prst="roundRect">
                            <a:avLst>
                              <a:gd name="adj" fmla="val 13577"/>
                            </a:avLst>
                          </a:prstGeom>
                          <a:noFill/>
                          <a:ln>
                            <a:solidFill>
                              <a:schemeClr val="accent6"/>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4BBE0871" w14:textId="342534EF" w:rsidR="00E17A47" w:rsidRPr="008905D6" w:rsidRDefault="00E17A47" w:rsidP="00E17A47">
                              <w:pPr>
                                <w:spacing w:after="0"/>
                                <w:jc w:val="center"/>
                                <w:rPr>
                                  <w:b/>
                                  <w:bCs/>
                                  <w:color w:val="44546A" w:themeColor="text2"/>
                                  <w:kern w:val="24"/>
                                  <w:sz w:val="36"/>
                                  <w:szCs w:val="36"/>
                                </w:rPr>
                              </w:pPr>
                              <w:r w:rsidRPr="008905D6">
                                <w:rPr>
                                  <w:b/>
                                  <w:bCs/>
                                  <w:color w:val="44546A" w:themeColor="text2"/>
                                  <w:kern w:val="24"/>
                                  <w:sz w:val="36"/>
                                  <w:szCs w:val="36"/>
                                </w:rPr>
                                <w:t>ES</w:t>
                              </w:r>
                              <w:r w:rsidR="0095574F">
                                <w:rPr>
                                  <w:b/>
                                  <w:bCs/>
                                  <w:color w:val="44546A" w:themeColor="text2"/>
                                  <w:kern w:val="24"/>
                                  <w:sz w:val="36"/>
                                  <w:szCs w:val="36"/>
                                </w:rPr>
                                <w:t>R</w:t>
                              </w:r>
                              <w:r w:rsidR="008905D6">
                                <w:rPr>
                                  <w:b/>
                                  <w:bCs/>
                                  <w:color w:val="44546A" w:themeColor="text2"/>
                                  <w:kern w:val="24"/>
                                  <w:sz w:val="36"/>
                                  <w:szCs w:val="36"/>
                                </w:rPr>
                                <w:t xml:space="preserve"> (cel)</w:t>
                              </w:r>
                            </w:p>
                            <w:p w14:paraId="31967ACB" w14:textId="77777777" w:rsidR="00E17A47" w:rsidRPr="008905D6" w:rsidRDefault="00E17A47" w:rsidP="00E17A47">
                              <w:pPr>
                                <w:spacing w:after="0"/>
                                <w:jc w:val="center"/>
                                <w:rPr>
                                  <w:rFonts w:cs="Latha"/>
                                  <w:color w:val="000000" w:themeColor="text1"/>
                                  <w:kern w:val="24"/>
                                </w:rPr>
                              </w:pPr>
                            </w:p>
                            <w:p w14:paraId="73B2E2C4" w14:textId="77777777" w:rsidR="00E17A47" w:rsidRPr="008905D6" w:rsidRDefault="00E17A47" w:rsidP="00E17A47">
                              <w:pPr>
                                <w:spacing w:after="0"/>
                                <w:jc w:val="center"/>
                                <w:rPr>
                                  <w:rFonts w:cs="Latha"/>
                                  <w:color w:val="000000" w:themeColor="text1"/>
                                  <w:kern w:val="24"/>
                                </w:rPr>
                              </w:pPr>
                            </w:p>
                            <w:p w14:paraId="51EF082F" w14:textId="75615212" w:rsidR="00E17A47" w:rsidRPr="008905D6" w:rsidRDefault="00E17A47" w:rsidP="00DC45DA">
                              <w:pPr>
                                <w:spacing w:before="360" w:after="0"/>
                                <w:jc w:val="center"/>
                                <w:rPr>
                                  <w:rFonts w:cs="Latha"/>
                                  <w:color w:val="000000" w:themeColor="text1"/>
                                  <w:kern w:val="24"/>
                                </w:rPr>
                              </w:pPr>
                              <w:r w:rsidRPr="008905D6">
                                <w:rPr>
                                  <w:rFonts w:cs="Latha"/>
                                  <w:color w:val="000000" w:themeColor="text1"/>
                                  <w:kern w:val="24"/>
                                </w:rPr>
                                <w:t>budownictwo</w:t>
                              </w:r>
                            </w:p>
                            <w:p w14:paraId="59455448" w14:textId="3F54722A" w:rsidR="00E17A47" w:rsidRDefault="00E17A47" w:rsidP="00E17A47">
                              <w:pPr>
                                <w:spacing w:after="0"/>
                                <w:jc w:val="center"/>
                                <w:rPr>
                                  <w:rFonts w:cs="Latha"/>
                                  <w:color w:val="000000" w:themeColor="text1"/>
                                  <w:kern w:val="24"/>
                                </w:rPr>
                              </w:pPr>
                              <w:r w:rsidRPr="008905D6">
                                <w:rPr>
                                  <w:rFonts w:cs="Latha"/>
                                  <w:color w:val="000000" w:themeColor="text1"/>
                                  <w:kern w:val="24"/>
                                </w:rPr>
                                <w:t>transport drogowy</w:t>
                              </w:r>
                            </w:p>
                            <w:p w14:paraId="6794D7DC" w14:textId="71113E57" w:rsidR="002542B1" w:rsidRPr="008905D6" w:rsidRDefault="002542B1" w:rsidP="00E17A47">
                              <w:pPr>
                                <w:spacing w:after="0"/>
                                <w:jc w:val="center"/>
                                <w:rPr>
                                  <w:rFonts w:cs="Latha"/>
                                  <w:color w:val="000000" w:themeColor="text1"/>
                                  <w:kern w:val="24"/>
                                </w:rPr>
                              </w:pPr>
                              <w:r>
                                <w:rPr>
                                  <w:rFonts w:cs="Latha"/>
                                  <w:color w:val="000000" w:themeColor="text1"/>
                                  <w:kern w:val="24"/>
                                </w:rPr>
                                <w:t>drobny przemysł</w:t>
                              </w:r>
                            </w:p>
                            <w:p w14:paraId="65F7FAE7" w14:textId="77777777" w:rsidR="00E17A47" w:rsidRPr="008905D6" w:rsidRDefault="00E17A47" w:rsidP="00E17A47">
                              <w:pPr>
                                <w:spacing w:after="0"/>
                                <w:jc w:val="center"/>
                                <w:rPr>
                                  <w:rFonts w:cs="Latha"/>
                                  <w:color w:val="000000" w:themeColor="text1"/>
                                  <w:kern w:val="24"/>
                                </w:rPr>
                              </w:pPr>
                            </w:p>
                            <w:p w14:paraId="1F0612E5" w14:textId="77777777" w:rsidR="00E17A47" w:rsidRPr="008905D6" w:rsidRDefault="00E17A47" w:rsidP="00E17A47">
                              <w:pPr>
                                <w:spacing w:after="0"/>
                                <w:jc w:val="center"/>
                                <w:rPr>
                                  <w:rFonts w:cs="Latha"/>
                                  <w:color w:val="000000" w:themeColor="text1"/>
                                  <w:kern w:val="24"/>
                                </w:rPr>
                              </w:pPr>
                              <w:r w:rsidRPr="008905D6">
                                <w:rPr>
                                  <w:rFonts w:cs="Latha"/>
                                  <w:color w:val="000000" w:themeColor="text1"/>
                                  <w:kern w:val="24"/>
                                </w:rPr>
                                <w:t>rolnictwo</w:t>
                              </w:r>
                            </w:p>
                            <w:p w14:paraId="470FAA3E" w14:textId="77777777" w:rsidR="00E17A47" w:rsidRPr="008905D6" w:rsidRDefault="00E17A47" w:rsidP="00E17A47">
                              <w:pPr>
                                <w:spacing w:after="0"/>
                                <w:jc w:val="center"/>
                                <w:rPr>
                                  <w:rFonts w:cs="Latha"/>
                                  <w:color w:val="000000" w:themeColor="text1"/>
                                  <w:kern w:val="24"/>
                                </w:rPr>
                              </w:pPr>
                              <w:r w:rsidRPr="008905D6">
                                <w:rPr>
                                  <w:rFonts w:cs="Latha"/>
                                  <w:color w:val="000000" w:themeColor="text1"/>
                                  <w:kern w:val="24"/>
                                </w:rPr>
                                <w:t>odpady</w:t>
                              </w:r>
                            </w:p>
                          </w:txbxContent>
                        </wps:txbx>
                        <wps:bodyPr wrap="square" rtlCol="0" anchor="ctr">
                          <a:noAutofit/>
                        </wps:bodyPr>
                      </wps:wsp>
                      <wps:wsp>
                        <wps:cNvPr id="602385587" name="Prostokąt: zaokrąglone rogi 602385587"/>
                        <wps:cNvSpPr/>
                        <wps:spPr>
                          <a:xfrm>
                            <a:off x="81415" y="1573118"/>
                            <a:ext cx="1569720" cy="1187828"/>
                          </a:xfrm>
                          <a:prstGeom prst="roundRect">
                            <a:avLst/>
                          </a:prstGeom>
                          <a:noFill/>
                          <a:ln>
                            <a:solidFill>
                              <a:schemeClr val="accent6"/>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B2D07E6" w14:textId="310266F1" w:rsidR="00E17A47" w:rsidRPr="008905D6" w:rsidRDefault="00E17A47" w:rsidP="00E17A47">
                              <w:pPr>
                                <w:spacing w:after="0"/>
                                <w:jc w:val="center"/>
                                <w:rPr>
                                  <w:b/>
                                  <w:bCs/>
                                  <w:color w:val="44546A" w:themeColor="text2"/>
                                  <w:kern w:val="24"/>
                                  <w:sz w:val="36"/>
                                  <w:szCs w:val="36"/>
                                  <w14:ligatures w14:val="none"/>
                                </w:rPr>
                              </w:pPr>
                              <w:r w:rsidRPr="008905D6">
                                <w:rPr>
                                  <w:b/>
                                  <w:bCs/>
                                  <w:color w:val="44546A" w:themeColor="text2"/>
                                  <w:kern w:val="24"/>
                                  <w:sz w:val="36"/>
                                  <w:szCs w:val="36"/>
                                </w:rPr>
                                <w:t>EU ETS</w:t>
                              </w:r>
                            </w:p>
                            <w:p w14:paraId="3994E78F" w14:textId="77777777" w:rsidR="00E17A47" w:rsidRPr="008905D6" w:rsidRDefault="00E17A47" w:rsidP="00E17A47">
                              <w:pPr>
                                <w:spacing w:after="0"/>
                                <w:jc w:val="center"/>
                                <w:rPr>
                                  <w:color w:val="000000" w:themeColor="text1"/>
                                  <w:kern w:val="24"/>
                                </w:rPr>
                              </w:pPr>
                              <w:r w:rsidRPr="008905D6">
                                <w:rPr>
                                  <w:color w:val="000000" w:themeColor="text1"/>
                                  <w:kern w:val="24"/>
                                </w:rPr>
                                <w:t>energetyka</w:t>
                              </w:r>
                            </w:p>
                            <w:p w14:paraId="20842D19" w14:textId="77777777" w:rsidR="00E17A47" w:rsidRPr="008905D6" w:rsidRDefault="00E17A47" w:rsidP="00E17A47">
                              <w:pPr>
                                <w:spacing w:after="0"/>
                                <w:jc w:val="center"/>
                                <w:rPr>
                                  <w:color w:val="000000" w:themeColor="text1"/>
                                  <w:kern w:val="24"/>
                                </w:rPr>
                              </w:pPr>
                              <w:r w:rsidRPr="008905D6">
                                <w:rPr>
                                  <w:color w:val="000000" w:themeColor="text1"/>
                                  <w:kern w:val="24"/>
                                </w:rPr>
                                <w:t xml:space="preserve">przemysł energochłonny </w:t>
                              </w:r>
                            </w:p>
                            <w:p w14:paraId="5FB75B8B" w14:textId="46B4764D" w:rsidR="002542B1" w:rsidRDefault="00E17A47" w:rsidP="002542B1">
                              <w:pPr>
                                <w:spacing w:after="0"/>
                                <w:jc w:val="center"/>
                                <w:rPr>
                                  <w:color w:val="000000" w:themeColor="text1"/>
                                  <w:kern w:val="24"/>
                                </w:rPr>
                              </w:pPr>
                              <w:r w:rsidRPr="008905D6">
                                <w:rPr>
                                  <w:color w:val="000000" w:themeColor="text1"/>
                                  <w:kern w:val="24"/>
                                </w:rPr>
                                <w:t>lotnictwo</w:t>
                              </w:r>
                            </w:p>
                            <w:p w14:paraId="21BEDF45" w14:textId="6AC67EE5" w:rsidR="002542B1" w:rsidRPr="008905D6" w:rsidRDefault="002542B1" w:rsidP="002542B1">
                              <w:pPr>
                                <w:spacing w:after="0"/>
                                <w:jc w:val="center"/>
                                <w:rPr>
                                  <w:color w:val="000000" w:themeColor="text1"/>
                                  <w:kern w:val="24"/>
                                </w:rPr>
                              </w:pPr>
                              <w:r>
                                <w:rPr>
                                  <w:color w:val="000000" w:themeColor="text1"/>
                                  <w:kern w:val="24"/>
                                </w:rPr>
                                <w:t>transport morski</w:t>
                              </w:r>
                            </w:p>
                          </w:txbxContent>
                        </wps:txbx>
                        <wps:bodyPr rtlCol="0" anchor="ctr"/>
                      </wps:wsp>
                      <wps:wsp>
                        <wps:cNvPr id="1801714355" name="pole tekstowe 26"/>
                        <wps:cNvSpPr txBox="1"/>
                        <wps:spPr>
                          <a:xfrm>
                            <a:off x="92502" y="189738"/>
                            <a:ext cx="2785924" cy="348143"/>
                          </a:xfrm>
                          <a:prstGeom prst="rect">
                            <a:avLst/>
                          </a:prstGeom>
                          <a:noFill/>
                        </wps:spPr>
                        <wps:txbx>
                          <w:txbxContent>
                            <w:p w14:paraId="5DFB751F" w14:textId="65A59C85" w:rsidR="00E17A47" w:rsidRPr="00B137DC" w:rsidRDefault="003768A4" w:rsidP="00DE4F4E">
                              <w:pPr>
                                <w:pStyle w:val="tyturys"/>
                                <w:jc w:val="left"/>
                              </w:pPr>
                              <w:r w:rsidRPr="00B137DC">
                                <w:t>R</w:t>
                              </w:r>
                              <w:r w:rsidR="00E17A47" w:rsidRPr="00B137DC">
                                <w:t xml:space="preserve">edukcja GC </w:t>
                              </w:r>
                              <w:r w:rsidR="00F77C02" w:rsidRPr="00B137DC">
                                <w:t>w</w:t>
                              </w:r>
                              <w:r w:rsidR="00E17A47" w:rsidRPr="00B137DC">
                                <w:t xml:space="preserve"> 2030 r. </w:t>
                              </w:r>
                              <w:r w:rsidR="00B137DC" w:rsidRPr="00B137DC">
                                <w:t>vs. 1990</w:t>
                              </w:r>
                            </w:p>
                            <w:p w14:paraId="4B8E4C50" w14:textId="77777777" w:rsidR="00B137DC" w:rsidRPr="00B137DC" w:rsidRDefault="00B137DC" w:rsidP="00B137DC">
                              <w:pPr>
                                <w:spacing w:after="0" w:line="256" w:lineRule="auto"/>
                                <w:jc w:val="left"/>
                                <w:rPr>
                                  <w:b/>
                                  <w:bCs/>
                                  <w:color w:val="323E4F" w:themeColor="text2" w:themeShade="BF"/>
                                  <w:sz w:val="32"/>
                                  <w:szCs w:val="32"/>
                                  <w14:ligatures w14:val="none"/>
                                </w:rPr>
                              </w:pPr>
                            </w:p>
                          </w:txbxContent>
                        </wps:txbx>
                        <wps:bodyPr wrap="square">
                          <a:noAutofit/>
                        </wps:bodyPr>
                      </wps:wsp>
                      <wps:wsp>
                        <wps:cNvPr id="480658699" name="Owal 480658699"/>
                        <wps:cNvSpPr/>
                        <wps:spPr>
                          <a:xfrm>
                            <a:off x="834129" y="1101343"/>
                            <a:ext cx="993914" cy="651147"/>
                          </a:xfrm>
                          <a:prstGeom prst="ellipse">
                            <a:avLst/>
                          </a:prstGeom>
                          <a:solidFill>
                            <a:schemeClr val="bg1"/>
                          </a:solidFill>
                          <a:ln w="9525">
                            <a:solidFill>
                              <a:srgbClr val="70AD47"/>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12C9123D" w14:textId="29DF20B3" w:rsidR="00E17A47" w:rsidRPr="008905D6" w:rsidRDefault="00E17A47" w:rsidP="00E17A47">
                              <w:pPr>
                                <w:spacing w:after="0"/>
                                <w:jc w:val="center"/>
                                <w:rPr>
                                  <w:b/>
                                  <w:bCs/>
                                  <w:color w:val="44546A" w:themeColor="text2"/>
                                  <w:kern w:val="24"/>
                                  <w:sz w:val="32"/>
                                  <w:szCs w:val="32"/>
                                  <w14:ligatures w14:val="none"/>
                                </w:rPr>
                              </w:pPr>
                              <w:r w:rsidRPr="006D1B23">
                                <w:rPr>
                                  <w:rFonts w:ascii="Arial" w:hAnsi="Arial" w:cs="Arial"/>
                                  <w:b/>
                                  <w:bCs/>
                                  <w:color w:val="44546A" w:themeColor="text2"/>
                                  <w:kern w:val="24"/>
                                  <w:sz w:val="32"/>
                                  <w:szCs w:val="32"/>
                                </w:rPr>
                                <w:t>↓</w:t>
                              </w:r>
                              <w:r w:rsidR="00527548">
                                <w:rPr>
                                  <w:b/>
                                  <w:bCs/>
                                  <w:color w:val="44546A" w:themeColor="text2"/>
                                  <w:kern w:val="24"/>
                                  <w:sz w:val="32"/>
                                  <w:szCs w:val="32"/>
                                </w:rPr>
                                <w:t>49</w:t>
                              </w:r>
                              <w:r w:rsidRPr="008905D6">
                                <w:rPr>
                                  <w:b/>
                                  <w:bCs/>
                                  <w:color w:val="44546A" w:themeColor="text2"/>
                                  <w:kern w:val="24"/>
                                  <w:sz w:val="32"/>
                                  <w:szCs w:val="32"/>
                                </w:rPr>
                                <w:t>%</w:t>
                              </w:r>
                              <w:r w:rsidR="00B137DC">
                                <w:rPr>
                                  <w:b/>
                                  <w:bCs/>
                                  <w:color w:val="44546A" w:themeColor="text2"/>
                                  <w:kern w:val="24"/>
                                  <w:sz w:val="32"/>
                                  <w:szCs w:val="32"/>
                                </w:rPr>
                                <w:t xml:space="preserve"> </w:t>
                              </w:r>
                              <w:r w:rsidR="00B137DC" w:rsidRPr="00B137DC">
                                <w:rPr>
                                  <w:b/>
                                  <w:bCs/>
                                  <w:color w:val="44546A" w:themeColor="text2"/>
                                  <w:kern w:val="24"/>
                                  <w:sz w:val="22"/>
                                </w:rPr>
                                <w:t>vs.</w:t>
                              </w:r>
                              <w:r w:rsidR="00B137DC">
                                <w:rPr>
                                  <w:b/>
                                  <w:bCs/>
                                  <w:color w:val="44546A" w:themeColor="text2"/>
                                  <w:kern w:val="24"/>
                                  <w:sz w:val="22"/>
                                </w:rPr>
                                <w:t> </w:t>
                              </w:r>
                              <w:r w:rsidR="00B137DC" w:rsidRPr="00B137DC">
                                <w:rPr>
                                  <w:b/>
                                  <w:bCs/>
                                  <w:color w:val="44546A" w:themeColor="text2"/>
                                  <w:kern w:val="24"/>
                                  <w:sz w:val="22"/>
                                </w:rPr>
                                <w:t>2005</w:t>
                              </w:r>
                            </w:p>
                          </w:txbxContent>
                        </wps:txbx>
                        <wps:bodyPr rtlCol="0" anchor="ctr"/>
                      </wps:wsp>
                      <wps:wsp>
                        <wps:cNvPr id="1217501976" name="Owal 1217501976"/>
                        <wps:cNvSpPr/>
                        <wps:spPr>
                          <a:xfrm>
                            <a:off x="3017776" y="235295"/>
                            <a:ext cx="920393" cy="700830"/>
                          </a:xfrm>
                          <a:prstGeom prst="ellipse">
                            <a:avLst/>
                          </a:prstGeom>
                          <a:solidFill>
                            <a:schemeClr val="bg1"/>
                          </a:solidFill>
                          <a:ln w="9525">
                            <a:solidFill>
                              <a:srgbClr val="70AD47"/>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46CD57D2" w14:textId="134F6BAB" w:rsidR="00E17A47" w:rsidRPr="008905D6" w:rsidRDefault="00E17A47" w:rsidP="00E17A47">
                              <w:pPr>
                                <w:spacing w:after="0"/>
                                <w:jc w:val="center"/>
                                <w:rPr>
                                  <w:b/>
                                  <w:bCs/>
                                  <w:color w:val="44546A" w:themeColor="text2"/>
                                  <w:kern w:val="24"/>
                                  <w:sz w:val="32"/>
                                  <w:szCs w:val="32"/>
                                  <w14:ligatures w14:val="none"/>
                                </w:rPr>
                              </w:pPr>
                              <w:r w:rsidRPr="008905D6">
                                <w:rPr>
                                  <w:rFonts w:ascii="Arial" w:hAnsi="Arial" w:cs="Arial"/>
                                  <w:b/>
                                  <w:bCs/>
                                  <w:color w:val="44546A" w:themeColor="text2"/>
                                  <w:kern w:val="24"/>
                                  <w:sz w:val="32"/>
                                  <w:szCs w:val="32"/>
                                </w:rPr>
                                <w:t>↓</w:t>
                              </w:r>
                              <w:r w:rsidR="007B6C42">
                                <w:rPr>
                                  <w:b/>
                                  <w:bCs/>
                                  <w:color w:val="44546A" w:themeColor="text2"/>
                                  <w:kern w:val="24"/>
                                  <w:sz w:val="32"/>
                                  <w:szCs w:val="32"/>
                                </w:rPr>
                                <w:t>1</w:t>
                              </w:r>
                              <w:r w:rsidR="00936328">
                                <w:rPr>
                                  <w:b/>
                                  <w:bCs/>
                                  <w:color w:val="44546A" w:themeColor="text2"/>
                                  <w:kern w:val="24"/>
                                  <w:sz w:val="32"/>
                                  <w:szCs w:val="32"/>
                                </w:rPr>
                                <w:t>8,2</w:t>
                              </w:r>
                              <w:r w:rsidRPr="008905D6">
                                <w:rPr>
                                  <w:b/>
                                  <w:bCs/>
                                  <w:color w:val="44546A" w:themeColor="text2"/>
                                  <w:kern w:val="24"/>
                                  <w:sz w:val="32"/>
                                  <w:szCs w:val="32"/>
                                </w:rPr>
                                <w:t>%</w:t>
                              </w:r>
                              <w:r w:rsidR="00B137DC">
                                <w:rPr>
                                  <w:b/>
                                  <w:bCs/>
                                  <w:color w:val="44546A" w:themeColor="text2"/>
                                  <w:kern w:val="24"/>
                                  <w:sz w:val="32"/>
                                  <w:szCs w:val="32"/>
                                </w:rPr>
                                <w:t xml:space="preserve"> </w:t>
                              </w:r>
                              <w:r w:rsidR="00B137DC" w:rsidRPr="00B137DC">
                                <w:rPr>
                                  <w:b/>
                                  <w:bCs/>
                                  <w:color w:val="44546A" w:themeColor="text2"/>
                                  <w:kern w:val="24"/>
                                  <w:sz w:val="22"/>
                                </w:rPr>
                                <w:t>vs.</w:t>
                              </w:r>
                              <w:r w:rsidR="00B137DC">
                                <w:rPr>
                                  <w:b/>
                                  <w:bCs/>
                                  <w:color w:val="44546A" w:themeColor="text2"/>
                                  <w:kern w:val="24"/>
                                  <w:sz w:val="22"/>
                                </w:rPr>
                                <w:t> </w:t>
                              </w:r>
                              <w:r w:rsidR="00B137DC" w:rsidRPr="00B137DC">
                                <w:rPr>
                                  <w:b/>
                                  <w:bCs/>
                                  <w:color w:val="44546A" w:themeColor="text2"/>
                                  <w:kern w:val="24"/>
                                  <w:sz w:val="22"/>
                                </w:rPr>
                                <w:t>2005</w:t>
                              </w:r>
                            </w:p>
                          </w:txbxContent>
                        </wps:txbx>
                        <wps:bodyPr rtlCol="0" anchor="ctr"/>
                      </wps:wsp>
                      <wps:wsp>
                        <wps:cNvPr id="1322545693" name="Prostokąt: zaokrąglone rogi 1322545693"/>
                        <wps:cNvSpPr/>
                        <wps:spPr>
                          <a:xfrm>
                            <a:off x="2076917" y="1278364"/>
                            <a:ext cx="1437275" cy="885969"/>
                          </a:xfrm>
                          <a:prstGeom prst="roundRect">
                            <a:avLst/>
                          </a:prstGeom>
                          <a:noFill/>
                          <a:ln>
                            <a:solidFill>
                              <a:srgbClr val="92D050"/>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10EE1FCA" w14:textId="77777777" w:rsidR="00E17A47" w:rsidRDefault="00E17A47" w:rsidP="00E17A47">
                              <w:pPr>
                                <w:spacing w:after="0"/>
                                <w:jc w:val="center"/>
                                <w:rPr>
                                  <w:b/>
                                  <w:bCs/>
                                  <w:color w:val="44546A" w:themeColor="text2"/>
                                  <w:kern w:val="24"/>
                                  <w:sz w:val="28"/>
                                  <w:szCs w:val="28"/>
                                </w:rPr>
                              </w:pPr>
                              <w:r w:rsidRPr="008905D6">
                                <w:rPr>
                                  <w:b/>
                                  <w:bCs/>
                                  <w:color w:val="44546A" w:themeColor="text2"/>
                                  <w:kern w:val="24"/>
                                  <w:sz w:val="28"/>
                                  <w:szCs w:val="28"/>
                                </w:rPr>
                                <w:t>ETS-2</w:t>
                              </w:r>
                            </w:p>
                            <w:p w14:paraId="73BCB629" w14:textId="77777777" w:rsidR="002542B1" w:rsidRDefault="002542B1" w:rsidP="00E17A47">
                              <w:pPr>
                                <w:spacing w:after="0"/>
                                <w:jc w:val="center"/>
                                <w:rPr>
                                  <w:b/>
                                  <w:bCs/>
                                  <w:color w:val="44546A" w:themeColor="text2"/>
                                  <w:kern w:val="24"/>
                                  <w:sz w:val="28"/>
                                  <w:szCs w:val="28"/>
                                </w:rPr>
                              </w:pPr>
                            </w:p>
                            <w:p w14:paraId="4C054933" w14:textId="77777777" w:rsidR="002542B1" w:rsidRDefault="002542B1" w:rsidP="00E17A47">
                              <w:pPr>
                                <w:spacing w:after="0"/>
                                <w:jc w:val="center"/>
                                <w:rPr>
                                  <w:b/>
                                  <w:bCs/>
                                  <w:color w:val="44546A" w:themeColor="text2"/>
                                  <w:kern w:val="24"/>
                                  <w:sz w:val="28"/>
                                  <w:szCs w:val="28"/>
                                </w:rPr>
                              </w:pPr>
                            </w:p>
                            <w:p w14:paraId="008286B9" w14:textId="77777777" w:rsidR="002542B1" w:rsidRDefault="002542B1" w:rsidP="00E17A47">
                              <w:pPr>
                                <w:spacing w:after="0"/>
                                <w:jc w:val="center"/>
                                <w:rPr>
                                  <w:b/>
                                  <w:bCs/>
                                  <w:color w:val="44546A" w:themeColor="text2"/>
                                  <w:kern w:val="24"/>
                                  <w:sz w:val="28"/>
                                  <w:szCs w:val="28"/>
                                </w:rPr>
                              </w:pPr>
                            </w:p>
                            <w:p w14:paraId="5F43DFCB" w14:textId="77777777" w:rsidR="002542B1" w:rsidRDefault="002542B1" w:rsidP="00E17A47">
                              <w:pPr>
                                <w:spacing w:after="0"/>
                                <w:jc w:val="center"/>
                                <w:rPr>
                                  <w:b/>
                                  <w:bCs/>
                                  <w:color w:val="44546A" w:themeColor="text2"/>
                                  <w:kern w:val="24"/>
                                  <w:sz w:val="28"/>
                                  <w:szCs w:val="28"/>
                                </w:rPr>
                              </w:pPr>
                            </w:p>
                            <w:p w14:paraId="6A88E0DD" w14:textId="77777777" w:rsidR="002542B1" w:rsidRPr="008905D6" w:rsidRDefault="002542B1" w:rsidP="00E17A47">
                              <w:pPr>
                                <w:spacing w:after="0"/>
                                <w:jc w:val="center"/>
                                <w:rPr>
                                  <w:b/>
                                  <w:bCs/>
                                  <w:color w:val="44546A" w:themeColor="text2"/>
                                  <w:kern w:val="24"/>
                                  <w:sz w:val="28"/>
                                  <w:szCs w:val="28"/>
                                </w:rPr>
                              </w:pPr>
                            </w:p>
                            <w:p w14:paraId="03A83769" w14:textId="77777777" w:rsidR="00E17A47" w:rsidRPr="008905D6" w:rsidRDefault="00E17A47" w:rsidP="00E17A47">
                              <w:pPr>
                                <w:spacing w:after="0"/>
                                <w:jc w:val="center"/>
                                <w:rPr>
                                  <w:b/>
                                  <w:bCs/>
                                  <w:color w:val="44546A" w:themeColor="text2"/>
                                  <w:kern w:val="24"/>
                                  <w:sz w:val="32"/>
                                  <w:szCs w:val="32"/>
                                </w:rPr>
                              </w:pPr>
                            </w:p>
                            <w:p w14:paraId="2541F3FE" w14:textId="1DBD567F" w:rsidR="00E17A47" w:rsidRPr="008905D6" w:rsidRDefault="00E17A47" w:rsidP="002542B1">
                              <w:pPr>
                                <w:spacing w:after="0"/>
                                <w:rPr>
                                  <w:b/>
                                  <w:bCs/>
                                  <w:color w:val="44546A" w:themeColor="text2"/>
                                  <w:kern w:val="24"/>
                                  <w:sz w:val="32"/>
                                  <w:szCs w:val="32"/>
                                </w:rPr>
                              </w:pPr>
                            </w:p>
                          </w:txbxContent>
                        </wps:txbx>
                        <wps:bodyPr rtlCol="0" anchor="ctr"/>
                      </wps:wsp>
                    </wpg:wgp>
                  </a:graphicData>
                </a:graphic>
              </wp:anchor>
            </w:drawing>
          </mc:Choice>
          <mc:Fallback>
            <w:pict>
              <v:group w14:anchorId="7C631DC6" id="Grupa 1" o:spid="_x0000_s1061" style="position:absolute;left:0;text-align:left;margin-left:7.9pt;margin-top:63.4pt;width:416.1pt;height:222.55pt;z-index:251631616" coordorigin="814,1897" coordsize="38567,257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">
                <v:roundrect id="Prostokąt: zaokrąglone rogi 131712259" o:spid="_x0000_s1062" style="position:absolute;left:19711;top:6542;width:16611;height:21117;visibility:visible;mso-wrap-style:square;v-text-anchor:middle" arcsize="8899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" filled="f" strokecolor="#70ad47 [3209]" strokeweight="1pt">
                  <v:stroke joinstyle="miter"/>
                  <v:textbox>
                    <w:txbxContent>
                      <w:p w14:paraId="4BBE0871" w14:textId="342534EF" w:rsidR="00E17A47" w:rsidRPr="008905D6" w:rsidRDefault="00E17A47" w:rsidP="00E17A47">
                        <w:pPr>
                          <w:spacing w:after="0"/>
                          <w:jc w:val="center"/>
                          <w:rPr>
                            <w:b/>
                            <w:bCs/>
                            <w:color w:val="44546A" w:themeColor="text2"/>
                            <w:kern w:val="24"/>
                            <w:sz w:val="36"/>
                            <w:szCs w:val="36"/>
                          </w:rPr>
                        </w:pPr>
                        <w:r w:rsidRPr="008905D6">
                          <w:rPr>
                            <w:b/>
                            <w:bCs/>
                            <w:color w:val="44546A" w:themeColor="text2"/>
                            <w:kern w:val="24"/>
                            <w:sz w:val="36"/>
                            <w:szCs w:val="36"/>
                          </w:rPr>
                          <w:t>ES</w:t>
                        </w:r>
                        <w:r w:rsidR="0095574F">
                          <w:rPr>
                            <w:b/>
                            <w:bCs/>
                            <w:color w:val="44546A" w:themeColor="text2"/>
                            <w:kern w:val="24"/>
                            <w:sz w:val="36"/>
                            <w:szCs w:val="36"/>
                          </w:rPr>
                          <w:t>R</w:t>
                        </w:r>
                        <w:r w:rsidR="008905D6">
                          <w:rPr>
                            <w:b/>
                            <w:bCs/>
                            <w:color w:val="44546A" w:themeColor="text2"/>
                            <w:kern w:val="24"/>
                            <w:sz w:val="36"/>
                            <w:szCs w:val="36"/>
                          </w:rPr>
                          <w:t xml:space="preserve"> (cel)</w:t>
                        </w:r>
                      </w:p>
                      <w:p w14:paraId="31967ACB" w14:textId="77777777" w:rsidR="00E17A47" w:rsidRPr="008905D6" w:rsidRDefault="00E17A47" w:rsidP="00E17A47">
                        <w:pPr>
                          <w:spacing w:after="0"/>
                          <w:jc w:val="center"/>
                          <w:rPr>
                            <w:rFonts w:cs="Latha"/>
                            <w:color w:val="000000" w:themeColor="text1"/>
                            <w:kern w:val="24"/>
                          </w:rPr>
                        </w:pPr>
                      </w:p>
                      <w:p w14:paraId="73B2E2C4" w14:textId="77777777" w:rsidR="00E17A47" w:rsidRPr="008905D6" w:rsidRDefault="00E17A47" w:rsidP="00E17A47">
                        <w:pPr>
                          <w:spacing w:after="0"/>
                          <w:jc w:val="center"/>
                          <w:rPr>
                            <w:rFonts w:cs="Latha"/>
                            <w:color w:val="000000" w:themeColor="text1"/>
                            <w:kern w:val="24"/>
                          </w:rPr>
                        </w:pPr>
                      </w:p>
                      <w:p w14:paraId="51EF082F" w14:textId="75615212" w:rsidR="00E17A47" w:rsidRPr="008905D6" w:rsidRDefault="00E17A47" w:rsidP="00DC45DA">
                        <w:pPr>
                          <w:spacing w:before="360" w:after="0"/>
                          <w:jc w:val="center"/>
                          <w:rPr>
                            <w:rFonts w:cs="Latha"/>
                            <w:color w:val="000000" w:themeColor="text1"/>
                            <w:kern w:val="24"/>
                          </w:rPr>
                        </w:pPr>
                        <w:r w:rsidRPr="008905D6">
                          <w:rPr>
                            <w:rFonts w:cs="Latha"/>
                            <w:color w:val="000000" w:themeColor="text1"/>
                            <w:kern w:val="24"/>
                          </w:rPr>
                          <w:t>budownictwo</w:t>
                        </w:r>
                      </w:p>
                      <w:p w14:paraId="59455448" w14:textId="3F54722A" w:rsidR="00E17A47" w:rsidRDefault="00E17A47" w:rsidP="00E17A47">
                        <w:pPr>
                          <w:spacing w:after="0"/>
                          <w:jc w:val="center"/>
                          <w:rPr>
                            <w:rFonts w:cs="Latha"/>
                            <w:color w:val="000000" w:themeColor="text1"/>
                            <w:kern w:val="24"/>
                          </w:rPr>
                        </w:pPr>
                        <w:r w:rsidRPr="008905D6">
                          <w:rPr>
                            <w:rFonts w:cs="Latha"/>
                            <w:color w:val="000000" w:themeColor="text1"/>
                            <w:kern w:val="24"/>
                          </w:rPr>
                          <w:t>transport drogowy</w:t>
                        </w:r>
                      </w:p>
                      <w:p w14:paraId="6794D7DC" w14:textId="71113E57" w:rsidR="002542B1" w:rsidRPr="008905D6" w:rsidRDefault="002542B1" w:rsidP="00E17A47">
                        <w:pPr>
                          <w:spacing w:after="0"/>
                          <w:jc w:val="center"/>
                          <w:rPr>
                            <w:rFonts w:cs="Latha"/>
                            <w:color w:val="000000" w:themeColor="text1"/>
                            <w:kern w:val="24"/>
                          </w:rPr>
                        </w:pPr>
                        <w:r>
                          <w:rPr>
                            <w:rFonts w:cs="Latha"/>
                            <w:color w:val="000000" w:themeColor="text1"/>
                            <w:kern w:val="24"/>
                          </w:rPr>
                          <w:t>drobny przemysł</w:t>
                        </w:r>
                      </w:p>
                      <w:p w14:paraId="65F7FAE7" w14:textId="77777777" w:rsidR="00E17A47" w:rsidRPr="008905D6" w:rsidRDefault="00E17A47" w:rsidP="00E17A47">
                        <w:pPr>
                          <w:spacing w:after="0"/>
                          <w:jc w:val="center"/>
                          <w:rPr>
                            <w:rFonts w:cs="Latha"/>
                            <w:color w:val="000000" w:themeColor="text1"/>
                            <w:kern w:val="24"/>
                          </w:rPr>
                        </w:pPr>
                      </w:p>
                      <w:p w14:paraId="1F0612E5" w14:textId="77777777" w:rsidR="00E17A47" w:rsidRPr="008905D6" w:rsidRDefault="00E17A47" w:rsidP="00E17A47">
                        <w:pPr>
                          <w:spacing w:after="0"/>
                          <w:jc w:val="center"/>
                          <w:rPr>
                            <w:rFonts w:cs="Latha"/>
                            <w:color w:val="000000" w:themeColor="text1"/>
                            <w:kern w:val="24"/>
                          </w:rPr>
                        </w:pPr>
                        <w:r w:rsidRPr="008905D6">
                          <w:rPr>
                            <w:rFonts w:cs="Latha"/>
                            <w:color w:val="000000" w:themeColor="text1"/>
                            <w:kern w:val="24"/>
                          </w:rPr>
                          <w:t>rolnictwo</w:t>
                        </w:r>
                      </w:p>
                      <w:p w14:paraId="470FAA3E" w14:textId="77777777" w:rsidR="00E17A47" w:rsidRPr="008905D6" w:rsidRDefault="00E17A47" w:rsidP="00E17A47">
                        <w:pPr>
                          <w:spacing w:after="0"/>
                          <w:jc w:val="center"/>
                          <w:rPr>
                            <w:rFonts w:cs="Latha"/>
                            <w:color w:val="000000" w:themeColor="text1"/>
                            <w:kern w:val="24"/>
                          </w:rPr>
                        </w:pPr>
                        <w:r w:rsidRPr="008905D6">
                          <w:rPr>
                            <w:rFonts w:cs="Latha"/>
                            <w:color w:val="000000" w:themeColor="text1"/>
                            <w:kern w:val="24"/>
                          </w:rPr>
                          <w:t>odpady</w:t>
                        </w:r>
                      </w:p>
                    </w:txbxContent>
                  </v:textbox>
                </v:roundrect>
                <v:roundrect id="Prostokąt: zaokrąglone rogi 602385587" o:spid="_x0000_s1063" style="position:absolute;left:814;top:15731;width:15697;height:1187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" filled="f" strokecolor="#70ad47 [3209]" strokeweight="1pt">
                  <v:stroke joinstyle="miter"/>
                  <v:textbox>
                    <w:txbxContent>
                      <w:p w14:paraId="6B2D07E6" w14:textId="310266F1" w:rsidR="00E17A47" w:rsidRPr="008905D6" w:rsidRDefault="00E17A47" w:rsidP="00E17A47">
                        <w:pPr>
                          <w:spacing w:after="0"/>
                          <w:jc w:val="center"/>
                          <w:rPr>
                            <w:b/>
                            <w:bCs/>
                            <w:color w:val="44546A" w:themeColor="text2"/>
                            <w:kern w:val="24"/>
                            <w:sz w:val="36"/>
                            <w:szCs w:val="36"/>
                            <w14:ligatures w14:val="none"/>
                          </w:rPr>
                        </w:pPr>
                        <w:r w:rsidRPr="008905D6">
                          <w:rPr>
                            <w:b/>
                            <w:bCs/>
                            <w:color w:val="44546A" w:themeColor="text2"/>
                            <w:kern w:val="24"/>
                            <w:sz w:val="36"/>
                            <w:szCs w:val="36"/>
                          </w:rPr>
                          <w:t>EU ETS</w:t>
                        </w:r>
                      </w:p>
                      <w:p w14:paraId="3994E78F" w14:textId="77777777" w:rsidR="00E17A47" w:rsidRPr="008905D6" w:rsidRDefault="00E17A47" w:rsidP="00E17A47">
                        <w:pPr>
                          <w:spacing w:after="0"/>
                          <w:jc w:val="center"/>
                          <w:rPr>
                            <w:color w:val="000000" w:themeColor="text1"/>
                            <w:kern w:val="24"/>
                          </w:rPr>
                        </w:pPr>
                        <w:r w:rsidRPr="008905D6">
                          <w:rPr>
                            <w:color w:val="000000" w:themeColor="text1"/>
                            <w:kern w:val="24"/>
                          </w:rPr>
                          <w:t>energetyka</w:t>
                        </w:r>
                      </w:p>
                      <w:p w14:paraId="20842D19" w14:textId="77777777" w:rsidR="00E17A47" w:rsidRPr="008905D6" w:rsidRDefault="00E17A47" w:rsidP="00E17A47">
                        <w:pPr>
                          <w:spacing w:after="0"/>
                          <w:jc w:val="center"/>
                          <w:rPr>
                            <w:color w:val="000000" w:themeColor="text1"/>
                            <w:kern w:val="24"/>
                          </w:rPr>
                        </w:pPr>
                        <w:r w:rsidRPr="008905D6">
                          <w:rPr>
                            <w:color w:val="000000" w:themeColor="text1"/>
                            <w:kern w:val="24"/>
                          </w:rPr>
                          <w:t xml:space="preserve">przemysł energochłonny </w:t>
                        </w:r>
                      </w:p>
                      <w:p w14:paraId="5FB75B8B" w14:textId="46B4764D" w:rsidR="002542B1" w:rsidRDefault="00E17A47" w:rsidP="002542B1">
                        <w:pPr>
                          <w:spacing w:after="0"/>
                          <w:jc w:val="center"/>
                          <w:rPr>
                            <w:color w:val="000000" w:themeColor="text1"/>
                            <w:kern w:val="24"/>
                          </w:rPr>
                        </w:pPr>
                        <w:r w:rsidRPr="008905D6">
                          <w:rPr>
                            <w:color w:val="000000" w:themeColor="text1"/>
                            <w:kern w:val="24"/>
                          </w:rPr>
                          <w:t>lotnictwo</w:t>
                        </w:r>
                      </w:p>
                      <w:p w14:paraId="21BEDF45" w14:textId="6AC67EE5" w:rsidR="002542B1" w:rsidRPr="008905D6" w:rsidRDefault="002542B1" w:rsidP="002542B1">
                        <w:pPr>
                          <w:spacing w:after="0"/>
                          <w:jc w:val="center"/>
                          <w:rPr>
                            <w:color w:val="000000" w:themeColor="text1"/>
                            <w:kern w:val="24"/>
                          </w:rPr>
                        </w:pPr>
                        <w:r>
                          <w:rPr>
                            <w:color w:val="000000" w:themeColor="text1"/>
                            <w:kern w:val="24"/>
                          </w:rPr>
                          <w:t>transport morski</w:t>
                        </w:r>
                      </w:p>
                    </w:txbxContent>
                  </v:textbox>
                </v:roundrect>
                <v:shape id="_x0000_s1064" type="#_x0000_t202" style="position:absolute;left:925;top:1897;width:27859;height:34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" filled="f" stroked="f">
                  <v:textbox>
                    <w:txbxContent>
                      <w:p w14:paraId="5DFB751F" w14:textId="65A59C85" w:rsidR="00E17A47" w:rsidRPr="00B137DC" w:rsidRDefault="003768A4" w:rsidP="00DE4F4E">
                        <w:pPr>
                          <w:pStyle w:val="tyturys"/>
                          <w:jc w:val="left"/>
                        </w:pPr>
                        <w:r w:rsidRPr="00B137DC">
                          <w:t>R</w:t>
                        </w:r>
                        <w:r w:rsidR="00E17A47" w:rsidRPr="00B137DC">
                          <w:t xml:space="preserve">edukcja GC </w:t>
                        </w:r>
                        <w:r w:rsidR="00F77C02" w:rsidRPr="00B137DC">
                          <w:t>w</w:t>
                        </w:r>
                        <w:r w:rsidR="00E17A47" w:rsidRPr="00B137DC">
                          <w:t xml:space="preserve"> 2030 r. </w:t>
                        </w:r>
                        <w:r w:rsidR="00B137DC" w:rsidRPr="00B137DC">
                          <w:t>vs. 1990</w:t>
                        </w:r>
                      </w:p>
                      <w:p w14:paraId="4B8E4C50" w14:textId="77777777" w:rsidR="00B137DC" w:rsidRPr="00B137DC" w:rsidRDefault="00B137DC" w:rsidP="00B137DC">
                        <w:pPr>
                          <w:spacing w:after="0" w:line="256" w:lineRule="auto"/>
                          <w:jc w:val="left"/>
                          <w:rPr>
                            <w:b/>
                            <w:bCs/>
                            <w:color w:val="323E4F" w:themeColor="text2" w:themeShade="BF"/>
                            <w:sz w:val="32"/>
                            <w:szCs w:val="32"/>
                            <w14:ligatures w14:val="none"/>
                          </w:rPr>
                        </w:pPr>
                      </w:p>
                    </w:txbxContent>
                  </v:textbox>
                </v:shape>
                <v:oval id="Owal 480658699" o:spid="_x0000_s1065" style="position:absolute;left:8341;top:11013;width:9939;height:65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" fillcolor="white [3212]" strokecolor="#70ad47">
                  <v:stroke joinstyle="miter"/>
                  <v:textbox>
                    <w:txbxContent>
                      <w:p w14:paraId="12C9123D" w14:textId="29DF20B3" w:rsidR="00E17A47" w:rsidRPr="008905D6" w:rsidRDefault="00E17A47" w:rsidP="00E17A47">
                        <w:pPr>
                          <w:spacing w:after="0"/>
                          <w:jc w:val="center"/>
                          <w:rPr>
                            <w:b/>
                            <w:bCs/>
                            <w:color w:val="44546A" w:themeColor="text2"/>
                            <w:kern w:val="24"/>
                            <w:sz w:val="32"/>
                            <w:szCs w:val="32"/>
                            <w14:ligatures w14:val="none"/>
                          </w:rPr>
                        </w:pPr>
                        <w:r w:rsidRPr="006D1B23">
                          <w:rPr>
                            <w:rFonts w:ascii="Arial" w:hAnsi="Arial" w:cs="Arial"/>
                            <w:b/>
                            <w:bCs/>
                            <w:color w:val="44546A" w:themeColor="text2"/>
                            <w:kern w:val="24"/>
                            <w:sz w:val="32"/>
                            <w:szCs w:val="32"/>
                          </w:rPr>
                          <w:t>↓</w:t>
                        </w:r>
                        <w:r w:rsidR="00527548">
                          <w:rPr>
                            <w:b/>
                            <w:bCs/>
                            <w:color w:val="44546A" w:themeColor="text2"/>
                            <w:kern w:val="24"/>
                            <w:sz w:val="32"/>
                            <w:szCs w:val="32"/>
                          </w:rPr>
                          <w:t>49</w:t>
                        </w:r>
                        <w:r w:rsidRPr="008905D6">
                          <w:rPr>
                            <w:b/>
                            <w:bCs/>
                            <w:color w:val="44546A" w:themeColor="text2"/>
                            <w:kern w:val="24"/>
                            <w:sz w:val="32"/>
                            <w:szCs w:val="32"/>
                          </w:rPr>
                          <w:t>%</w:t>
                        </w:r>
                        <w:r w:rsidR="00B137DC">
                          <w:rPr>
                            <w:b/>
                            <w:bCs/>
                            <w:color w:val="44546A" w:themeColor="text2"/>
                            <w:kern w:val="24"/>
                            <w:sz w:val="32"/>
                            <w:szCs w:val="32"/>
                          </w:rPr>
                          <w:t xml:space="preserve"> </w:t>
                        </w:r>
                        <w:r w:rsidR="00B137DC" w:rsidRPr="00B137DC">
                          <w:rPr>
                            <w:b/>
                            <w:bCs/>
                            <w:color w:val="44546A" w:themeColor="text2"/>
                            <w:kern w:val="24"/>
                            <w:sz w:val="22"/>
                          </w:rPr>
                          <w:t>vs.</w:t>
                        </w:r>
                        <w:r w:rsidR="00B137DC">
                          <w:rPr>
                            <w:b/>
                            <w:bCs/>
                            <w:color w:val="44546A" w:themeColor="text2"/>
                            <w:kern w:val="24"/>
                            <w:sz w:val="22"/>
                          </w:rPr>
                          <w:t> </w:t>
                        </w:r>
                        <w:r w:rsidR="00B137DC" w:rsidRPr="00B137DC">
                          <w:rPr>
                            <w:b/>
                            <w:bCs/>
                            <w:color w:val="44546A" w:themeColor="text2"/>
                            <w:kern w:val="24"/>
                            <w:sz w:val="22"/>
                          </w:rPr>
                          <w:t>2005</w:t>
                        </w:r>
                      </w:p>
                    </w:txbxContent>
                  </v:textbox>
                </v:oval>
                <v:oval id="Owal 1217501976" o:spid="_x0000_s1066" style="position:absolute;left:30177;top:2352;width:9204;height:70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" fillcolor="white [3212]" strokecolor="#70ad47">
                  <v:stroke joinstyle="miter"/>
                  <v:textbox>
                    <w:txbxContent>
                      <w:p w14:paraId="46CD57D2" w14:textId="134F6BAB" w:rsidR="00E17A47" w:rsidRPr="008905D6" w:rsidRDefault="00E17A47" w:rsidP="00E17A47">
                        <w:pPr>
                          <w:spacing w:after="0"/>
                          <w:jc w:val="center"/>
                          <w:rPr>
                            <w:b/>
                            <w:bCs/>
                            <w:color w:val="44546A" w:themeColor="text2"/>
                            <w:kern w:val="24"/>
                            <w:sz w:val="32"/>
                            <w:szCs w:val="32"/>
                            <w14:ligatures w14:val="none"/>
                          </w:rPr>
                        </w:pPr>
                        <w:r w:rsidRPr="008905D6">
                          <w:rPr>
                            <w:rFonts w:ascii="Arial" w:hAnsi="Arial" w:cs="Arial"/>
                            <w:b/>
                            <w:bCs/>
                            <w:color w:val="44546A" w:themeColor="text2"/>
                            <w:kern w:val="24"/>
                            <w:sz w:val="32"/>
                            <w:szCs w:val="32"/>
                          </w:rPr>
                          <w:t>↓</w:t>
                        </w:r>
                        <w:r w:rsidR="007B6C42">
                          <w:rPr>
                            <w:b/>
                            <w:bCs/>
                            <w:color w:val="44546A" w:themeColor="text2"/>
                            <w:kern w:val="24"/>
                            <w:sz w:val="32"/>
                            <w:szCs w:val="32"/>
                          </w:rPr>
                          <w:t>1</w:t>
                        </w:r>
                        <w:r w:rsidR="00936328">
                          <w:rPr>
                            <w:b/>
                            <w:bCs/>
                            <w:color w:val="44546A" w:themeColor="text2"/>
                            <w:kern w:val="24"/>
                            <w:sz w:val="32"/>
                            <w:szCs w:val="32"/>
                          </w:rPr>
                          <w:t>8,2</w:t>
                        </w:r>
                        <w:r w:rsidRPr="008905D6">
                          <w:rPr>
                            <w:b/>
                            <w:bCs/>
                            <w:color w:val="44546A" w:themeColor="text2"/>
                            <w:kern w:val="24"/>
                            <w:sz w:val="32"/>
                            <w:szCs w:val="32"/>
                          </w:rPr>
                          <w:t>%</w:t>
                        </w:r>
                        <w:r w:rsidR="00B137DC">
                          <w:rPr>
                            <w:b/>
                            <w:bCs/>
                            <w:color w:val="44546A" w:themeColor="text2"/>
                            <w:kern w:val="24"/>
                            <w:sz w:val="32"/>
                            <w:szCs w:val="32"/>
                          </w:rPr>
                          <w:t xml:space="preserve"> </w:t>
                        </w:r>
                        <w:r w:rsidR="00B137DC" w:rsidRPr="00B137DC">
                          <w:rPr>
                            <w:b/>
                            <w:bCs/>
                            <w:color w:val="44546A" w:themeColor="text2"/>
                            <w:kern w:val="24"/>
                            <w:sz w:val="22"/>
                          </w:rPr>
                          <w:t>vs.</w:t>
                        </w:r>
                        <w:r w:rsidR="00B137DC">
                          <w:rPr>
                            <w:b/>
                            <w:bCs/>
                            <w:color w:val="44546A" w:themeColor="text2"/>
                            <w:kern w:val="24"/>
                            <w:sz w:val="22"/>
                          </w:rPr>
                          <w:t> </w:t>
                        </w:r>
                        <w:r w:rsidR="00B137DC" w:rsidRPr="00B137DC">
                          <w:rPr>
                            <w:b/>
                            <w:bCs/>
                            <w:color w:val="44546A" w:themeColor="text2"/>
                            <w:kern w:val="24"/>
                            <w:sz w:val="22"/>
                          </w:rPr>
                          <w:t>2005</w:t>
                        </w:r>
                      </w:p>
                    </w:txbxContent>
                  </v:textbox>
                </v:oval>
                <v:roundrect id="Prostokąt: zaokrąglone rogi 1322545693" o:spid="_x0000_s1067" style="position:absolute;left:20769;top:12783;width:14372;height:886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" filled="f" strokecolor="#92d050" strokeweight="1pt">
                  <v:stroke joinstyle="miter"/>
                  <v:textbox>
                    <w:txbxContent>
                      <w:p w14:paraId="10EE1FCA" w14:textId="77777777" w:rsidR="00E17A47" w:rsidRDefault="00E17A47" w:rsidP="00E17A47">
                        <w:pPr>
                          <w:spacing w:after="0"/>
                          <w:jc w:val="center"/>
                          <w:rPr>
                            <w:b/>
                            <w:bCs/>
                            <w:color w:val="44546A" w:themeColor="text2"/>
                            <w:kern w:val="24"/>
                            <w:sz w:val="28"/>
                            <w:szCs w:val="28"/>
                          </w:rPr>
                        </w:pPr>
                        <w:r w:rsidRPr="008905D6">
                          <w:rPr>
                            <w:b/>
                            <w:bCs/>
                            <w:color w:val="44546A" w:themeColor="text2"/>
                            <w:kern w:val="24"/>
                            <w:sz w:val="28"/>
                            <w:szCs w:val="28"/>
                          </w:rPr>
                          <w:t>ETS-2</w:t>
                        </w:r>
                      </w:p>
                      <w:p w14:paraId="73BCB629" w14:textId="77777777" w:rsidR="002542B1" w:rsidRDefault="002542B1" w:rsidP="00E17A47">
                        <w:pPr>
                          <w:spacing w:after="0"/>
                          <w:jc w:val="center"/>
                          <w:rPr>
                            <w:b/>
                            <w:bCs/>
                            <w:color w:val="44546A" w:themeColor="text2"/>
                            <w:kern w:val="24"/>
                            <w:sz w:val="28"/>
                            <w:szCs w:val="28"/>
                          </w:rPr>
                        </w:pPr>
                      </w:p>
                      <w:p w14:paraId="4C054933" w14:textId="77777777" w:rsidR="002542B1" w:rsidRDefault="002542B1" w:rsidP="00E17A47">
                        <w:pPr>
                          <w:spacing w:after="0"/>
                          <w:jc w:val="center"/>
                          <w:rPr>
                            <w:b/>
                            <w:bCs/>
                            <w:color w:val="44546A" w:themeColor="text2"/>
                            <w:kern w:val="24"/>
                            <w:sz w:val="28"/>
                            <w:szCs w:val="28"/>
                          </w:rPr>
                        </w:pPr>
                      </w:p>
                      <w:p w14:paraId="008286B9" w14:textId="77777777" w:rsidR="002542B1" w:rsidRDefault="002542B1" w:rsidP="00E17A47">
                        <w:pPr>
                          <w:spacing w:after="0"/>
                          <w:jc w:val="center"/>
                          <w:rPr>
                            <w:b/>
                            <w:bCs/>
                            <w:color w:val="44546A" w:themeColor="text2"/>
                            <w:kern w:val="24"/>
                            <w:sz w:val="28"/>
                            <w:szCs w:val="28"/>
                          </w:rPr>
                        </w:pPr>
                      </w:p>
                      <w:p w14:paraId="5F43DFCB" w14:textId="77777777" w:rsidR="002542B1" w:rsidRDefault="002542B1" w:rsidP="00E17A47">
                        <w:pPr>
                          <w:spacing w:after="0"/>
                          <w:jc w:val="center"/>
                          <w:rPr>
                            <w:b/>
                            <w:bCs/>
                            <w:color w:val="44546A" w:themeColor="text2"/>
                            <w:kern w:val="24"/>
                            <w:sz w:val="28"/>
                            <w:szCs w:val="28"/>
                          </w:rPr>
                        </w:pPr>
                      </w:p>
                      <w:p w14:paraId="6A88E0DD" w14:textId="77777777" w:rsidR="002542B1" w:rsidRPr="008905D6" w:rsidRDefault="002542B1" w:rsidP="00E17A47">
                        <w:pPr>
                          <w:spacing w:after="0"/>
                          <w:jc w:val="center"/>
                          <w:rPr>
                            <w:b/>
                            <w:bCs/>
                            <w:color w:val="44546A" w:themeColor="text2"/>
                            <w:kern w:val="24"/>
                            <w:sz w:val="28"/>
                            <w:szCs w:val="28"/>
                          </w:rPr>
                        </w:pPr>
                      </w:p>
                      <w:p w14:paraId="03A83769" w14:textId="77777777" w:rsidR="00E17A47" w:rsidRPr="008905D6" w:rsidRDefault="00E17A47" w:rsidP="00E17A47">
                        <w:pPr>
                          <w:spacing w:after="0"/>
                          <w:jc w:val="center"/>
                          <w:rPr>
                            <w:b/>
                            <w:bCs/>
                            <w:color w:val="44546A" w:themeColor="text2"/>
                            <w:kern w:val="24"/>
                            <w:sz w:val="32"/>
                            <w:szCs w:val="32"/>
                          </w:rPr>
                        </w:pPr>
                      </w:p>
                      <w:p w14:paraId="2541F3FE" w14:textId="1DBD567F" w:rsidR="00E17A47" w:rsidRPr="008905D6" w:rsidRDefault="00E17A47" w:rsidP="002542B1">
                        <w:pPr>
                          <w:spacing w:after="0"/>
                          <w:rPr>
                            <w:b/>
                            <w:bCs/>
                            <w:color w:val="44546A" w:themeColor="text2"/>
                            <w:kern w:val="24"/>
                            <w:sz w:val="32"/>
                            <w:szCs w:val="32"/>
                          </w:rPr>
                        </w:pPr>
                      </w:p>
                    </w:txbxContent>
                  </v:textbox>
                </v:roundrect>
                <w10:wrap type="topAndBottom"/>
              </v:group>
            </w:pict>
          </mc:Fallback>
        </mc:AlternateContent>
      </w:r>
      <w:r w:rsidR="002542B1">
        <w:rPr>
          <w:noProof/>
        </w:rPr>
        <mc:AlternateContent>
          <mc:Choice Requires="wps">
            <w:drawing>
              <wp:anchor distT="0" distB="0" distL="114300" distR="114300" simplePos="0" relativeHeight="251632640" behindDoc="0" locked="0" layoutInCell="1" allowOverlap="1" wp14:anchorId="19031590" wp14:editId="1EF66C59">
                <wp:simplePos x="0" y="0"/>
                <wp:positionH relativeFrom="column">
                  <wp:posOffset>148903</wp:posOffset>
                </wp:positionH>
                <wp:positionV relativeFrom="paragraph">
                  <wp:posOffset>1253189</wp:posOffset>
                </wp:positionV>
                <wp:extent cx="2225040" cy="723900"/>
                <wp:effectExtent l="0" t="0" r="0" b="0"/>
                <wp:wrapTopAndBottom/>
                <wp:docPr id="1415010654" name="pole tekstowe 26"/>
                <wp:cNvGraphicFramePr/>
                <a:graphic xmlns:a="http://schemas.openxmlformats.org/drawingml/2006/main">
                  <a:graphicData uri="http://schemas.microsoft.com/office/word/2010/wordprocessingShape">
                    <wps:wsp>
                      <wps:cNvSpPr txBox="1"/>
                      <wps:spPr>
                        <a:xfrm>
                          <a:off x="0" y="0"/>
                          <a:ext cx="2225040" cy="723900"/>
                        </a:xfrm>
                        <a:prstGeom prst="rect">
                          <a:avLst/>
                        </a:prstGeom>
                        <a:noFill/>
                      </wps:spPr>
                      <wps:txbx>
                        <w:txbxContent>
                          <w:p w14:paraId="2B364376" w14:textId="4F1E2442" w:rsidR="00B377B2" w:rsidRDefault="00B377B2" w:rsidP="00B137DC">
                            <w:pPr>
                              <w:spacing w:after="0" w:line="240" w:lineRule="auto"/>
                              <w:jc w:val="center"/>
                              <w:rPr>
                                <w:b/>
                                <w:bCs/>
                                <w:color w:val="323E4F" w:themeColor="text2" w:themeShade="BF"/>
                                <w:sz w:val="60"/>
                                <w:szCs w:val="60"/>
                              </w:rPr>
                            </w:pPr>
                            <w:r w:rsidRPr="00B377B2">
                              <w:rPr>
                                <w:rFonts w:ascii="Arial" w:hAnsi="Arial" w:cs="Arial"/>
                                <w:b/>
                                <w:bCs/>
                                <w:color w:val="44546A" w:themeColor="text2"/>
                                <w:kern w:val="24"/>
                                <w:sz w:val="60"/>
                                <w:szCs w:val="60"/>
                              </w:rPr>
                              <w:t>↓</w:t>
                            </w:r>
                            <w:r w:rsidR="00055FD0">
                              <w:rPr>
                                <w:b/>
                                <w:bCs/>
                                <w:color w:val="323E4F" w:themeColor="text2" w:themeShade="BF"/>
                                <w:sz w:val="60"/>
                                <w:szCs w:val="60"/>
                              </w:rPr>
                              <w:t>50</w:t>
                            </w:r>
                            <w:r w:rsidRPr="00B377B2">
                              <w:rPr>
                                <w:b/>
                                <w:bCs/>
                                <w:color w:val="323E4F" w:themeColor="text2" w:themeShade="BF"/>
                                <w:sz w:val="60"/>
                                <w:szCs w:val="60"/>
                              </w:rPr>
                              <w:t>%</w:t>
                            </w:r>
                            <w:r w:rsidR="003768A4">
                              <w:rPr>
                                <w:b/>
                                <w:bCs/>
                                <w:color w:val="323E4F" w:themeColor="text2" w:themeShade="BF"/>
                                <w:sz w:val="60"/>
                                <w:szCs w:val="60"/>
                              </w:rPr>
                              <w:t xml:space="preserve"> łącznie</w:t>
                            </w:r>
                          </w:p>
                          <w:p w14:paraId="6F91EC43" w14:textId="13108536" w:rsidR="00B137DC" w:rsidRPr="00B137DC" w:rsidRDefault="00B137DC" w:rsidP="00B137DC">
                            <w:pPr>
                              <w:spacing w:after="0" w:line="240" w:lineRule="auto"/>
                              <w:rPr>
                                <w:b/>
                                <w:bCs/>
                                <w:color w:val="323E4F" w:themeColor="text2" w:themeShade="BF"/>
                                <w:sz w:val="28"/>
                                <w:szCs w:val="28"/>
                                <w14:ligatures w14:val="none"/>
                              </w:rPr>
                            </w:pPr>
                            <w:r>
                              <w:rPr>
                                <w:b/>
                                <w:bCs/>
                                <w:color w:val="323E4F" w:themeColor="text2" w:themeShade="BF"/>
                                <w:sz w:val="28"/>
                                <w:szCs w:val="28"/>
                              </w:rPr>
                              <w:t xml:space="preserve">             </w:t>
                            </w:r>
                          </w:p>
                        </w:txbxContent>
                      </wps:txbx>
                      <wps:bodyPr wrap="none" lIns="0" tIns="0" rIns="0" bIns="0">
                        <a:noAutofit/>
                      </wps:bodyPr>
                    </wps:wsp>
                  </a:graphicData>
                </a:graphic>
              </wp:anchor>
            </w:drawing>
          </mc:Choice>
          <mc:Fallback>
            <w:pict>
              <v:shape w14:anchorId="19031590" id="pole tekstowe 26" o:spid="_x0000_s1068" type="#_x0000_t202" style="position:absolute;left:0;text-align:left;margin-left:11.7pt;margin-top:98.7pt;width:175.2pt;height:57pt;z-index:25163264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" filled="f" stroked="f">
                <v:textbox inset="0,0,0,0">
                  <w:txbxContent>
                    <w:p w14:paraId="2B364376" w14:textId="4F1E2442" w:rsidR="00B377B2" w:rsidRDefault="00B377B2" w:rsidP="00B137DC">
                      <w:pPr>
                        <w:spacing w:after="0" w:line="240" w:lineRule="auto"/>
                        <w:jc w:val="center"/>
                        <w:rPr>
                          <w:b/>
                          <w:bCs/>
                          <w:color w:val="323E4F" w:themeColor="text2" w:themeShade="BF"/>
                          <w:sz w:val="60"/>
                          <w:szCs w:val="60"/>
                        </w:rPr>
                      </w:pPr>
                      <w:r w:rsidRPr="00B377B2">
                        <w:rPr>
                          <w:rFonts w:ascii="Arial" w:hAnsi="Arial" w:cs="Arial"/>
                          <w:b/>
                          <w:bCs/>
                          <w:color w:val="44546A" w:themeColor="text2"/>
                          <w:kern w:val="24"/>
                          <w:sz w:val="60"/>
                          <w:szCs w:val="60"/>
                        </w:rPr>
                        <w:t>↓</w:t>
                      </w:r>
                      <w:r w:rsidR="00055FD0">
                        <w:rPr>
                          <w:b/>
                          <w:bCs/>
                          <w:color w:val="323E4F" w:themeColor="text2" w:themeShade="BF"/>
                          <w:sz w:val="60"/>
                          <w:szCs w:val="60"/>
                        </w:rPr>
                        <w:t>50</w:t>
                      </w:r>
                      <w:r w:rsidRPr="00B377B2">
                        <w:rPr>
                          <w:b/>
                          <w:bCs/>
                          <w:color w:val="323E4F" w:themeColor="text2" w:themeShade="BF"/>
                          <w:sz w:val="60"/>
                          <w:szCs w:val="60"/>
                        </w:rPr>
                        <w:t>%</w:t>
                      </w:r>
                      <w:r w:rsidR="003768A4">
                        <w:rPr>
                          <w:b/>
                          <w:bCs/>
                          <w:color w:val="323E4F" w:themeColor="text2" w:themeShade="BF"/>
                          <w:sz w:val="60"/>
                          <w:szCs w:val="60"/>
                        </w:rPr>
                        <w:t xml:space="preserve"> łącznie</w:t>
                      </w:r>
                    </w:p>
                    <w:p w14:paraId="6F91EC43" w14:textId="13108536" w:rsidR="00B137DC" w:rsidRPr="00B137DC" w:rsidRDefault="00B137DC" w:rsidP="00B137DC">
                      <w:pPr>
                        <w:spacing w:after="0" w:line="240" w:lineRule="auto"/>
                        <w:rPr>
                          <w:b/>
                          <w:bCs/>
                          <w:color w:val="323E4F" w:themeColor="text2" w:themeShade="BF"/>
                          <w:sz w:val="28"/>
                          <w:szCs w:val="28"/>
                          <w14:ligatures w14:val="none"/>
                        </w:rPr>
                      </w:pPr>
                      <w:r>
                        <w:rPr>
                          <w:b/>
                          <w:bCs/>
                          <w:color w:val="323E4F" w:themeColor="text2" w:themeShade="BF"/>
                          <w:sz w:val="28"/>
                          <w:szCs w:val="28"/>
                        </w:rPr>
                        <w:t xml:space="preserve">             </w:t>
                      </w:r>
                    </w:p>
                  </w:txbxContent>
                </v:textbox>
                <w10:wrap type="topAndBottom"/>
              </v:shape>
            </w:pict>
          </mc:Fallback>
        </mc:AlternateContent>
      </w:r>
      <w:r w:rsidR="009A021C">
        <w:t>Wykorzystanie paliw kopalnych w tych sektorach będzie obciążone kosztem uprawnień do emisji CO</w:t>
      </w:r>
      <w:r w:rsidR="009A021C" w:rsidRPr="001A45B6">
        <w:rPr>
          <w:vertAlign w:val="subscript"/>
        </w:rPr>
        <w:t>2</w:t>
      </w:r>
      <w:r w:rsidR="009A021C">
        <w:t xml:space="preserve">. Będzie to stanowić zachętę do ograniczania ich zużycia, </w:t>
      </w:r>
      <w:r w:rsidR="00B61AA4">
        <w:t>przy czym należy kontrolować</w:t>
      </w:r>
      <w:r w:rsidR="009A021C">
        <w:t xml:space="preserve"> ryzyko</w:t>
      </w:r>
      <w:r w:rsidR="001B49A5">
        <w:t xml:space="preserve"> wzrost</w:t>
      </w:r>
      <w:r w:rsidR="00B61AA4">
        <w:t>u</w:t>
      </w:r>
      <w:r w:rsidR="001B49A5">
        <w:t xml:space="preserve"> cen oraz</w:t>
      </w:r>
      <w:r w:rsidR="009A021C">
        <w:t xml:space="preserve"> pogłębienia ubóstwa</w:t>
      </w:r>
      <w:r w:rsidR="001B49A5">
        <w:t xml:space="preserve"> (w tym energetycznego)</w:t>
      </w:r>
      <w:r w:rsidR="009A021C">
        <w:t>. Zmian</w:t>
      </w:r>
      <w:r w:rsidR="00086894">
        <w:t>ę</w:t>
      </w:r>
      <w:r w:rsidR="009A021C">
        <w:t xml:space="preserve"> paliwow</w:t>
      </w:r>
      <w:r w:rsidR="00086894">
        <w:t>ą utrudniać będą także</w:t>
      </w:r>
      <w:r w:rsidR="009A021C">
        <w:t xml:space="preserve"> barier</w:t>
      </w:r>
      <w:r w:rsidR="00086894">
        <w:t>y</w:t>
      </w:r>
      <w:r w:rsidR="009A021C">
        <w:t xml:space="preserve"> techniczn</w:t>
      </w:r>
      <w:r w:rsidR="00086894">
        <w:t>e</w:t>
      </w:r>
      <w:r w:rsidR="001B49A5">
        <w:t>,</w:t>
      </w:r>
      <w:r w:rsidR="009A021C">
        <w:t xml:space="preserve"> ekonomiczn</w:t>
      </w:r>
      <w:r w:rsidR="00086894">
        <w:t>e</w:t>
      </w:r>
      <w:r w:rsidR="001B49A5">
        <w:t xml:space="preserve"> i społeczne</w:t>
      </w:r>
      <w:r w:rsidR="00086894">
        <w:t>.</w:t>
      </w:r>
    </w:p>
    <w:p w14:paraId="07C331EC" w14:textId="63F7254D" w:rsidR="00B377B2" w:rsidRDefault="00B377B2" w:rsidP="006404A9">
      <w:pPr>
        <w:pStyle w:val="Bezodstpw"/>
      </w:pPr>
    </w:p>
    <w:p w14:paraId="39C11828" w14:textId="3ABFF628" w:rsidR="003C194F" w:rsidRDefault="000E240E" w:rsidP="00313DE1">
      <w:pPr>
        <w:pStyle w:val="Polityka"/>
      </w:pPr>
      <w:r w:rsidRPr="00D73A43">
        <w:t>POLITYKA</w:t>
      </w:r>
    </w:p>
    <w:p w14:paraId="3281E8DF" w14:textId="005887D4" w:rsidR="00112AFA" w:rsidRDefault="000E240E" w:rsidP="00470030">
      <w:pPr>
        <w:spacing w:after="80"/>
      </w:pPr>
      <w:r>
        <w:t xml:space="preserve">Cel redukcyjny w zakresie </w:t>
      </w:r>
      <w:r w:rsidR="00C46DAA" w:rsidRPr="00C46DAA">
        <w:rPr>
          <w:b/>
          <w:bCs/>
        </w:rPr>
        <w:t xml:space="preserve">sektorów </w:t>
      </w:r>
      <w:r w:rsidRPr="00C46DAA">
        <w:rPr>
          <w:b/>
          <w:bCs/>
        </w:rPr>
        <w:t>non-ETS</w:t>
      </w:r>
      <w:r>
        <w:t xml:space="preserve"> będzie realizowany w oparciu o polityki i działania w poszczególnych sektorach objętych wspólnym wysiłkiem redukcyjnym, co opisane zostało poniżej. O</w:t>
      </w:r>
      <w:r w:rsidR="00A05B82">
        <w:t> </w:t>
      </w:r>
      <w:r>
        <w:t xml:space="preserve">ile zajdzie taka potrzeba, Polska będzie </w:t>
      </w:r>
      <w:r w:rsidR="00112AFA">
        <w:t xml:space="preserve">wykorzystywać mechanizmy elastyczności, które zostały przewidziane w rozporządzeniu ESR: </w:t>
      </w:r>
    </w:p>
    <w:p w14:paraId="5C614313" w14:textId="77777777" w:rsidR="00112AFA" w:rsidRDefault="00112AFA" w:rsidP="008340D5">
      <w:pPr>
        <w:pStyle w:val="Akapitzlist"/>
        <w:numPr>
          <w:ilvl w:val="0"/>
          <w:numId w:val="5"/>
        </w:numPr>
      </w:pPr>
      <w:r>
        <w:t xml:space="preserve">elastyczność LULUCF (art. 7); </w:t>
      </w:r>
    </w:p>
    <w:p w14:paraId="4FF1BE7A" w14:textId="0B635D6C" w:rsidR="00112AFA" w:rsidRDefault="00112AFA" w:rsidP="008340D5">
      <w:pPr>
        <w:pStyle w:val="Akapitzlist"/>
        <w:numPr>
          <w:ilvl w:val="0"/>
          <w:numId w:val="5"/>
        </w:numPr>
      </w:pPr>
      <w:r>
        <w:t xml:space="preserve">wykorzystanie mechanizmu dostosowania </w:t>
      </w:r>
      <w:r w:rsidR="009D13E1">
        <w:t>–</w:t>
      </w:r>
      <w:r>
        <w:t xml:space="preserve"> pozyskania dodatkowej puli (art. 10 ust. 2); </w:t>
      </w:r>
    </w:p>
    <w:p w14:paraId="5F05E500" w14:textId="213E4EA0" w:rsidR="00112AFA" w:rsidRDefault="00112AFA" w:rsidP="008340D5">
      <w:pPr>
        <w:pStyle w:val="Akapitzlist"/>
        <w:numPr>
          <w:ilvl w:val="0"/>
          <w:numId w:val="5"/>
        </w:numPr>
      </w:pPr>
      <w:r>
        <w:t>przenoszenie, pożyczanie i transferowanie jednostek AEA</w:t>
      </w:r>
      <w:r w:rsidR="00726240">
        <w:t xml:space="preserve"> (ang. </w:t>
      </w:r>
      <w:r w:rsidR="00726240" w:rsidRPr="00726240">
        <w:t>Annual Emission Allocatio</w:t>
      </w:r>
      <w:r w:rsidR="00726240">
        <w:t xml:space="preserve">n) </w:t>
      </w:r>
      <w:r>
        <w:t>(art.</w:t>
      </w:r>
      <w:r w:rsidR="00B45C43">
        <w:t> </w:t>
      </w:r>
      <w:r>
        <w:t>5)</w:t>
      </w:r>
      <w:r w:rsidR="00726240">
        <w:t>, czyli krajowych limitów emisji w non-ETS</w:t>
      </w:r>
      <w:r>
        <w:t xml:space="preserve">; </w:t>
      </w:r>
    </w:p>
    <w:p w14:paraId="431DA685" w14:textId="34F553B7" w:rsidR="000E240E" w:rsidRDefault="00112AFA" w:rsidP="008340D5">
      <w:pPr>
        <w:pStyle w:val="Akapitzlist"/>
        <w:numPr>
          <w:ilvl w:val="0"/>
          <w:numId w:val="5"/>
        </w:numPr>
      </w:pPr>
      <w:r>
        <w:t>wykorzystanie rezerwy bezpieczeństwa (art. 11)</w:t>
      </w:r>
      <w:r w:rsidR="00E615F8">
        <w:t>.</w:t>
      </w:r>
    </w:p>
    <w:p w14:paraId="3E97DB31" w14:textId="13F1F7EC" w:rsidR="00470030" w:rsidRDefault="00112AFA" w:rsidP="000E240E">
      <w:r>
        <w:t xml:space="preserve">W odniesieniu do kontrybucji Polski </w:t>
      </w:r>
      <w:r w:rsidR="00827A1D">
        <w:t>do</w:t>
      </w:r>
      <w:r>
        <w:t xml:space="preserve"> ogólnounijnych cel</w:t>
      </w:r>
      <w:r w:rsidR="00827A1D">
        <w:t>ów</w:t>
      </w:r>
      <w:r>
        <w:t xml:space="preserve"> redukcji emisji GC </w:t>
      </w:r>
      <w:r w:rsidRPr="00C46DAA">
        <w:rPr>
          <w:b/>
          <w:bCs/>
        </w:rPr>
        <w:t>w sektorach objętych EU ETS</w:t>
      </w:r>
      <w:r>
        <w:t>, kluczowym mechanizmem jest udział tych sektorów w systemie</w:t>
      </w:r>
      <w:r w:rsidR="00C46DAA">
        <w:t xml:space="preserve">. Chęć uniknięcia kosztów zakupu uprawnień do emisji stanowi motywację do realizacji inwestycji skutkujących redukcją emisji. Ponadto dodatkowe cele szczegółowe określone dla poszczególnych sektorów będą wpływać na spadek emisji odnoszący się do całościowego wkładu redukcyjnego sektorów EU ETS. </w:t>
      </w:r>
    </w:p>
    <w:p w14:paraId="638A054B" w14:textId="5C777999" w:rsidR="000E240E" w:rsidRPr="002B387F" w:rsidRDefault="001A45B6" w:rsidP="000E240E">
      <w:r>
        <w:t xml:space="preserve">Kontrybucja do ogólnounijnego celu </w:t>
      </w:r>
      <w:r w:rsidRPr="006D6589">
        <w:rPr>
          <w:b/>
          <w:bCs/>
        </w:rPr>
        <w:t xml:space="preserve">w sektorach </w:t>
      </w:r>
      <w:r w:rsidR="006C780A" w:rsidRPr="00463BD0">
        <w:t>transportu drogowego i ogrzewania budynków</w:t>
      </w:r>
      <w:r w:rsidR="006C780A">
        <w:t xml:space="preserve"> –</w:t>
      </w:r>
      <w:r w:rsidR="006C780A">
        <w:rPr>
          <w:b/>
          <w:bCs/>
        </w:rPr>
        <w:t xml:space="preserve"> objętych </w:t>
      </w:r>
      <w:r w:rsidRPr="006D6589">
        <w:rPr>
          <w:b/>
          <w:bCs/>
        </w:rPr>
        <w:t>EU ETS-2</w:t>
      </w:r>
      <w:r>
        <w:t xml:space="preserve"> będzie odbywać się</w:t>
      </w:r>
      <w:r w:rsidR="006D6589">
        <w:t xml:space="preserve"> </w:t>
      </w:r>
      <w:r w:rsidR="006C780A">
        <w:t xml:space="preserve">w szczególności </w:t>
      </w:r>
      <w:r w:rsidR="006D6589">
        <w:t>przez</w:t>
      </w:r>
      <w:r w:rsidR="00D73A43">
        <w:t xml:space="preserve"> udział w tym systemie. Motywacja </w:t>
      </w:r>
      <w:r w:rsidR="00D73A43">
        <w:lastRenderedPageBreak/>
        <w:t>do</w:t>
      </w:r>
      <w:r w:rsidR="0095574F">
        <w:t> </w:t>
      </w:r>
      <w:r w:rsidR="00D73A43">
        <w:t xml:space="preserve">redukcji emisji </w:t>
      </w:r>
      <w:r w:rsidR="006C780A">
        <w:t xml:space="preserve">GC </w:t>
      </w:r>
      <w:r w:rsidR="00D73A43">
        <w:t>w tych sektorach wynika także z potrzeby realizacji innych celów kli</w:t>
      </w:r>
      <w:r w:rsidR="00A05B82">
        <w:t>ma</w:t>
      </w:r>
      <w:r w:rsidR="00D73A43">
        <w:t xml:space="preserve">tyczno-energetycznych. </w:t>
      </w:r>
      <w:r w:rsidR="000E240E">
        <w:rPr>
          <w:i/>
          <w:iCs/>
        </w:rPr>
        <w:t>Uszczegółowienie stanowią polityki i</w:t>
      </w:r>
      <w:r w:rsidR="00C46DAA">
        <w:rPr>
          <w:i/>
          <w:iCs/>
        </w:rPr>
        <w:t> </w:t>
      </w:r>
      <w:r w:rsidR="000E240E">
        <w:rPr>
          <w:i/>
          <w:iCs/>
        </w:rPr>
        <w:t xml:space="preserve">działania wskazane przy kolejnych celach </w:t>
      </w:r>
      <w:r w:rsidR="00112AFA">
        <w:rPr>
          <w:i/>
          <w:iCs/>
        </w:rPr>
        <w:t>sektorowych</w:t>
      </w:r>
      <w:r w:rsidR="00C46DAA">
        <w:rPr>
          <w:i/>
          <w:iCs/>
        </w:rPr>
        <w:t>.</w:t>
      </w:r>
      <w:r w:rsidR="000E240E">
        <w:rPr>
          <w:i/>
          <w:iCs/>
        </w:rPr>
        <w:t xml:space="preserve"> </w:t>
      </w:r>
    </w:p>
    <w:p w14:paraId="40FA0B4D" w14:textId="77777777" w:rsidR="000E240E" w:rsidRPr="00C46DAA" w:rsidRDefault="000E240E" w:rsidP="00313DE1">
      <w:pPr>
        <w:pStyle w:val="Polityka"/>
      </w:pPr>
      <w:r w:rsidRPr="00C46DAA">
        <w:t>DZIAŁANIA:</w:t>
      </w:r>
    </w:p>
    <w:p w14:paraId="44D11645" w14:textId="77777777" w:rsidR="00112AFA" w:rsidRDefault="00112AFA" w:rsidP="00112AFA">
      <w:r>
        <w:rPr>
          <w:i/>
          <w:iCs/>
        </w:rPr>
        <w:t>Do realizacji celu ogólnego przyczyniać się będą działania wskazane przy kolejnych celach szczegółowych, odnoszących się właściwych sektorów.</w:t>
      </w:r>
    </w:p>
    <w:p w14:paraId="76A029F8" w14:textId="1ACAC97A" w:rsidR="007754E2" w:rsidRPr="00F11157" w:rsidRDefault="00B023C0" w:rsidP="007754E2">
      <w:pPr>
        <w:pStyle w:val="Nagwek4"/>
        <w:rPr>
          <w:color w:val="70AD47" w:themeColor="accent6"/>
        </w:rPr>
      </w:pPr>
      <w:bookmarkStart w:id="32" w:name="_Hlk156765480"/>
      <w:bookmarkStart w:id="33" w:name="_Toc159598287"/>
      <w:bookmarkStart w:id="34" w:name="_Toc179536935"/>
      <w:bookmarkStart w:id="35" w:name="_Hlk156765491"/>
      <w:r>
        <w:rPr>
          <w:color w:val="70AD47" w:themeColor="accent6"/>
        </w:rPr>
        <w:t>Wzrost</w:t>
      </w:r>
      <w:r w:rsidR="007754E2" w:rsidRPr="00F11157">
        <w:rPr>
          <w:color w:val="70AD47" w:themeColor="accent6"/>
        </w:rPr>
        <w:t xml:space="preserve"> udziału OZE w finalnym zużyciu energii brutto</w:t>
      </w:r>
      <w:r w:rsidR="007754E2">
        <w:rPr>
          <w:color w:val="70AD47" w:themeColor="accent6"/>
        </w:rPr>
        <w:t xml:space="preserve"> ogółem</w:t>
      </w:r>
      <w:r w:rsidR="00D307C3">
        <w:rPr>
          <w:color w:val="70AD47" w:themeColor="accent6"/>
        </w:rPr>
        <w:t xml:space="preserve"> </w:t>
      </w:r>
      <w:bookmarkEnd w:id="32"/>
      <w:r w:rsidR="00D307C3">
        <w:rPr>
          <w:color w:val="70AD47" w:themeColor="accent6"/>
        </w:rPr>
        <w:t>(cel ogólny)</w:t>
      </w:r>
      <w:bookmarkEnd w:id="33"/>
      <w:bookmarkEnd w:id="34"/>
    </w:p>
    <w:bookmarkEnd w:id="35"/>
    <w:p w14:paraId="3571E7D5" w14:textId="276D72CB" w:rsidR="00C24471" w:rsidRDefault="008F02EE" w:rsidP="007754E2">
      <w:r>
        <w:t>D</w:t>
      </w:r>
      <w:r w:rsidR="00554E84">
        <w:t>yrektywa 2018/</w:t>
      </w:r>
      <w:r w:rsidR="00936B2E">
        <w:t>2001/UE</w:t>
      </w:r>
      <w:r w:rsidR="00554E84">
        <w:t xml:space="preserve"> (dyrektywa RED II) przewidywała, że udział OZE w</w:t>
      </w:r>
      <w:r>
        <w:t> </w:t>
      </w:r>
      <w:r w:rsidR="00554E84">
        <w:t>końcowym zużyciu energii brutto będzie wynosił 32%</w:t>
      </w:r>
      <w:r w:rsidR="00246140">
        <w:t xml:space="preserve"> w 2030 r.</w:t>
      </w:r>
      <w:r w:rsidR="00A26E30">
        <w:rPr>
          <w:rStyle w:val="Odwoanieprzypisudolnego"/>
        </w:rPr>
        <w:footnoteReference w:id="11"/>
      </w:r>
      <w:r w:rsidR="00554E84">
        <w:t xml:space="preserve">, a każde państwo członkowskie </w:t>
      </w:r>
      <w:r w:rsidR="00A05B82">
        <w:t>miało</w:t>
      </w:r>
      <w:r w:rsidR="00D349DE">
        <w:t xml:space="preserve"> wnosić</w:t>
      </w:r>
      <w:r w:rsidR="00554E84">
        <w:t xml:space="preserve"> swój wkład</w:t>
      </w:r>
      <w:r w:rsidR="00D349DE">
        <w:t xml:space="preserve"> krajowy</w:t>
      </w:r>
      <w:r w:rsidR="00554E84">
        <w:t xml:space="preserve">. </w:t>
      </w:r>
      <w:r w:rsidR="00C24471">
        <w:t>W KPEiK</w:t>
      </w:r>
      <w:r w:rsidR="00A26E30">
        <w:t xml:space="preserve"> z 2019 r.</w:t>
      </w:r>
      <w:r w:rsidR="00C24471">
        <w:t xml:space="preserve"> Polska zadeklarowała kontrybucję do celu UE przez osiągnięcie udziału OZE na</w:t>
      </w:r>
      <w:r w:rsidR="00A05B82">
        <w:t> </w:t>
      </w:r>
      <w:r w:rsidR="00C24471">
        <w:t>poziomie 21–23% w 2030 r.</w:t>
      </w:r>
      <w:r w:rsidRPr="008F02EE">
        <w:rPr>
          <w:rStyle w:val="Odwoanieprzypisudolnego"/>
        </w:rPr>
        <w:t xml:space="preserve"> </w:t>
      </w:r>
    </w:p>
    <w:p w14:paraId="5781E0BA" w14:textId="4BA6BA89" w:rsidR="00554E84" w:rsidRDefault="00336579" w:rsidP="007754E2">
      <w:r>
        <w:t>A</w:t>
      </w:r>
      <w:r w:rsidR="00246140">
        <w:t>mbicj</w:t>
      </w:r>
      <w:r>
        <w:t xml:space="preserve">e UE zostały zrewidowane </w:t>
      </w:r>
      <w:r w:rsidR="00246140">
        <w:t>w ramach pakietu regulacji</w:t>
      </w:r>
      <w:r w:rsidR="00A05B82">
        <w:t xml:space="preserve"> </w:t>
      </w:r>
      <w:r w:rsidR="00A05B82" w:rsidRPr="00A05B82">
        <w:rPr>
          <w:i/>
          <w:iCs/>
        </w:rPr>
        <w:t xml:space="preserve">Fit for 55 </w:t>
      </w:r>
      <w:r w:rsidR="00AC3BAF">
        <w:rPr>
          <w:i/>
          <w:iCs/>
        </w:rPr>
        <w:t>–</w:t>
      </w:r>
      <w:r w:rsidR="00246140">
        <w:t xml:space="preserve"> </w:t>
      </w:r>
      <w:r w:rsidR="00246140">
        <w:rPr>
          <w:i/>
          <w:iCs/>
        </w:rPr>
        <w:t>Gotowi na 55</w:t>
      </w:r>
      <w:r w:rsidR="009E4C24" w:rsidRPr="009E4C24">
        <w:t>.</w:t>
      </w:r>
      <w:r w:rsidR="00C24471">
        <w:t xml:space="preserve"> Pierwsza propozycja wskazywała cel na poziomie 40%, a finalnie </w:t>
      </w:r>
      <w:r w:rsidR="00A26E30">
        <w:t xml:space="preserve">w </w:t>
      </w:r>
      <w:r w:rsidR="00C24471">
        <w:t>dyrektyw</w:t>
      </w:r>
      <w:r w:rsidR="00A26E30">
        <w:t>ie</w:t>
      </w:r>
      <w:r w:rsidR="00C24471">
        <w:t xml:space="preserve"> 2023/2415</w:t>
      </w:r>
      <w:r w:rsidR="00936B2E">
        <w:t>/UE</w:t>
      </w:r>
      <w:r w:rsidR="00C24471">
        <w:t xml:space="preserve"> </w:t>
      </w:r>
      <w:r w:rsidR="000A5A45">
        <w:t>(dyrektywa RED III)</w:t>
      </w:r>
      <w:r w:rsidR="00A26E30">
        <w:t xml:space="preserve"> określono</w:t>
      </w:r>
      <w:r>
        <w:t xml:space="preserve"> </w:t>
      </w:r>
      <w:r w:rsidR="00246140" w:rsidRPr="00336579">
        <w:rPr>
          <w:b/>
          <w:bCs/>
        </w:rPr>
        <w:t xml:space="preserve">cel </w:t>
      </w:r>
      <w:r w:rsidR="00C24471">
        <w:rPr>
          <w:b/>
          <w:bCs/>
        </w:rPr>
        <w:t xml:space="preserve">udziału </w:t>
      </w:r>
      <w:r>
        <w:rPr>
          <w:b/>
          <w:bCs/>
        </w:rPr>
        <w:t xml:space="preserve">OZE </w:t>
      </w:r>
      <w:r w:rsidR="00C24471">
        <w:rPr>
          <w:b/>
          <w:bCs/>
        </w:rPr>
        <w:t>w końcowym zużyciu energii brutto w</w:t>
      </w:r>
      <w:r>
        <w:rPr>
          <w:b/>
          <w:bCs/>
        </w:rPr>
        <w:t xml:space="preserve"> </w:t>
      </w:r>
      <w:r w:rsidR="00246140" w:rsidRPr="00336579">
        <w:rPr>
          <w:b/>
          <w:bCs/>
        </w:rPr>
        <w:t xml:space="preserve">UE </w:t>
      </w:r>
      <w:r w:rsidR="00C24471">
        <w:rPr>
          <w:b/>
          <w:bCs/>
        </w:rPr>
        <w:t>na poziomie</w:t>
      </w:r>
      <w:r w:rsidR="00246140" w:rsidRPr="00336579">
        <w:rPr>
          <w:b/>
          <w:bCs/>
        </w:rPr>
        <w:t xml:space="preserve"> 42,5% w 2030 r.</w:t>
      </w:r>
      <w:r w:rsidR="00A26E30">
        <w:rPr>
          <w:rStyle w:val="Odwoanieprzypisudolnego"/>
          <w:b/>
          <w:bCs/>
        </w:rPr>
        <w:footnoteReference w:id="12"/>
      </w:r>
      <w:r w:rsidRPr="00336579">
        <w:t xml:space="preserve">, </w:t>
      </w:r>
      <w:r>
        <w:t>ale dodatkowo realizacja RePowerUE powinna przyczynić się do zwiększenia udziału OZE o dodatkowe 2,5 pkt proc.</w:t>
      </w:r>
      <w:r w:rsidR="00A26E30">
        <w:t xml:space="preserve">, dlatego </w:t>
      </w:r>
      <w:r w:rsidR="00B023C0">
        <w:rPr>
          <w:b/>
          <w:bCs/>
        </w:rPr>
        <w:t>UE będzie</w:t>
      </w:r>
      <w:r w:rsidR="00A26E30" w:rsidRPr="00A26E30">
        <w:rPr>
          <w:b/>
          <w:bCs/>
        </w:rPr>
        <w:t xml:space="preserve"> dążyć do poziomu 45%</w:t>
      </w:r>
      <w:r w:rsidR="00A26E30">
        <w:t>.</w:t>
      </w:r>
      <w:r>
        <w:t xml:space="preserve"> Również w tym przypadku nie zostały wskazane cele </w:t>
      </w:r>
      <w:r w:rsidR="00C24471">
        <w:t xml:space="preserve">indywidualne </w:t>
      </w:r>
      <w:r>
        <w:t>dla państw</w:t>
      </w:r>
      <w:r w:rsidR="00C24471">
        <w:t xml:space="preserve"> członkowskich, ale </w:t>
      </w:r>
      <w:r w:rsidR="00C24471" w:rsidRPr="003D1AD6">
        <w:rPr>
          <w:i/>
          <w:iCs/>
        </w:rPr>
        <w:t>Ocena wpływu regulacji</w:t>
      </w:r>
      <w:r w:rsidR="003D1AD6">
        <w:rPr>
          <w:rStyle w:val="Odwoanieprzypisudolnego"/>
        </w:rPr>
        <w:footnoteReference w:id="13"/>
      </w:r>
      <w:r w:rsidR="00C24471">
        <w:t xml:space="preserve"> dla </w:t>
      </w:r>
      <w:r w:rsidR="003D1AD6">
        <w:t xml:space="preserve">projektu </w:t>
      </w:r>
      <w:r w:rsidR="00C24471">
        <w:t>RED III</w:t>
      </w:r>
      <w:r w:rsidR="003D1AD6">
        <w:t xml:space="preserve"> </w:t>
      </w:r>
      <w:r w:rsidR="00C24471">
        <w:t>wskazała, że orientacyjnie Polska powinna osiągnąć 31</w:t>
      </w:r>
      <w:r w:rsidR="00527548">
        <w:t>-32</w:t>
      </w:r>
      <w:r w:rsidR="00C24471">
        <w:t>%</w:t>
      </w:r>
      <w:r w:rsidR="00B023C0">
        <w:t xml:space="preserve"> </w:t>
      </w:r>
      <w:r w:rsidR="00A05B82">
        <w:t xml:space="preserve">udziału OZE w finalnym zużyciu energii brutto </w:t>
      </w:r>
      <w:r w:rsidR="00B023C0">
        <w:t>(</w:t>
      </w:r>
      <w:r w:rsidR="00A05B82">
        <w:t xml:space="preserve">obliczenia </w:t>
      </w:r>
      <w:r w:rsidR="00B023C0">
        <w:t>wykonan</w:t>
      </w:r>
      <w:r w:rsidR="00A05B82">
        <w:t>e</w:t>
      </w:r>
      <w:r w:rsidR="00B023C0">
        <w:t xml:space="preserve"> na etapie propozycji celu UE – 40%)</w:t>
      </w:r>
      <w:r w:rsidR="003D1AD6">
        <w:t>.</w:t>
      </w:r>
    </w:p>
    <w:p w14:paraId="63A77590" w14:textId="19E7788B" w:rsidR="007754E2" w:rsidRPr="008B1E6B" w:rsidRDefault="003D1AD6" w:rsidP="00575331">
      <w:pPr>
        <w:pStyle w:val="Cele"/>
        <w:rPr>
          <w:rStyle w:val="CeleZnak"/>
        </w:rPr>
      </w:pPr>
      <w:bookmarkStart w:id="36" w:name="_Hlk156765850"/>
      <w:r w:rsidRPr="003D1AD6">
        <w:t>Po przeprowadzeniu analiz prognostycznych</w:t>
      </w:r>
      <w:r>
        <w:rPr>
          <w:b/>
          <w:bCs/>
        </w:rPr>
        <w:t xml:space="preserve"> </w:t>
      </w:r>
      <w:r w:rsidR="007754E2" w:rsidRPr="00575331">
        <w:rPr>
          <w:b/>
          <w:bCs/>
        </w:rPr>
        <w:t>Polska deklaruje osiągni</w:t>
      </w:r>
      <w:r>
        <w:rPr>
          <w:b/>
          <w:bCs/>
        </w:rPr>
        <w:t>ę</w:t>
      </w:r>
      <w:r w:rsidR="007754E2" w:rsidRPr="00575331">
        <w:rPr>
          <w:b/>
          <w:bCs/>
        </w:rPr>
        <w:t xml:space="preserve">cie do 2030 r. </w:t>
      </w:r>
      <w:r w:rsidR="00BF2449">
        <w:rPr>
          <w:b/>
          <w:bCs/>
        </w:rPr>
        <w:t>32,6</w:t>
      </w:r>
      <w:r w:rsidR="00280B01">
        <w:rPr>
          <w:b/>
          <w:bCs/>
        </w:rPr>
        <w:t>%</w:t>
      </w:r>
      <w:r w:rsidR="007754E2" w:rsidRPr="00575331">
        <w:rPr>
          <w:b/>
          <w:bCs/>
        </w:rPr>
        <w:t xml:space="preserve"> udziału OZE w </w:t>
      </w:r>
      <w:r>
        <w:rPr>
          <w:b/>
          <w:bCs/>
        </w:rPr>
        <w:t>końcowym</w:t>
      </w:r>
      <w:r w:rsidR="007754E2" w:rsidRPr="00575331">
        <w:rPr>
          <w:b/>
          <w:bCs/>
        </w:rPr>
        <w:t xml:space="preserve"> zużyciu energii brutto</w:t>
      </w:r>
      <w:r w:rsidRPr="003D1AD6">
        <w:t>, jako wkład w realizację nowego ogólnounijnego celu na 2030 r</w:t>
      </w:r>
      <w:r w:rsidR="00CF407B" w:rsidRPr="003D1AD6">
        <w:t xml:space="preserve">. </w:t>
      </w:r>
      <w:r w:rsidR="00CF407B" w:rsidRPr="003D1AD6">
        <w:rPr>
          <w:rStyle w:val="CeleZnak"/>
        </w:rPr>
        <w:t>Na</w:t>
      </w:r>
      <w:r w:rsidR="00A05B82">
        <w:rPr>
          <w:rStyle w:val="CeleZnak"/>
        </w:rPr>
        <w:t> </w:t>
      </w:r>
      <w:r w:rsidR="00CF407B" w:rsidRPr="003D1AD6">
        <w:rPr>
          <w:rStyle w:val="CeleZnak"/>
        </w:rPr>
        <w:t>realizację tego celu s</w:t>
      </w:r>
      <w:r w:rsidR="00CF407B" w:rsidRPr="00575331">
        <w:rPr>
          <w:rStyle w:val="CeleZnak"/>
        </w:rPr>
        <w:t>kłada</w:t>
      </w:r>
      <w:r>
        <w:rPr>
          <w:rStyle w:val="CeleZnak"/>
        </w:rPr>
        <w:t>ć</w:t>
      </w:r>
      <w:r w:rsidR="00CF407B" w:rsidRPr="00575331">
        <w:rPr>
          <w:rStyle w:val="CeleZnak"/>
        </w:rPr>
        <w:t xml:space="preserve"> się</w:t>
      </w:r>
      <w:r>
        <w:rPr>
          <w:rStyle w:val="CeleZnak"/>
        </w:rPr>
        <w:t xml:space="preserve"> będzie</w:t>
      </w:r>
      <w:r w:rsidR="00CF407B" w:rsidRPr="00575331">
        <w:rPr>
          <w:rStyle w:val="CeleZnak"/>
        </w:rPr>
        <w:t xml:space="preserve"> </w:t>
      </w:r>
      <w:r w:rsidR="007754E2" w:rsidRPr="00575331">
        <w:rPr>
          <w:rStyle w:val="CeleZnak"/>
        </w:rPr>
        <w:t xml:space="preserve">zużycie </w:t>
      </w:r>
      <w:r w:rsidR="00CF407B" w:rsidRPr="00575331">
        <w:rPr>
          <w:rStyle w:val="CeleZnak"/>
        </w:rPr>
        <w:t xml:space="preserve">OZE </w:t>
      </w:r>
      <w:r w:rsidR="007754E2" w:rsidRPr="00575331">
        <w:rPr>
          <w:rStyle w:val="CeleZnak"/>
        </w:rPr>
        <w:t>łącznie w</w:t>
      </w:r>
      <w:r>
        <w:rPr>
          <w:rStyle w:val="CeleZnak"/>
        </w:rPr>
        <w:t> </w:t>
      </w:r>
      <w:r w:rsidR="007754E2" w:rsidRPr="00575331">
        <w:rPr>
          <w:rStyle w:val="CeleZnak"/>
        </w:rPr>
        <w:t>elektroenergetyce, ciepłownictwie i chłodnictwie oraz na cele transportowe.</w:t>
      </w:r>
      <w:r w:rsidR="008B1E6B" w:rsidRPr="008B1E6B">
        <w:rPr>
          <w:b/>
          <w:bCs/>
        </w:rPr>
        <w:t xml:space="preserve"> </w:t>
      </w:r>
      <w:r w:rsidR="008B1E6B" w:rsidRPr="008B1E6B">
        <w:t>Prognozy wskazują, że w 2040 r. udział OZE w końcowym zużyciu energii brutto może sięgnąć 58,4%.</w:t>
      </w:r>
    </w:p>
    <w:p w14:paraId="24DE4709" w14:textId="60083AF2" w:rsidR="0013403E" w:rsidRDefault="0013403E" w:rsidP="0074650C">
      <w:pPr>
        <w:spacing w:before="720"/>
      </w:pPr>
      <w:r>
        <w:t xml:space="preserve">Rewizja </w:t>
      </w:r>
      <w:r w:rsidR="00FE3A61">
        <w:t xml:space="preserve">krajowego </w:t>
      </w:r>
      <w:r>
        <w:t xml:space="preserve">celu na 2030 r. o 7–9 pkt proc. </w:t>
      </w:r>
      <w:r w:rsidR="00280B01">
        <w:t xml:space="preserve">w porównaniu z KPEiK z 2019 r. </w:t>
      </w:r>
      <w:r>
        <w:t xml:space="preserve"> </w:t>
      </w:r>
      <w:r w:rsidR="006E2E16">
        <w:t xml:space="preserve">jest </w:t>
      </w:r>
      <w:r>
        <w:t xml:space="preserve">możliwa </w:t>
      </w:r>
      <w:r w:rsidR="006E2E16">
        <w:t>dzięki rozwojowi</w:t>
      </w:r>
      <w:r>
        <w:t xml:space="preserve"> OZE</w:t>
      </w:r>
      <w:r w:rsidR="00280B01">
        <w:t xml:space="preserve"> </w:t>
      </w:r>
      <w:r>
        <w:t>w</w:t>
      </w:r>
      <w:r w:rsidR="007D17A8">
        <w:t xml:space="preserve"> </w:t>
      </w:r>
      <w:r>
        <w:t>ostatnich latach</w:t>
      </w:r>
      <w:r w:rsidR="007D17A8">
        <w:t xml:space="preserve"> (</w:t>
      </w:r>
      <w:r>
        <w:t>w szczególności w sektorze elektroenergetycznym</w:t>
      </w:r>
      <w:r w:rsidR="007D17A8">
        <w:t>) oraz popularyzacj</w:t>
      </w:r>
      <w:r w:rsidR="006E2E16">
        <w:t>i</w:t>
      </w:r>
      <w:r w:rsidR="007D17A8">
        <w:t xml:space="preserve"> rozproszonej produkcji energii w instalacjach prosumenckich</w:t>
      </w:r>
      <w:r>
        <w:t>.</w:t>
      </w:r>
      <w:r w:rsidR="005E4D15">
        <w:t xml:space="preserve"> </w:t>
      </w:r>
      <w:r w:rsidR="00A47766">
        <w:t>Równocześnie, b</w:t>
      </w:r>
      <w:r w:rsidR="00FE3A61">
        <w:t>iorąc pod uwagę</w:t>
      </w:r>
      <w:r w:rsidR="00055FD0">
        <w:t>,</w:t>
      </w:r>
      <w:r w:rsidR="00FE3A61">
        <w:t xml:space="preserve"> że w</w:t>
      </w:r>
      <w:r w:rsidR="00055FD0">
        <w:t> </w:t>
      </w:r>
      <w:r w:rsidR="00FE3A61">
        <w:t xml:space="preserve">2022 r. udział OZE w finalnym zużyciu energii brutto wynosił 16,9%, realizacja </w:t>
      </w:r>
      <w:r w:rsidR="00055FD0">
        <w:t>nowego</w:t>
      </w:r>
      <w:r w:rsidR="007D17A8">
        <w:t xml:space="preserve"> celu</w:t>
      </w:r>
      <w:r w:rsidR="00FE3A61">
        <w:t xml:space="preserve"> </w:t>
      </w:r>
      <w:r w:rsidR="000E19D4">
        <w:t>do</w:t>
      </w:r>
      <w:r w:rsidR="00FE3A61">
        <w:t xml:space="preserve"> 2030 r. </w:t>
      </w:r>
      <w:r w:rsidR="006700EE">
        <w:t xml:space="preserve">– czyli niemal podwojenie udziału – </w:t>
      </w:r>
      <w:r w:rsidR="00FE3A61">
        <w:t xml:space="preserve">będzie wymagała </w:t>
      </w:r>
      <w:r w:rsidR="000E19D4">
        <w:t xml:space="preserve">podjęcia dodatkowych wysiłków oraz </w:t>
      </w:r>
      <w:r w:rsidR="00FE3A61">
        <w:t>realizacji działań w</w:t>
      </w:r>
      <w:r w:rsidR="00A47766">
        <w:t> </w:t>
      </w:r>
      <w:r w:rsidR="00FE3A61">
        <w:t>sposób zdeterminowany i</w:t>
      </w:r>
      <w:r w:rsidR="000E19D4">
        <w:t> </w:t>
      </w:r>
      <w:r w:rsidR="00FE3A61">
        <w:t>konsekwentny.</w:t>
      </w:r>
    </w:p>
    <w:p w14:paraId="2E85721A" w14:textId="77777777" w:rsidR="005C6092" w:rsidRDefault="00322279" w:rsidP="00322279">
      <w:r>
        <w:t>Najwięcej energii zużywane jest na cele ciepłownicze, dlatego też udział każdego punktu procentowego OZE w elektroenergetyce i transporcie w wartościach bezwzględnych stanowi niższy wkład do celu ogólnego.</w:t>
      </w:r>
      <w:r w:rsidRPr="00EA13CD">
        <w:t xml:space="preserve"> </w:t>
      </w:r>
      <w:r>
        <w:t xml:space="preserve">Prognozy wskazują, że najszybciej zmiany zachodzić będą w sektorze elektroenergetycznym, </w:t>
      </w:r>
    </w:p>
    <w:bookmarkEnd w:id="36"/>
    <w:p w14:paraId="5A728F7F" w14:textId="7C4F7ECD" w:rsidR="00B92276" w:rsidRDefault="00B92276" w:rsidP="00E769EB">
      <w:pPr>
        <w:pStyle w:val="tyturys"/>
      </w:pPr>
      <w:r>
        <w:lastRenderedPageBreak/>
        <w:t xml:space="preserve">Zużycie </w:t>
      </w:r>
      <w:r w:rsidRPr="004F6992">
        <w:t xml:space="preserve">OZE w </w:t>
      </w:r>
      <w:r>
        <w:t>sektorach i w finalnym zużyciu energii</w:t>
      </w:r>
      <w:r>
        <w:br/>
        <w:t>w porównaniu do KPEiK z 2019 r.</w:t>
      </w:r>
    </w:p>
    <w:p w14:paraId="5C044A40" w14:textId="0383DF54" w:rsidR="00B45C43" w:rsidRDefault="00D370E2" w:rsidP="00E769EB">
      <w:pPr>
        <w:pStyle w:val="tyturys"/>
        <w:rPr>
          <w:i/>
          <w:iCs/>
        </w:rPr>
      </w:pPr>
      <w:r>
        <w:rPr>
          <w:noProof/>
        </w:rPr>
        <w:drawing>
          <wp:anchor distT="0" distB="0" distL="114300" distR="114300" simplePos="0" relativeHeight="251887616" behindDoc="0" locked="0" layoutInCell="1" allowOverlap="1" wp14:anchorId="03EAD092" wp14:editId="3505D237">
            <wp:simplePos x="0" y="0"/>
            <wp:positionH relativeFrom="margin">
              <wp:align>right</wp:align>
            </wp:positionH>
            <wp:positionV relativeFrom="paragraph">
              <wp:posOffset>229235</wp:posOffset>
            </wp:positionV>
            <wp:extent cx="5760720" cy="4678680"/>
            <wp:effectExtent l="0" t="0" r="0" b="7620"/>
            <wp:wrapTight wrapText="bothSides">
              <wp:wrapPolygon edited="0">
                <wp:start x="0" y="0"/>
                <wp:lineTo x="0" y="21547"/>
                <wp:lineTo x="21500" y="21547"/>
                <wp:lineTo x="21500" y="0"/>
                <wp:lineTo x="0" y="0"/>
              </wp:wrapPolygon>
            </wp:wrapTight>
            <wp:docPr id="1840499104" name="Wykres 1">
              <a:extLst xmlns:a="http://schemas.openxmlformats.org/drawingml/2006/main">
                <a:ext uri="{FF2B5EF4-FFF2-40B4-BE49-F238E27FC236}">
                  <a16:creationId xmlns:a16="http://schemas.microsoft.com/office/drawing/2014/main" id="{C286D2E5-109D-486F-8824-835FAFAB6D4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14:sizeRelH relativeFrom="margin">
              <wp14:pctWidth>0</wp14:pctWidth>
            </wp14:sizeRelH>
            <wp14:sizeRelV relativeFrom="margin">
              <wp14:pctHeight>0</wp14:pctHeight>
            </wp14:sizeRelV>
          </wp:anchor>
        </w:drawing>
      </w:r>
    </w:p>
    <w:p w14:paraId="0EA29079" w14:textId="77777777" w:rsidR="00D370E2" w:rsidRDefault="00D370E2" w:rsidP="00D370E2">
      <w:pPr>
        <w:pStyle w:val="Przypisy"/>
      </w:pPr>
    </w:p>
    <w:p w14:paraId="0EEDAE48" w14:textId="5C01937E" w:rsidR="00D370E2" w:rsidRDefault="00D370E2" w:rsidP="00D370E2">
      <w:pPr>
        <w:spacing w:after="360"/>
      </w:pPr>
      <w:r>
        <w:rPr>
          <w:noProof/>
        </w:rPr>
        <mc:AlternateContent>
          <mc:Choice Requires="wpg">
            <w:drawing>
              <wp:anchor distT="0" distB="0" distL="114300" distR="114300" simplePos="0" relativeHeight="251889664" behindDoc="0" locked="0" layoutInCell="1" allowOverlap="1" wp14:anchorId="4F43A7F1" wp14:editId="52FACECE">
                <wp:simplePos x="0" y="0"/>
                <wp:positionH relativeFrom="margin">
                  <wp:posOffset>212725</wp:posOffset>
                </wp:positionH>
                <wp:positionV relativeFrom="paragraph">
                  <wp:posOffset>314325</wp:posOffset>
                </wp:positionV>
                <wp:extent cx="5328920" cy="2575560"/>
                <wp:effectExtent l="0" t="0" r="0" b="0"/>
                <wp:wrapTopAndBottom/>
                <wp:docPr id="759045690" name="Grupa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28920" cy="2575560"/>
                          <a:chOff x="85" y="0"/>
                          <a:chExt cx="53300" cy="27817"/>
                        </a:xfrm>
                      </wpg:grpSpPr>
                      <pic:pic xmlns:pic="http://schemas.openxmlformats.org/drawingml/2006/picture">
                        <pic:nvPicPr>
                          <pic:cNvPr id="149472213" name="Obraz 1668580329" descr="Obraz zawierający czarne, ciemność&#10;&#10;Opis wygenerowany automatycznie"/>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29157" y="16669"/>
                            <a:ext cx="3821" cy="432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6456572" name="Obraz 725289133" descr="Obraz zawierający czarne, ciemność&#10;&#10;Opis wygenerowany automatycznie"/>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44755" y="17577"/>
                            <a:ext cx="4457" cy="504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25832828" name="Obraz 1020355825" descr="Obraz zawierający czarne, ciemność&#10;&#10;Opis wygenerowany automatycznie"/>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11621" y="16669"/>
                            <a:ext cx="4320" cy="4320"/>
                          </a:xfrm>
                          <a:prstGeom prst="rect">
                            <a:avLst/>
                          </a:prstGeom>
                          <a:noFill/>
                          <a:extLst>
                            <a:ext uri="{909E8E84-426E-40DD-AFC4-6F175D3DCCD1}">
                              <a14:hiddenFill xmlns:a14="http://schemas.microsoft.com/office/drawing/2010/main">
                                <a:solidFill>
                                  <a:srgbClr val="FFFFFF"/>
                                </a:solidFill>
                              </a14:hiddenFill>
                            </a:ext>
                          </a:extLst>
                        </pic:spPr>
                      </pic:pic>
                      <wps:wsp>
                        <wps:cNvPr id="51122835" name="pole tekstowe 4"/>
                        <wps:cNvSpPr txBox="1">
                          <a:spLocks noChangeArrowheads="1"/>
                        </wps:cNvSpPr>
                        <wps:spPr bwMode="auto">
                          <a:xfrm>
                            <a:off x="9004" y="0"/>
                            <a:ext cx="1847" cy="36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66701578" name="pole tekstowe 5"/>
                        <wps:cNvSpPr txBox="1">
                          <a:spLocks noChangeArrowheads="1"/>
                        </wps:cNvSpPr>
                        <wps:spPr bwMode="auto">
                          <a:xfrm>
                            <a:off x="1521" y="17370"/>
                            <a:ext cx="9735" cy="56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6CCEDA" w14:textId="77777777" w:rsidR="00D370E2" w:rsidRDefault="00D370E2" w:rsidP="00D370E2">
                              <w:pPr>
                                <w:jc w:val="right"/>
                                <w:rPr>
                                  <w:rFonts w:asciiTheme="minorHAnsi" w:hAnsi="Calibri"/>
                                  <w:b/>
                                  <w:bCs/>
                                  <w:color w:val="70AD47"/>
                                  <w:kern w:val="24"/>
                                  <w:sz w:val="36"/>
                                  <w:szCs w:val="36"/>
                                  <w14:ligatures w14:val="none"/>
                                </w:rPr>
                              </w:pPr>
                              <w:r w:rsidRPr="008943F2">
                                <w:rPr>
                                  <w:rFonts w:asciiTheme="minorHAnsi" w:hAnsi="Calibri"/>
                                  <w:b/>
                                  <w:bCs/>
                                  <w:color w:val="70AD47"/>
                                  <w:kern w:val="24"/>
                                  <w:sz w:val="44"/>
                                  <w:szCs w:val="44"/>
                                </w:rPr>
                                <w:t>5</w:t>
                              </w:r>
                              <w:r>
                                <w:rPr>
                                  <w:rFonts w:asciiTheme="minorHAnsi" w:hAnsi="Calibri"/>
                                  <w:b/>
                                  <w:bCs/>
                                  <w:color w:val="70AD47"/>
                                  <w:kern w:val="24"/>
                                  <w:sz w:val="44"/>
                                  <w:szCs w:val="44"/>
                                </w:rPr>
                                <w:t>6</w:t>
                              </w:r>
                              <w:r>
                                <w:rPr>
                                  <w:rFonts w:asciiTheme="minorHAnsi" w:hAnsi="Calibri"/>
                                  <w:b/>
                                  <w:bCs/>
                                  <w:color w:val="70AD47"/>
                                  <w:kern w:val="24"/>
                                  <w:sz w:val="36"/>
                                  <w:szCs w:val="36"/>
                                </w:rPr>
                                <w:t>,1%</w:t>
                              </w:r>
                            </w:p>
                          </w:txbxContent>
                        </wps:txbx>
                        <wps:bodyPr rot="0" vert="horz" wrap="square" lIns="91440" tIns="45720" rIns="91440" bIns="45720" anchor="t" anchorCtr="0" upright="1">
                          <a:noAutofit/>
                        </wps:bodyPr>
                      </wps:wsp>
                      <wps:wsp>
                        <wps:cNvPr id="1477324169" name="pole tekstowe 6"/>
                        <wps:cNvSpPr txBox="1">
                          <a:spLocks noChangeArrowheads="1"/>
                        </wps:cNvSpPr>
                        <wps:spPr bwMode="auto">
                          <a:xfrm>
                            <a:off x="19771" y="17370"/>
                            <a:ext cx="9729" cy="56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487256" w14:textId="77777777" w:rsidR="00D370E2" w:rsidRDefault="00D370E2" w:rsidP="00D370E2">
                              <w:pPr>
                                <w:jc w:val="right"/>
                                <w:rPr>
                                  <w:rFonts w:asciiTheme="minorHAnsi" w:hAnsi="Calibri"/>
                                  <w:b/>
                                  <w:bCs/>
                                  <w:color w:val="70AD47"/>
                                  <w:kern w:val="24"/>
                                  <w:sz w:val="36"/>
                                  <w:szCs w:val="36"/>
                                  <w14:ligatures w14:val="none"/>
                                </w:rPr>
                              </w:pPr>
                              <w:r>
                                <w:rPr>
                                  <w:rFonts w:asciiTheme="minorHAnsi" w:hAnsi="Calibri"/>
                                  <w:b/>
                                  <w:bCs/>
                                  <w:color w:val="70AD47"/>
                                  <w:kern w:val="24"/>
                                  <w:sz w:val="44"/>
                                  <w:szCs w:val="44"/>
                                </w:rPr>
                                <w:t>35,</w:t>
                              </w:r>
                              <w:r w:rsidRPr="007B6C42">
                                <w:rPr>
                                  <w:rFonts w:asciiTheme="minorHAnsi" w:hAnsi="Calibri"/>
                                  <w:b/>
                                  <w:bCs/>
                                  <w:color w:val="70AD47"/>
                                  <w:kern w:val="24"/>
                                  <w:sz w:val="36"/>
                                  <w:szCs w:val="36"/>
                                </w:rPr>
                                <w:t>4</w:t>
                              </w:r>
                              <w:r>
                                <w:rPr>
                                  <w:rFonts w:asciiTheme="minorHAnsi" w:hAnsi="Calibri"/>
                                  <w:b/>
                                  <w:bCs/>
                                  <w:color w:val="70AD47"/>
                                  <w:kern w:val="24"/>
                                  <w:sz w:val="36"/>
                                  <w:szCs w:val="36"/>
                                </w:rPr>
                                <w:t>%</w:t>
                              </w:r>
                            </w:p>
                          </w:txbxContent>
                        </wps:txbx>
                        <wps:bodyPr rot="0" vert="horz" wrap="square" lIns="91440" tIns="45720" rIns="91440" bIns="45720" anchor="t" anchorCtr="0" upright="1">
                          <a:noAutofit/>
                        </wps:bodyPr>
                      </wps:wsp>
                      <wps:wsp>
                        <wps:cNvPr id="2085333196" name="Text Box 162"/>
                        <wps:cNvSpPr txBox="1">
                          <a:spLocks noChangeArrowheads="1"/>
                        </wps:cNvSpPr>
                        <wps:spPr bwMode="auto">
                          <a:xfrm>
                            <a:off x="35114" y="17244"/>
                            <a:ext cx="9736" cy="56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5731DE" w14:textId="77777777" w:rsidR="00D370E2" w:rsidRDefault="00D370E2" w:rsidP="00D370E2">
                              <w:pPr>
                                <w:jc w:val="right"/>
                                <w:rPr>
                                  <w:rFonts w:asciiTheme="minorHAnsi" w:hAnsi="Calibri"/>
                                  <w:b/>
                                  <w:bCs/>
                                  <w:color w:val="70AD47"/>
                                  <w:kern w:val="24"/>
                                  <w:sz w:val="36"/>
                                  <w:szCs w:val="36"/>
                                  <w14:ligatures w14:val="none"/>
                                </w:rPr>
                              </w:pPr>
                              <w:r w:rsidRPr="008943F2">
                                <w:rPr>
                                  <w:rFonts w:asciiTheme="minorHAnsi" w:hAnsi="Calibri"/>
                                  <w:b/>
                                  <w:bCs/>
                                  <w:color w:val="70AD47"/>
                                  <w:kern w:val="24"/>
                                  <w:sz w:val="44"/>
                                  <w:szCs w:val="44"/>
                                </w:rPr>
                                <w:t>17</w:t>
                              </w:r>
                              <w:r>
                                <w:rPr>
                                  <w:rFonts w:asciiTheme="minorHAnsi" w:hAnsi="Calibri"/>
                                  <w:b/>
                                  <w:bCs/>
                                  <w:color w:val="70AD47"/>
                                  <w:kern w:val="24"/>
                                  <w:sz w:val="36"/>
                                  <w:szCs w:val="36"/>
                                </w:rPr>
                                <w:t>,7%</w:t>
                              </w:r>
                            </w:p>
                          </w:txbxContent>
                        </wps:txbx>
                        <wps:bodyPr rot="0" vert="horz" wrap="square" lIns="91440" tIns="45720" rIns="91440" bIns="45720" anchor="t" anchorCtr="0" upright="1">
                          <a:noAutofit/>
                        </wps:bodyPr>
                      </wps:wsp>
                      <wps:wsp>
                        <wps:cNvPr id="1728434979" name="pole tekstowe 8"/>
                        <wps:cNvSpPr txBox="1">
                          <a:spLocks noChangeArrowheads="1"/>
                        </wps:cNvSpPr>
                        <wps:spPr bwMode="auto">
                          <a:xfrm>
                            <a:off x="2252" y="779"/>
                            <a:ext cx="24779" cy="8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210FAE" w14:textId="77777777" w:rsidR="00D370E2" w:rsidRDefault="00D370E2" w:rsidP="00D370E2">
                              <w:pPr>
                                <w:jc w:val="right"/>
                                <w:rPr>
                                  <w:rFonts w:asciiTheme="minorHAnsi" w:hAnsi="Calibri"/>
                                  <w:b/>
                                  <w:bCs/>
                                  <w:color w:val="70AD47"/>
                                  <w:kern w:val="24"/>
                                  <w:sz w:val="80"/>
                                  <w:szCs w:val="80"/>
                                  <w14:ligatures w14:val="none"/>
                                </w:rPr>
                              </w:pPr>
                              <w:r>
                                <w:rPr>
                                  <w:rFonts w:asciiTheme="minorHAnsi" w:hAnsi="Calibri"/>
                                  <w:b/>
                                  <w:bCs/>
                                  <w:color w:val="70AD47"/>
                                  <w:kern w:val="24"/>
                                  <w:sz w:val="80"/>
                                  <w:szCs w:val="80"/>
                                </w:rPr>
                                <w:t>32</w:t>
                              </w:r>
                              <w:r w:rsidRPr="0013403E">
                                <w:rPr>
                                  <w:rFonts w:asciiTheme="minorHAnsi" w:hAnsi="Calibri"/>
                                  <w:b/>
                                  <w:bCs/>
                                  <w:color w:val="70AD47"/>
                                  <w:kern w:val="24"/>
                                  <w:sz w:val="68"/>
                                  <w:szCs w:val="68"/>
                                </w:rPr>
                                <w:t>,</w:t>
                              </w:r>
                              <w:r>
                                <w:rPr>
                                  <w:rFonts w:asciiTheme="minorHAnsi" w:hAnsi="Calibri"/>
                                  <w:b/>
                                  <w:bCs/>
                                  <w:color w:val="70AD47"/>
                                  <w:kern w:val="24"/>
                                  <w:sz w:val="68"/>
                                  <w:szCs w:val="68"/>
                                </w:rPr>
                                <w:t>6</w:t>
                              </w:r>
                              <w:r w:rsidRPr="0013403E">
                                <w:rPr>
                                  <w:rFonts w:asciiTheme="minorHAnsi" w:hAnsi="Calibri"/>
                                  <w:b/>
                                  <w:bCs/>
                                  <w:color w:val="70AD47"/>
                                  <w:kern w:val="24"/>
                                  <w:sz w:val="68"/>
                                  <w:szCs w:val="68"/>
                                </w:rPr>
                                <w:t>%</w:t>
                              </w:r>
                              <w:r>
                                <w:rPr>
                                  <w:rFonts w:asciiTheme="minorHAnsi" w:hAnsi="Calibri"/>
                                  <w:b/>
                                  <w:bCs/>
                                  <w:color w:val="70AD47"/>
                                  <w:kern w:val="24"/>
                                  <w:sz w:val="80"/>
                                  <w:szCs w:val="80"/>
                                </w:rPr>
                                <w:t xml:space="preserve"> OZE</w:t>
                              </w:r>
                            </w:p>
                          </w:txbxContent>
                        </wps:txbx>
                        <wps:bodyPr rot="0" vert="horz" wrap="square" lIns="91440" tIns="45720" rIns="91440" bIns="45720" anchor="t" anchorCtr="0" upright="1">
                          <a:noAutofit/>
                        </wps:bodyPr>
                      </wps:wsp>
                      <wps:wsp>
                        <wps:cNvPr id="1282554641" name="pole tekstowe 9"/>
                        <wps:cNvSpPr txBox="1">
                          <a:spLocks noChangeArrowheads="1"/>
                        </wps:cNvSpPr>
                        <wps:spPr bwMode="auto">
                          <a:xfrm>
                            <a:off x="27217" y="2192"/>
                            <a:ext cx="23483" cy="68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634DC4" w14:textId="77777777" w:rsidR="00D370E2" w:rsidRDefault="00D370E2" w:rsidP="00D370E2">
                              <w:pPr>
                                <w:spacing w:line="240" w:lineRule="auto"/>
                                <w:jc w:val="left"/>
                                <w:rPr>
                                  <w:rFonts w:asciiTheme="minorHAnsi" w:hAnsi="Calibri"/>
                                  <w:b/>
                                  <w:bCs/>
                                  <w:color w:val="70AD47"/>
                                  <w:kern w:val="24"/>
                                  <w:sz w:val="32"/>
                                  <w:szCs w:val="32"/>
                                  <w14:ligatures w14:val="none"/>
                                </w:rPr>
                              </w:pPr>
                              <w:r>
                                <w:rPr>
                                  <w:rFonts w:asciiTheme="minorHAnsi" w:hAnsi="Calibri"/>
                                  <w:b/>
                                  <w:bCs/>
                                  <w:color w:val="70AD47"/>
                                  <w:kern w:val="24"/>
                                  <w:sz w:val="32"/>
                                  <w:szCs w:val="32"/>
                                </w:rPr>
                                <w:t>w finalnym zużyciu energii brutto w 2030 r.</w:t>
                              </w:r>
                            </w:p>
                          </w:txbxContent>
                        </wps:txbx>
                        <wps:bodyPr rot="0" vert="horz" wrap="square" lIns="91440" tIns="45720" rIns="91440" bIns="45720" anchor="t" anchorCtr="0" upright="1">
                          <a:noAutofit/>
                        </wps:bodyPr>
                      </wps:wsp>
                      <wps:wsp>
                        <wps:cNvPr id="2082973293" name="Łuk 1025211203"/>
                        <wps:cNvSpPr>
                          <a:spLocks/>
                        </wps:cNvSpPr>
                        <wps:spPr bwMode="auto">
                          <a:xfrm>
                            <a:off x="13077" y="10202"/>
                            <a:ext cx="30994" cy="17615"/>
                          </a:xfrm>
                          <a:custGeom>
                            <a:avLst/>
                            <a:gdLst>
                              <a:gd name="T0" fmla="*/ 1549667 w 3099334"/>
                              <a:gd name="T1" fmla="*/ 0 h 1664683"/>
                              <a:gd name="T2" fmla="*/ 3024217 w 3099334"/>
                              <a:gd name="T3" fmla="*/ 576343 h 1664683"/>
                              <a:gd name="T4" fmla="*/ 0 60000 65536"/>
                              <a:gd name="T5" fmla="*/ 0 60000 65536"/>
                            </a:gdLst>
                            <a:ahLst/>
                            <a:cxnLst>
                              <a:cxn ang="T4">
                                <a:pos x="T0" y="T1"/>
                              </a:cxn>
                              <a:cxn ang="T5">
                                <a:pos x="T2" y="T3"/>
                              </a:cxn>
                            </a:cxnLst>
                            <a:rect l="0" t="0" r="r" b="b"/>
                            <a:pathLst>
                              <a:path w="3099334" h="1664683" stroke="0">
                                <a:moveTo>
                                  <a:pt x="1549667" y="0"/>
                                </a:moveTo>
                                <a:cubicBezTo>
                                  <a:pt x="2221896" y="0"/>
                                  <a:pt x="2817464" y="232784"/>
                                  <a:pt x="3024217" y="576343"/>
                                </a:cubicBezTo>
                                <a:lnTo>
                                  <a:pt x="1549667" y="832342"/>
                                </a:lnTo>
                                <a:lnTo>
                                  <a:pt x="1549667" y="0"/>
                                </a:lnTo>
                                <a:close/>
                              </a:path>
                              <a:path w="3099334" h="1664683" fill="none">
                                <a:moveTo>
                                  <a:pt x="1549667" y="0"/>
                                </a:moveTo>
                                <a:cubicBezTo>
                                  <a:pt x="2221896" y="0"/>
                                  <a:pt x="2817464" y="232784"/>
                                  <a:pt x="3024217" y="576343"/>
                                </a:cubicBezTo>
                              </a:path>
                            </a:pathLst>
                          </a:custGeom>
                          <a:noFill/>
                          <a:ln w="15875">
                            <a:solidFill>
                              <a:srgbClr val="92D050"/>
                            </a:solidFill>
                            <a:prstDash val="dash"/>
                            <a:miter lim="800000"/>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255471917" name="Łuk 775618586"/>
                        <wps:cNvSpPr>
                          <a:spLocks/>
                        </wps:cNvSpPr>
                        <wps:spPr bwMode="auto">
                          <a:xfrm flipH="1">
                            <a:off x="11308" y="10202"/>
                            <a:ext cx="30993" cy="17615"/>
                          </a:xfrm>
                          <a:custGeom>
                            <a:avLst/>
                            <a:gdLst>
                              <a:gd name="T0" fmla="*/ 1549667 w 3099334"/>
                              <a:gd name="T1" fmla="*/ 0 h 1664683"/>
                              <a:gd name="T2" fmla="*/ 3024217 w 3099334"/>
                              <a:gd name="T3" fmla="*/ 576343 h 1664683"/>
                              <a:gd name="T4" fmla="*/ 0 60000 65536"/>
                              <a:gd name="T5" fmla="*/ 0 60000 65536"/>
                            </a:gdLst>
                            <a:ahLst/>
                            <a:cxnLst>
                              <a:cxn ang="T4">
                                <a:pos x="T0" y="T1"/>
                              </a:cxn>
                              <a:cxn ang="T5">
                                <a:pos x="T2" y="T3"/>
                              </a:cxn>
                            </a:cxnLst>
                            <a:rect l="0" t="0" r="r" b="b"/>
                            <a:pathLst>
                              <a:path w="3099334" h="1664683" stroke="0">
                                <a:moveTo>
                                  <a:pt x="1549667" y="0"/>
                                </a:moveTo>
                                <a:cubicBezTo>
                                  <a:pt x="2221896" y="0"/>
                                  <a:pt x="2817464" y="232784"/>
                                  <a:pt x="3024217" y="576343"/>
                                </a:cubicBezTo>
                                <a:lnTo>
                                  <a:pt x="1549667" y="832342"/>
                                </a:lnTo>
                                <a:lnTo>
                                  <a:pt x="1549667" y="0"/>
                                </a:lnTo>
                                <a:close/>
                              </a:path>
                              <a:path w="3099334" h="1664683" fill="none">
                                <a:moveTo>
                                  <a:pt x="1549667" y="0"/>
                                </a:moveTo>
                                <a:cubicBezTo>
                                  <a:pt x="2221896" y="0"/>
                                  <a:pt x="2817464" y="232784"/>
                                  <a:pt x="3024217" y="576343"/>
                                </a:cubicBezTo>
                              </a:path>
                            </a:pathLst>
                          </a:custGeom>
                          <a:noFill/>
                          <a:ln w="15875">
                            <a:solidFill>
                              <a:srgbClr val="92D050"/>
                            </a:solidFill>
                            <a:prstDash val="dash"/>
                            <a:miter lim="800000"/>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332333561" name="Łuk 42278270"/>
                        <wps:cNvSpPr>
                          <a:spLocks/>
                        </wps:cNvSpPr>
                        <wps:spPr bwMode="auto">
                          <a:xfrm flipH="1">
                            <a:off x="24639" y="10202"/>
                            <a:ext cx="7293" cy="14389"/>
                          </a:xfrm>
                          <a:custGeom>
                            <a:avLst/>
                            <a:gdLst>
                              <a:gd name="T0" fmla="*/ 364624 w 729248"/>
                              <a:gd name="T1" fmla="*/ 0 h 1330749"/>
                              <a:gd name="T2" fmla="*/ 727609 w 729248"/>
                              <a:gd name="T3" fmla="*/ 602357 h 1330749"/>
                              <a:gd name="T4" fmla="*/ 0 60000 65536"/>
                              <a:gd name="T5" fmla="*/ 0 60000 65536"/>
                            </a:gdLst>
                            <a:ahLst/>
                            <a:cxnLst>
                              <a:cxn ang="T4">
                                <a:pos x="T0" y="T1"/>
                              </a:cxn>
                              <a:cxn ang="T5">
                                <a:pos x="T2" y="T3"/>
                              </a:cxn>
                            </a:cxnLst>
                            <a:rect l="0" t="0" r="r" b="b"/>
                            <a:pathLst>
                              <a:path w="729248" h="1330749" stroke="0">
                                <a:moveTo>
                                  <a:pt x="364624" y="0"/>
                                </a:moveTo>
                                <a:cubicBezTo>
                                  <a:pt x="552623" y="0"/>
                                  <a:pt x="709803" y="260834"/>
                                  <a:pt x="727609" y="602357"/>
                                </a:cubicBezTo>
                                <a:lnTo>
                                  <a:pt x="364624" y="665375"/>
                                </a:lnTo>
                                <a:lnTo>
                                  <a:pt x="364624" y="0"/>
                                </a:lnTo>
                                <a:close/>
                              </a:path>
                              <a:path w="729248" h="1330749" fill="none">
                                <a:moveTo>
                                  <a:pt x="364624" y="0"/>
                                </a:moveTo>
                                <a:cubicBezTo>
                                  <a:pt x="552623" y="0"/>
                                  <a:pt x="709803" y="260834"/>
                                  <a:pt x="727609" y="602357"/>
                                </a:cubicBezTo>
                              </a:path>
                            </a:pathLst>
                          </a:custGeom>
                          <a:noFill/>
                          <a:ln w="15875">
                            <a:solidFill>
                              <a:srgbClr val="92D050"/>
                            </a:solidFill>
                            <a:prstDash val="dash"/>
                            <a:miter lim="800000"/>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26694724" name="pole tekstowe 19"/>
                        <wps:cNvSpPr txBox="1">
                          <a:spLocks noChangeArrowheads="1"/>
                        </wps:cNvSpPr>
                        <wps:spPr bwMode="auto">
                          <a:xfrm>
                            <a:off x="85" y="21264"/>
                            <a:ext cx="20022" cy="3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AB43F3" w14:textId="77777777" w:rsidR="00D370E2" w:rsidRDefault="00D370E2" w:rsidP="00D370E2">
                              <w:pPr>
                                <w:jc w:val="center"/>
                                <w:rPr>
                                  <w:rFonts w:asciiTheme="minorHAnsi" w:hAnsi="Calibri"/>
                                  <w:b/>
                                  <w:bCs/>
                                  <w:color w:val="70AD47"/>
                                  <w:kern w:val="24"/>
                                  <w14:ligatures w14:val="none"/>
                                </w:rPr>
                              </w:pPr>
                              <w:r>
                                <w:rPr>
                                  <w:rFonts w:asciiTheme="minorHAnsi" w:hAnsi="Calibri"/>
                                  <w:b/>
                                  <w:bCs/>
                                  <w:color w:val="70AD47"/>
                                  <w:kern w:val="24"/>
                                </w:rPr>
                                <w:t>w elektroenergetyce</w:t>
                              </w:r>
                            </w:p>
                          </w:txbxContent>
                        </wps:txbx>
                        <wps:bodyPr rot="0" vert="horz" wrap="square" lIns="91440" tIns="45720" rIns="91440" bIns="45720" anchor="t" anchorCtr="0" upright="1">
                          <a:noAutofit/>
                        </wps:bodyPr>
                      </wps:wsp>
                      <wps:wsp>
                        <wps:cNvPr id="1414715125" name="pole tekstowe 20"/>
                        <wps:cNvSpPr txBox="1">
                          <a:spLocks noChangeArrowheads="1"/>
                        </wps:cNvSpPr>
                        <wps:spPr bwMode="auto">
                          <a:xfrm>
                            <a:off x="17484" y="21272"/>
                            <a:ext cx="20017" cy="50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5AA2C2" w14:textId="77777777" w:rsidR="00D370E2" w:rsidRDefault="00D370E2" w:rsidP="00D370E2">
                              <w:pPr>
                                <w:spacing w:line="240" w:lineRule="auto"/>
                                <w:jc w:val="center"/>
                                <w:rPr>
                                  <w:rFonts w:asciiTheme="minorHAnsi" w:hAnsi="Calibri"/>
                                  <w:b/>
                                  <w:bCs/>
                                  <w:color w:val="70AD47"/>
                                  <w:kern w:val="24"/>
                                </w:rPr>
                              </w:pPr>
                              <w:r>
                                <w:rPr>
                                  <w:rFonts w:asciiTheme="minorHAnsi" w:hAnsi="Calibri"/>
                                  <w:b/>
                                  <w:bCs/>
                                  <w:color w:val="70AD47"/>
                                  <w:kern w:val="24"/>
                                </w:rPr>
                                <w:t>w ciepłownictwie</w:t>
                              </w:r>
                              <w:r>
                                <w:rPr>
                                  <w:rFonts w:asciiTheme="minorHAnsi" w:hAnsi="Calibri"/>
                                  <w:b/>
                                  <w:bCs/>
                                  <w:color w:val="70AD47"/>
                                  <w:kern w:val="24"/>
                                </w:rPr>
                                <w:br/>
                                <w:t>i chłodnictwie</w:t>
                              </w:r>
                            </w:p>
                          </w:txbxContent>
                        </wps:txbx>
                        <wps:bodyPr rot="0" vert="horz" wrap="square" lIns="91440" tIns="45720" rIns="91440" bIns="45720" anchor="t" anchorCtr="0" upright="1">
                          <a:noAutofit/>
                        </wps:bodyPr>
                      </wps:wsp>
                      <wps:wsp>
                        <wps:cNvPr id="2146380248" name="pole tekstowe 21"/>
                        <wps:cNvSpPr txBox="1">
                          <a:spLocks noChangeArrowheads="1"/>
                        </wps:cNvSpPr>
                        <wps:spPr bwMode="auto">
                          <a:xfrm>
                            <a:off x="33363" y="21436"/>
                            <a:ext cx="20022" cy="36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22D260" w14:textId="77777777" w:rsidR="00D370E2" w:rsidRDefault="00D370E2" w:rsidP="00D370E2">
                              <w:pPr>
                                <w:jc w:val="center"/>
                                <w:rPr>
                                  <w:rFonts w:asciiTheme="minorHAnsi" w:hAnsi="Calibri"/>
                                  <w:b/>
                                  <w:bCs/>
                                  <w:color w:val="70AD47"/>
                                  <w:kern w:val="24"/>
                                  <w14:ligatures w14:val="none"/>
                                </w:rPr>
                              </w:pPr>
                              <w:r>
                                <w:rPr>
                                  <w:rFonts w:asciiTheme="minorHAnsi" w:hAnsi="Calibri"/>
                                  <w:b/>
                                  <w:bCs/>
                                  <w:color w:val="70AD47"/>
                                  <w:kern w:val="24"/>
                                </w:rPr>
                                <w:t>w transporcie</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F43A7F1" id="Grupa 22" o:spid="_x0000_s1069" style="position:absolute;left:0;text-align:left;margin-left:16.75pt;margin-top:24.75pt;width:419.6pt;height:202.8pt;z-index:251889664;mso-position-horizontal-relative:margin" coordorigin="85" coordsize="53300,278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">
                <v:shape id="Obraz 1668580329" o:spid="_x0000_s1070" type="#_x0000_t75" alt="Obraz zawierający czarne, ciemność&#10;&#10;Opis wygenerowany automatycznie" style="position:absolute;left:29157;top:16669;width:3821;height:43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">
                  <v:imagedata r:id="rId42" o:title="Obraz zawierający czarne, ciemność&#10;&#10;Opis wygenerowany automatycznie"/>
                </v:shape>
                <v:shape id="Obraz 725289133" o:spid="_x0000_s1071" type="#_x0000_t75" alt="Obraz zawierający czarne, ciemność&#10;&#10;Opis wygenerowany automatycznie" style="position:absolute;left:44755;top:17577;width:4457;height:50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">
                  <v:imagedata r:id="rId43" o:title="Obraz zawierający czarne, ciemność&#10;&#10;Opis wygenerowany automatycznie"/>
                </v:shape>
                <v:shape id="Obraz 1020355825" o:spid="_x0000_s1072" type="#_x0000_t75" alt="Obraz zawierający czarne, ciemność&#10;&#10;Opis wygenerowany automatycznie" style="position:absolute;left:11621;top:16669;width:4320;height:43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">
                  <v:imagedata r:id="rId44" o:title="Obraz zawierający czarne, ciemność&#10;&#10;Opis wygenerowany automatycznie"/>
                </v:shape>
                <v:shape id="pole tekstowe 4" o:spid="_x0000_s1073" type="#_x0000_t202" style="position:absolute;left:9004;width:1847;height:3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" filled="f" stroked="f"/>
                <v:shape id="pole tekstowe 5" o:spid="_x0000_s1074" type="#_x0000_t202" style="position:absolute;left:1521;top:17370;width:9735;height:5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" filled="f" stroked="f">
                  <v:textbox>
                    <w:txbxContent>
                      <w:p w14:paraId="756CCEDA" w14:textId="77777777" w:rsidR="00D370E2" w:rsidRDefault="00D370E2" w:rsidP="00D370E2">
                        <w:pPr>
                          <w:jc w:val="right"/>
                          <w:rPr>
                            <w:rFonts w:asciiTheme="minorHAnsi" w:hAnsi="Calibri"/>
                            <w:b/>
                            <w:bCs/>
                            <w:color w:val="70AD47"/>
                            <w:kern w:val="24"/>
                            <w:sz w:val="36"/>
                            <w:szCs w:val="36"/>
                            <w14:ligatures w14:val="none"/>
                          </w:rPr>
                        </w:pPr>
                        <w:r w:rsidRPr="008943F2">
                          <w:rPr>
                            <w:rFonts w:asciiTheme="minorHAnsi" w:hAnsi="Calibri"/>
                            <w:b/>
                            <w:bCs/>
                            <w:color w:val="70AD47"/>
                            <w:kern w:val="24"/>
                            <w:sz w:val="44"/>
                            <w:szCs w:val="44"/>
                          </w:rPr>
                          <w:t>5</w:t>
                        </w:r>
                        <w:r>
                          <w:rPr>
                            <w:rFonts w:asciiTheme="minorHAnsi" w:hAnsi="Calibri"/>
                            <w:b/>
                            <w:bCs/>
                            <w:color w:val="70AD47"/>
                            <w:kern w:val="24"/>
                            <w:sz w:val="44"/>
                            <w:szCs w:val="44"/>
                          </w:rPr>
                          <w:t>6</w:t>
                        </w:r>
                        <w:r>
                          <w:rPr>
                            <w:rFonts w:asciiTheme="minorHAnsi" w:hAnsi="Calibri"/>
                            <w:b/>
                            <w:bCs/>
                            <w:color w:val="70AD47"/>
                            <w:kern w:val="24"/>
                            <w:sz w:val="36"/>
                            <w:szCs w:val="36"/>
                          </w:rPr>
                          <w:t>,1%</w:t>
                        </w:r>
                      </w:p>
                    </w:txbxContent>
                  </v:textbox>
                </v:shape>
                <v:shape id="pole tekstowe 6" o:spid="_x0000_s1075" type="#_x0000_t202" style="position:absolute;left:19771;top:17370;width:9729;height:5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" filled="f" stroked="f">
                  <v:textbox>
                    <w:txbxContent>
                      <w:p w14:paraId="6A487256" w14:textId="77777777" w:rsidR="00D370E2" w:rsidRDefault="00D370E2" w:rsidP="00D370E2">
                        <w:pPr>
                          <w:jc w:val="right"/>
                          <w:rPr>
                            <w:rFonts w:asciiTheme="minorHAnsi" w:hAnsi="Calibri"/>
                            <w:b/>
                            <w:bCs/>
                            <w:color w:val="70AD47"/>
                            <w:kern w:val="24"/>
                            <w:sz w:val="36"/>
                            <w:szCs w:val="36"/>
                            <w14:ligatures w14:val="none"/>
                          </w:rPr>
                        </w:pPr>
                        <w:r>
                          <w:rPr>
                            <w:rFonts w:asciiTheme="minorHAnsi" w:hAnsi="Calibri"/>
                            <w:b/>
                            <w:bCs/>
                            <w:color w:val="70AD47"/>
                            <w:kern w:val="24"/>
                            <w:sz w:val="44"/>
                            <w:szCs w:val="44"/>
                          </w:rPr>
                          <w:t>35,</w:t>
                        </w:r>
                        <w:r w:rsidRPr="007B6C42">
                          <w:rPr>
                            <w:rFonts w:asciiTheme="minorHAnsi" w:hAnsi="Calibri"/>
                            <w:b/>
                            <w:bCs/>
                            <w:color w:val="70AD47"/>
                            <w:kern w:val="24"/>
                            <w:sz w:val="36"/>
                            <w:szCs w:val="36"/>
                          </w:rPr>
                          <w:t>4</w:t>
                        </w:r>
                        <w:r>
                          <w:rPr>
                            <w:rFonts w:asciiTheme="minorHAnsi" w:hAnsi="Calibri"/>
                            <w:b/>
                            <w:bCs/>
                            <w:color w:val="70AD47"/>
                            <w:kern w:val="24"/>
                            <w:sz w:val="36"/>
                            <w:szCs w:val="36"/>
                          </w:rPr>
                          <w:t>%</w:t>
                        </w:r>
                      </w:p>
                    </w:txbxContent>
                  </v:textbox>
                </v:shape>
                <v:shape id="Text Box 162" o:spid="_x0000_s1076" type="#_x0000_t202" style="position:absolute;left:35114;top:17244;width:9736;height:5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" filled="f" stroked="f">
                  <v:textbox>
                    <w:txbxContent>
                      <w:p w14:paraId="785731DE" w14:textId="77777777" w:rsidR="00D370E2" w:rsidRDefault="00D370E2" w:rsidP="00D370E2">
                        <w:pPr>
                          <w:jc w:val="right"/>
                          <w:rPr>
                            <w:rFonts w:asciiTheme="minorHAnsi" w:hAnsi="Calibri"/>
                            <w:b/>
                            <w:bCs/>
                            <w:color w:val="70AD47"/>
                            <w:kern w:val="24"/>
                            <w:sz w:val="36"/>
                            <w:szCs w:val="36"/>
                            <w14:ligatures w14:val="none"/>
                          </w:rPr>
                        </w:pPr>
                        <w:r w:rsidRPr="008943F2">
                          <w:rPr>
                            <w:rFonts w:asciiTheme="minorHAnsi" w:hAnsi="Calibri"/>
                            <w:b/>
                            <w:bCs/>
                            <w:color w:val="70AD47"/>
                            <w:kern w:val="24"/>
                            <w:sz w:val="44"/>
                            <w:szCs w:val="44"/>
                          </w:rPr>
                          <w:t>17</w:t>
                        </w:r>
                        <w:r>
                          <w:rPr>
                            <w:rFonts w:asciiTheme="minorHAnsi" w:hAnsi="Calibri"/>
                            <w:b/>
                            <w:bCs/>
                            <w:color w:val="70AD47"/>
                            <w:kern w:val="24"/>
                            <w:sz w:val="36"/>
                            <w:szCs w:val="36"/>
                          </w:rPr>
                          <w:t>,7%</w:t>
                        </w:r>
                      </w:p>
                    </w:txbxContent>
                  </v:textbox>
                </v:shape>
                <v:shape id="_x0000_s1077" type="#_x0000_t202" style="position:absolute;left:2252;top:779;width:24779;height:86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" filled="f" stroked="f">
                  <v:textbox>
                    <w:txbxContent>
                      <w:p w14:paraId="44210FAE" w14:textId="77777777" w:rsidR="00D370E2" w:rsidRDefault="00D370E2" w:rsidP="00D370E2">
                        <w:pPr>
                          <w:jc w:val="right"/>
                          <w:rPr>
                            <w:rFonts w:asciiTheme="minorHAnsi" w:hAnsi="Calibri"/>
                            <w:b/>
                            <w:bCs/>
                            <w:color w:val="70AD47"/>
                            <w:kern w:val="24"/>
                            <w:sz w:val="80"/>
                            <w:szCs w:val="80"/>
                            <w14:ligatures w14:val="none"/>
                          </w:rPr>
                        </w:pPr>
                        <w:r>
                          <w:rPr>
                            <w:rFonts w:asciiTheme="minorHAnsi" w:hAnsi="Calibri"/>
                            <w:b/>
                            <w:bCs/>
                            <w:color w:val="70AD47"/>
                            <w:kern w:val="24"/>
                            <w:sz w:val="80"/>
                            <w:szCs w:val="80"/>
                          </w:rPr>
                          <w:t>32</w:t>
                        </w:r>
                        <w:r w:rsidRPr="0013403E">
                          <w:rPr>
                            <w:rFonts w:asciiTheme="minorHAnsi" w:hAnsi="Calibri"/>
                            <w:b/>
                            <w:bCs/>
                            <w:color w:val="70AD47"/>
                            <w:kern w:val="24"/>
                            <w:sz w:val="68"/>
                            <w:szCs w:val="68"/>
                          </w:rPr>
                          <w:t>,</w:t>
                        </w:r>
                        <w:r>
                          <w:rPr>
                            <w:rFonts w:asciiTheme="minorHAnsi" w:hAnsi="Calibri"/>
                            <w:b/>
                            <w:bCs/>
                            <w:color w:val="70AD47"/>
                            <w:kern w:val="24"/>
                            <w:sz w:val="68"/>
                            <w:szCs w:val="68"/>
                          </w:rPr>
                          <w:t>6</w:t>
                        </w:r>
                        <w:r w:rsidRPr="0013403E">
                          <w:rPr>
                            <w:rFonts w:asciiTheme="minorHAnsi" w:hAnsi="Calibri"/>
                            <w:b/>
                            <w:bCs/>
                            <w:color w:val="70AD47"/>
                            <w:kern w:val="24"/>
                            <w:sz w:val="68"/>
                            <w:szCs w:val="68"/>
                          </w:rPr>
                          <w:t>%</w:t>
                        </w:r>
                        <w:r>
                          <w:rPr>
                            <w:rFonts w:asciiTheme="minorHAnsi" w:hAnsi="Calibri"/>
                            <w:b/>
                            <w:bCs/>
                            <w:color w:val="70AD47"/>
                            <w:kern w:val="24"/>
                            <w:sz w:val="80"/>
                            <w:szCs w:val="80"/>
                          </w:rPr>
                          <w:t xml:space="preserve"> OZE</w:t>
                        </w:r>
                      </w:p>
                    </w:txbxContent>
                  </v:textbox>
                </v:shape>
                <v:shape id="pole tekstowe 9" o:spid="_x0000_s1078" type="#_x0000_t202" style="position:absolute;left:27217;top:2192;width:23483;height:68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" filled="f" stroked="f">
                  <v:textbox>
                    <w:txbxContent>
                      <w:p w14:paraId="43634DC4" w14:textId="77777777" w:rsidR="00D370E2" w:rsidRDefault="00D370E2" w:rsidP="00D370E2">
                        <w:pPr>
                          <w:spacing w:line="240" w:lineRule="auto"/>
                          <w:jc w:val="left"/>
                          <w:rPr>
                            <w:rFonts w:asciiTheme="minorHAnsi" w:hAnsi="Calibri"/>
                            <w:b/>
                            <w:bCs/>
                            <w:color w:val="70AD47"/>
                            <w:kern w:val="24"/>
                            <w:sz w:val="32"/>
                            <w:szCs w:val="32"/>
                            <w14:ligatures w14:val="none"/>
                          </w:rPr>
                        </w:pPr>
                        <w:r>
                          <w:rPr>
                            <w:rFonts w:asciiTheme="minorHAnsi" w:hAnsi="Calibri"/>
                            <w:b/>
                            <w:bCs/>
                            <w:color w:val="70AD47"/>
                            <w:kern w:val="24"/>
                            <w:sz w:val="32"/>
                            <w:szCs w:val="32"/>
                          </w:rPr>
                          <w:t>w finalnym zużyciu energii brutto w 2030 r.</w:t>
                        </w:r>
                      </w:p>
                    </w:txbxContent>
                  </v:textbox>
                </v:shape>
                <v:shape id="Łuk 1025211203" o:spid="_x0000_s1079" style="position:absolute;left:13077;top:10202;width:30994;height:17615;visibility:visible;mso-wrap-style:square;v-text-anchor:middle" coordsize="3099334,16646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" path="m1549667,nsc2221896,,2817464,232784,3024217,576343l1549667,832342,1549667,xem1549667,nfc2221896,,2817464,232784,3024217,576343e" filled="f" strokecolor="#92d050" strokeweight="1.25pt">
                  <v:stroke dashstyle="dash" endarrow="classic" joinstyle="miter"/>
                  <v:path arrowok="t" o:connecttype="custom" o:connectlocs="15497,0;30243,6099" o:connectangles="0,0"/>
                </v:shape>
                <v:shape id="Łuk 775618586" o:spid="_x0000_s1080" style="position:absolute;left:11308;top:10202;width:30993;height:17615;flip:x;visibility:visible;mso-wrap-style:square;v-text-anchor:middle" coordsize="3099334,16646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" path="m1549667,nsc2221896,,2817464,232784,3024217,576343l1549667,832342,1549667,xem1549667,nfc2221896,,2817464,232784,3024217,576343e" filled="f" strokecolor="#92d050" strokeweight="1.25pt">
                  <v:stroke dashstyle="dash" endarrow="classic" joinstyle="miter"/>
                  <v:path arrowok="t" o:connecttype="custom" o:connectlocs="15497,0;30242,6099" o:connectangles="0,0"/>
                </v:shape>
                <v:shape id="Łuk 42278270" o:spid="_x0000_s1081" style="position:absolute;left:24639;top:10202;width:7293;height:14389;flip:x;visibility:visible;mso-wrap-style:square;v-text-anchor:middle" coordsize="729248,13307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" path="m364624,nsc552623,,709803,260834,727609,602357l364624,665375,364624,xem364624,nfc552623,,709803,260834,727609,602357e" filled="f" strokecolor="#92d050" strokeweight="1.25pt">
                  <v:stroke dashstyle="dash" endarrow="classic" joinstyle="miter"/>
                  <v:path arrowok="t" o:connecttype="custom" o:connectlocs="3647,0;7277,6513" o:connectangles="0,0"/>
                </v:shape>
                <v:shape id="pole tekstowe 19" o:spid="_x0000_s1082" type="#_x0000_t202" style="position:absolute;left:85;top:21264;width:20022;height:3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" filled="f" stroked="f">
                  <v:textbox>
                    <w:txbxContent>
                      <w:p w14:paraId="53AB43F3" w14:textId="77777777" w:rsidR="00D370E2" w:rsidRDefault="00D370E2" w:rsidP="00D370E2">
                        <w:pPr>
                          <w:jc w:val="center"/>
                          <w:rPr>
                            <w:rFonts w:asciiTheme="minorHAnsi" w:hAnsi="Calibri"/>
                            <w:b/>
                            <w:bCs/>
                            <w:color w:val="70AD47"/>
                            <w:kern w:val="24"/>
                            <w14:ligatures w14:val="none"/>
                          </w:rPr>
                        </w:pPr>
                        <w:r>
                          <w:rPr>
                            <w:rFonts w:asciiTheme="minorHAnsi" w:hAnsi="Calibri"/>
                            <w:b/>
                            <w:bCs/>
                            <w:color w:val="70AD47"/>
                            <w:kern w:val="24"/>
                          </w:rPr>
                          <w:t>w elektroenergetyce</w:t>
                        </w:r>
                      </w:p>
                    </w:txbxContent>
                  </v:textbox>
                </v:shape>
                <v:shape id="pole tekstowe 20" o:spid="_x0000_s1083" type="#_x0000_t202" style="position:absolute;left:17484;top:21272;width:20017;height:50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" filled="f" stroked="f">
                  <v:textbox>
                    <w:txbxContent>
                      <w:p w14:paraId="6C5AA2C2" w14:textId="77777777" w:rsidR="00D370E2" w:rsidRDefault="00D370E2" w:rsidP="00D370E2">
                        <w:pPr>
                          <w:spacing w:line="240" w:lineRule="auto"/>
                          <w:jc w:val="center"/>
                          <w:rPr>
                            <w:rFonts w:asciiTheme="minorHAnsi" w:hAnsi="Calibri"/>
                            <w:b/>
                            <w:bCs/>
                            <w:color w:val="70AD47"/>
                            <w:kern w:val="24"/>
                          </w:rPr>
                        </w:pPr>
                        <w:r>
                          <w:rPr>
                            <w:rFonts w:asciiTheme="minorHAnsi" w:hAnsi="Calibri"/>
                            <w:b/>
                            <w:bCs/>
                            <w:color w:val="70AD47"/>
                            <w:kern w:val="24"/>
                          </w:rPr>
                          <w:t>w ciepłownictwie</w:t>
                        </w:r>
                        <w:r>
                          <w:rPr>
                            <w:rFonts w:asciiTheme="minorHAnsi" w:hAnsi="Calibri"/>
                            <w:b/>
                            <w:bCs/>
                            <w:color w:val="70AD47"/>
                            <w:kern w:val="24"/>
                          </w:rPr>
                          <w:br/>
                          <w:t>i chłodnictwie</w:t>
                        </w:r>
                      </w:p>
                    </w:txbxContent>
                  </v:textbox>
                </v:shape>
                <v:shape id="pole tekstowe 21" o:spid="_x0000_s1084" type="#_x0000_t202" style="position:absolute;left:33363;top:21436;width:20022;height:3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" filled="f" stroked="f">
                  <v:textbox>
                    <w:txbxContent>
                      <w:p w14:paraId="6C22D260" w14:textId="77777777" w:rsidR="00D370E2" w:rsidRDefault="00D370E2" w:rsidP="00D370E2">
                        <w:pPr>
                          <w:jc w:val="center"/>
                          <w:rPr>
                            <w:rFonts w:asciiTheme="minorHAnsi" w:hAnsi="Calibri"/>
                            <w:b/>
                            <w:bCs/>
                            <w:color w:val="70AD47"/>
                            <w:kern w:val="24"/>
                            <w14:ligatures w14:val="none"/>
                          </w:rPr>
                        </w:pPr>
                        <w:r>
                          <w:rPr>
                            <w:rFonts w:asciiTheme="minorHAnsi" w:hAnsi="Calibri"/>
                            <w:b/>
                            <w:bCs/>
                            <w:color w:val="70AD47"/>
                            <w:kern w:val="24"/>
                          </w:rPr>
                          <w:t>w transporcie</w:t>
                        </w:r>
                      </w:p>
                    </w:txbxContent>
                  </v:textbox>
                </v:shape>
                <w10:wrap type="topAndBottom" anchorx="margin"/>
              </v:group>
            </w:pict>
          </mc:Fallback>
        </mc:AlternateContent>
      </w:r>
      <w:r>
        <w:t>.</w:t>
      </w:r>
    </w:p>
    <w:p w14:paraId="0DA9B398" w14:textId="77777777" w:rsidR="00D370E2" w:rsidRDefault="00D370E2">
      <w:pPr>
        <w:jc w:val="left"/>
      </w:pPr>
      <w:r>
        <w:br w:type="page"/>
      </w:r>
    </w:p>
    <w:p w14:paraId="55B8785F" w14:textId="316F15F2" w:rsidR="00D370E2" w:rsidRDefault="00D370E2" w:rsidP="009A1A68">
      <w:r>
        <w:lastRenderedPageBreak/>
        <w:t xml:space="preserve">w którym udział OZE w 2030 r. </w:t>
      </w:r>
      <w:r w:rsidRPr="00231BB8">
        <w:t xml:space="preserve">może osiągnąć </w:t>
      </w:r>
      <w:r w:rsidRPr="00B62A19">
        <w:rPr>
          <w:b/>
          <w:bCs/>
        </w:rPr>
        <w:t>56,1</w:t>
      </w:r>
      <w:r w:rsidRPr="00231BB8">
        <w:rPr>
          <w:b/>
          <w:bCs/>
        </w:rPr>
        <w:t>% (</w:t>
      </w:r>
      <w:r>
        <w:rPr>
          <w:b/>
          <w:bCs/>
        </w:rPr>
        <w:t>9</w:t>
      </w:r>
      <w:r w:rsidRPr="00231BB8">
        <w:rPr>
          <w:b/>
          <w:bCs/>
        </w:rPr>
        <w:t>  Mtoe)</w:t>
      </w:r>
      <w:r>
        <w:rPr>
          <w:b/>
          <w:bCs/>
        </w:rPr>
        <w:t xml:space="preserve"> oraz 69,4% (17,2 Mtoe) w 2040 r</w:t>
      </w:r>
      <w:r w:rsidRPr="00231BB8">
        <w:t xml:space="preserve">. Udział OZE w ciepłownictwie i chłodnictwie może wynieść </w:t>
      </w:r>
      <w:r w:rsidRPr="00B62A19">
        <w:rPr>
          <w:b/>
          <w:bCs/>
        </w:rPr>
        <w:t>35,4</w:t>
      </w:r>
      <w:r w:rsidRPr="00231BB8">
        <w:rPr>
          <w:b/>
          <w:bCs/>
        </w:rPr>
        <w:t>% (10,</w:t>
      </w:r>
      <w:r>
        <w:rPr>
          <w:b/>
          <w:bCs/>
        </w:rPr>
        <w:t>4</w:t>
      </w:r>
      <w:r w:rsidRPr="00231BB8">
        <w:rPr>
          <w:b/>
          <w:bCs/>
        </w:rPr>
        <w:t>  Mtoe)</w:t>
      </w:r>
      <w:r>
        <w:rPr>
          <w:b/>
          <w:bCs/>
        </w:rPr>
        <w:t xml:space="preserve"> oraz 62,6% (15,6 Mtoe) w 2040 r</w:t>
      </w:r>
      <w:r w:rsidRPr="00231BB8">
        <w:t xml:space="preserve">, zaś w transporcie </w:t>
      </w:r>
      <w:r w:rsidRPr="00231BB8">
        <w:rPr>
          <w:b/>
          <w:bCs/>
        </w:rPr>
        <w:t>17,7% (2,</w:t>
      </w:r>
      <w:r>
        <w:rPr>
          <w:b/>
          <w:bCs/>
        </w:rPr>
        <w:t>6</w:t>
      </w:r>
      <w:r w:rsidRPr="00231BB8">
        <w:rPr>
          <w:b/>
          <w:bCs/>
        </w:rPr>
        <w:t> </w:t>
      </w:r>
      <w:r>
        <w:rPr>
          <w:b/>
          <w:bCs/>
        </w:rPr>
        <w:t> </w:t>
      </w:r>
      <w:r w:rsidRPr="00231BB8">
        <w:rPr>
          <w:b/>
          <w:bCs/>
        </w:rPr>
        <w:t>Mtoe)</w:t>
      </w:r>
      <w:r>
        <w:rPr>
          <w:b/>
          <w:bCs/>
        </w:rPr>
        <w:t xml:space="preserve"> 46,1% (4,1 Mtoe) w 2040 r.</w:t>
      </w:r>
      <w:r>
        <w:rPr>
          <w:rStyle w:val="Odwoanieprzypisudolnego"/>
          <w:b/>
          <w:bCs/>
        </w:rPr>
        <w:footnoteReference w:id="14"/>
      </w:r>
      <w:r w:rsidRPr="00231BB8">
        <w:t xml:space="preserve"> Bardziej szczegółowe założenia obszarowe znajdują się na kolejnych</w:t>
      </w:r>
      <w:r>
        <w:t xml:space="preserve"> stronach</w:t>
      </w:r>
    </w:p>
    <w:p w14:paraId="3E8724B5" w14:textId="16C0FC73" w:rsidR="009A1A68" w:rsidRDefault="009A1A68" w:rsidP="009A1A68">
      <w:r w:rsidRPr="009A1A68">
        <w:t xml:space="preserve"> </w:t>
      </w:r>
      <w:r>
        <w:t>Mając na uwadze dotychczasowe postępy dotyczące rozwoju OZE, zarówno unijne, jak i krajowe zobowiązania na 2030 r. należy uznać za ambitne. Każdy z sektorów cechuje się inną specyfiką i występują w nich inne wyzwania. Cechą wspólną dla wszystkich obszarów w zakresie intensywniejszego zazielenienia jest zależność od postępu technologicznego – zarówno w zakresie aktualnie znanych sposobów wytwarzania energii oraz rozwiązań towarzyszących OZE (w tym np. technologii bilansowania i magazynowania energii), jak i w zupełnie nowych technologiach. Ocenia się, że najtrudniejszy do zrealizowania będzie cel w zakresie transportu.</w:t>
      </w:r>
    </w:p>
    <w:p w14:paraId="13330346" w14:textId="2A88007A" w:rsidR="003C194F" w:rsidRDefault="003C194F" w:rsidP="0074650C">
      <w:pPr>
        <w:pStyle w:val="Polityka"/>
        <w:spacing w:before="600"/>
      </w:pPr>
      <w:r w:rsidRPr="00C46DAA">
        <w:t>POLITYKA</w:t>
      </w:r>
    </w:p>
    <w:p w14:paraId="67DF589B" w14:textId="61887C2C" w:rsidR="003C194F" w:rsidRPr="000E240E" w:rsidRDefault="00D73A43" w:rsidP="003C194F">
      <w:r>
        <w:t xml:space="preserve">Rozwój odnawialnych źródeł energii jest jednym głównych narzędzi dekarbonizacji gospodarki. </w:t>
      </w:r>
      <w:r w:rsidR="007E6993">
        <w:t>W wartościach bezwzględnych w kolejnych latach największą rolę w realizacji całkowitego celu odgrywać będzie energia pochodząca z</w:t>
      </w:r>
      <w:r w:rsidR="00F96050">
        <w:t xml:space="preserve"> </w:t>
      </w:r>
      <w:r w:rsidR="007E6993">
        <w:t>biomasy stałej</w:t>
      </w:r>
      <w:r w:rsidR="00F96050">
        <w:t xml:space="preserve"> (w </w:t>
      </w:r>
      <w:r w:rsidR="0049006C">
        <w:t>tym</w:t>
      </w:r>
      <w:r w:rsidR="00F96050">
        <w:t xml:space="preserve"> zrównoważona)</w:t>
      </w:r>
      <w:r w:rsidR="007E6993">
        <w:t>, ze względu na jej dominującą rolę jako OZE w ciepłownictwie</w:t>
      </w:r>
      <w:r w:rsidR="0049006C">
        <w:t>. D</w:t>
      </w:r>
      <w:r w:rsidR="007E6993">
        <w:t>ążyć się będzie do systematycznego zwiększania roli innych OZE. P</w:t>
      </w:r>
      <w:r w:rsidR="00ED424A">
        <w:t xml:space="preserve">riorytetem są </w:t>
      </w:r>
      <w:r w:rsidR="007E6993">
        <w:t>działania mają</w:t>
      </w:r>
      <w:r w:rsidR="00ED424A">
        <w:t>ce</w:t>
      </w:r>
      <w:r w:rsidR="007E6993">
        <w:t xml:space="preserve"> na celu nie tylko bezpośredni przyrost wykorzystania najbardziej popularnych technologii (w szczególności energetyki wiatrowej, słonecznej</w:t>
      </w:r>
      <w:r w:rsidR="0049006C">
        <w:t>)</w:t>
      </w:r>
      <w:r w:rsidR="007E6993">
        <w:t>, zastosowani</w:t>
      </w:r>
      <w:r w:rsidR="00F96050">
        <w:t>e</w:t>
      </w:r>
      <w:r w:rsidR="007E6993">
        <w:t xml:space="preserve"> pomp ciepła</w:t>
      </w:r>
      <w:r w:rsidR="0049006C">
        <w:t xml:space="preserve"> i</w:t>
      </w:r>
      <w:r w:rsidR="00BC1921">
        <w:t> </w:t>
      </w:r>
      <w:r w:rsidR="00F96050">
        <w:t xml:space="preserve">rozwój </w:t>
      </w:r>
      <w:r w:rsidR="00ED424A">
        <w:t>elektromobilności, ale przede wszystkim zapewnieni</w:t>
      </w:r>
      <w:r w:rsidR="0049006C">
        <w:t>e</w:t>
      </w:r>
      <w:r w:rsidR="00ED424A">
        <w:t xml:space="preserve"> technicznych możliwości przyrostu</w:t>
      </w:r>
      <w:r w:rsidR="0049006C">
        <w:t xml:space="preserve"> OZE</w:t>
      </w:r>
      <w:r w:rsidR="00ED424A">
        <w:t xml:space="preserve"> – od</w:t>
      </w:r>
      <w:r w:rsidR="00F96050">
        <w:t xml:space="preserve"> </w:t>
      </w:r>
      <w:r w:rsidR="00ED424A">
        <w:t xml:space="preserve">dostosowania infrastruktury przesyłu i dystrybucji energii, </w:t>
      </w:r>
      <w:r w:rsidR="0049006C">
        <w:t xml:space="preserve">rozwoju stabilnych i sterowalnych źródeł rezerwowych, rozwój </w:t>
      </w:r>
      <w:r w:rsidR="00B626B4">
        <w:t>elastycznoś</w:t>
      </w:r>
      <w:r w:rsidR="0049006C">
        <w:t>ci</w:t>
      </w:r>
      <w:r w:rsidR="00B626B4">
        <w:t xml:space="preserve"> </w:t>
      </w:r>
      <w:r w:rsidR="0049006C">
        <w:t xml:space="preserve">generacji i </w:t>
      </w:r>
      <w:r w:rsidR="00B626B4">
        <w:t xml:space="preserve">odbioru, </w:t>
      </w:r>
      <w:r w:rsidR="00ED424A">
        <w:t>przez rozwój magazynowania energii po</w:t>
      </w:r>
      <w:r w:rsidR="00BC1921">
        <w:t> </w:t>
      </w:r>
      <w:r w:rsidR="00ED424A">
        <w:t xml:space="preserve">rozwój infrastruktury paliw alternatywnych. </w:t>
      </w:r>
    </w:p>
    <w:p w14:paraId="7E5719EE" w14:textId="22B62FBB" w:rsidR="003C194F" w:rsidRPr="00AC61D8" w:rsidRDefault="003C194F" w:rsidP="003C194F">
      <w:pPr>
        <w:rPr>
          <w:i/>
          <w:iCs/>
        </w:rPr>
      </w:pPr>
      <w:r>
        <w:rPr>
          <w:i/>
          <w:iCs/>
        </w:rPr>
        <w:t xml:space="preserve">Uszczegółowienie stanowią polityki i działania wskazane przy celach sektorowych. </w:t>
      </w:r>
    </w:p>
    <w:p w14:paraId="6E8AC7AE" w14:textId="24126157" w:rsidR="003C194F" w:rsidRPr="00C46DAA" w:rsidRDefault="003C194F" w:rsidP="003C194F">
      <w:pPr>
        <w:spacing w:before="240" w:after="80"/>
        <w:rPr>
          <w:rFonts w:ascii="Bahnschrift" w:hAnsi="Bahnschrift"/>
          <w:sz w:val="32"/>
          <w:szCs w:val="32"/>
        </w:rPr>
      </w:pPr>
      <w:r w:rsidRPr="00C46DAA">
        <w:rPr>
          <w:rFonts w:ascii="Bahnschrift" w:hAnsi="Bahnschrift"/>
          <w:b/>
          <w:bCs/>
          <w:sz w:val="32"/>
          <w:szCs w:val="32"/>
        </w:rPr>
        <w:t>DZIAŁANIA</w:t>
      </w:r>
    </w:p>
    <w:p w14:paraId="5D1B40BD" w14:textId="2101A06A" w:rsidR="003C194F" w:rsidRDefault="003C194F" w:rsidP="003C194F">
      <w:r>
        <w:rPr>
          <w:i/>
          <w:iCs/>
        </w:rPr>
        <w:t>Do realizacji celu ogólnego przyczyniać się będą działania wskazane przy kolejnych celach sektorowych.</w:t>
      </w:r>
    </w:p>
    <w:p w14:paraId="77D2D97B" w14:textId="1F06B1AF" w:rsidR="007754E2" w:rsidRDefault="007754E2" w:rsidP="007754E2">
      <w:pPr>
        <w:pStyle w:val="Nagwek3"/>
        <w:rPr>
          <w:color w:val="70AD47" w:themeColor="accent6"/>
        </w:rPr>
      </w:pPr>
      <w:bookmarkStart w:id="37" w:name="_Toc159598288"/>
      <w:bookmarkStart w:id="38" w:name="_Toc179536936"/>
      <w:r w:rsidRPr="00F53663">
        <w:rPr>
          <w:color w:val="70AD47" w:themeColor="accent6"/>
        </w:rPr>
        <w:t xml:space="preserve">Dekarbonizacja </w:t>
      </w:r>
      <w:r w:rsidR="00AF549B">
        <w:rPr>
          <w:color w:val="70AD47" w:themeColor="accent6"/>
        </w:rPr>
        <w:t xml:space="preserve">i rozwój OZE </w:t>
      </w:r>
      <w:r w:rsidR="005E16E5">
        <w:rPr>
          <w:color w:val="70AD47" w:themeColor="accent6"/>
        </w:rPr>
        <w:t>w</w:t>
      </w:r>
      <w:r w:rsidR="00AF549B">
        <w:rPr>
          <w:color w:val="70AD47" w:themeColor="accent6"/>
        </w:rPr>
        <w:t>edług </w:t>
      </w:r>
      <w:r w:rsidR="005E16E5">
        <w:rPr>
          <w:color w:val="70AD47" w:themeColor="accent6"/>
        </w:rPr>
        <w:t>sektor</w:t>
      </w:r>
      <w:r w:rsidR="00AF549B">
        <w:rPr>
          <w:color w:val="70AD47" w:themeColor="accent6"/>
        </w:rPr>
        <w:t>ów</w:t>
      </w:r>
      <w:bookmarkEnd w:id="37"/>
      <w:bookmarkEnd w:id="38"/>
    </w:p>
    <w:p w14:paraId="0FA504F5" w14:textId="47A33FC8" w:rsidR="00014C8E" w:rsidRDefault="00D53269" w:rsidP="00014C8E">
      <w:pPr>
        <w:spacing w:after="120"/>
      </w:pPr>
      <w:r>
        <w:t>Jak wskazano przy opisie celu ogólnego w zakresie redukcji emisji – do jego</w:t>
      </w:r>
      <w:r w:rsidRPr="00D53269">
        <w:t xml:space="preserve"> realizacji przyczyniać się </w:t>
      </w:r>
      <w:r>
        <w:t xml:space="preserve">musi </w:t>
      </w:r>
      <w:r w:rsidRPr="00D53269">
        <w:t>podejmowanie wysiłków dekarbonizacyjnych we wszystkich sektorach gospodarki</w:t>
      </w:r>
      <w:r>
        <w:t xml:space="preserve">. </w:t>
      </w:r>
      <w:r w:rsidR="00014C8E">
        <w:t>Powyżej</w:t>
      </w:r>
      <w:r>
        <w:t xml:space="preserve"> określono cel dot</w:t>
      </w:r>
      <w:r w:rsidR="00D5040C">
        <w:t>yczący</w:t>
      </w:r>
      <w:r>
        <w:t xml:space="preserve"> redukcji emisji </w:t>
      </w:r>
      <w:r w:rsidR="00014C8E">
        <w:t xml:space="preserve">GC </w:t>
      </w:r>
      <w:r>
        <w:t>w sektorach nieobjętych systemem EU ETS oraz prognozy ograniczenia emisji w</w:t>
      </w:r>
      <w:r w:rsidR="00014C8E">
        <w:t> </w:t>
      </w:r>
      <w:r>
        <w:t xml:space="preserve">sektorach </w:t>
      </w:r>
      <w:r w:rsidR="00014C8E">
        <w:t>objętych</w:t>
      </w:r>
      <w:r w:rsidR="0095663B">
        <w:t xml:space="preserve"> tym systemem</w:t>
      </w:r>
      <w:r w:rsidR="00014C8E">
        <w:t>, natomiast w</w:t>
      </w:r>
      <w:r>
        <w:t xml:space="preserve"> tej części wskazano w jaki sposób odbywać się </w:t>
      </w:r>
      <w:r w:rsidR="00D5040C">
        <w:t xml:space="preserve">będzie </w:t>
      </w:r>
      <w:r w:rsidR="00014C8E">
        <w:t>dążenie do dekarbonizacji sektorów:</w:t>
      </w:r>
    </w:p>
    <w:p w14:paraId="58B2DD6E" w14:textId="0B429922" w:rsidR="00014C8E" w:rsidRDefault="00014C8E" w:rsidP="00D121F4">
      <w:pPr>
        <w:pStyle w:val="Akapitzlist"/>
        <w:numPr>
          <w:ilvl w:val="0"/>
          <w:numId w:val="8"/>
        </w:numPr>
      </w:pPr>
      <w:r>
        <w:t>elektroenergetycznego,</w:t>
      </w:r>
    </w:p>
    <w:p w14:paraId="6CEB2840" w14:textId="14F95A3D" w:rsidR="00014C8E" w:rsidRDefault="00014C8E" w:rsidP="00D121F4">
      <w:pPr>
        <w:pStyle w:val="Akapitzlist"/>
        <w:numPr>
          <w:ilvl w:val="0"/>
          <w:numId w:val="8"/>
        </w:numPr>
      </w:pPr>
      <w:r>
        <w:t>ciepłownictwa,</w:t>
      </w:r>
    </w:p>
    <w:p w14:paraId="491A363A" w14:textId="3D078212" w:rsidR="00014C8E" w:rsidRDefault="00014C8E" w:rsidP="00D121F4">
      <w:pPr>
        <w:pStyle w:val="Akapitzlist"/>
        <w:numPr>
          <w:ilvl w:val="0"/>
          <w:numId w:val="8"/>
        </w:numPr>
      </w:pPr>
      <w:r>
        <w:t>transportu,</w:t>
      </w:r>
    </w:p>
    <w:p w14:paraId="68978949" w14:textId="6415B0F2" w:rsidR="00014C8E" w:rsidRDefault="00014C8E" w:rsidP="00D121F4">
      <w:pPr>
        <w:pStyle w:val="Akapitzlist"/>
        <w:numPr>
          <w:ilvl w:val="0"/>
          <w:numId w:val="8"/>
        </w:numPr>
      </w:pPr>
      <w:r>
        <w:t>przemysłu,</w:t>
      </w:r>
    </w:p>
    <w:p w14:paraId="16C7493B" w14:textId="0DB35B3F" w:rsidR="00D53269" w:rsidRDefault="00014C8E" w:rsidP="00D121F4">
      <w:pPr>
        <w:pStyle w:val="Akapitzlist"/>
        <w:numPr>
          <w:ilvl w:val="0"/>
          <w:numId w:val="8"/>
        </w:numPr>
      </w:pPr>
      <w:r>
        <w:t>rolnictwa.</w:t>
      </w:r>
    </w:p>
    <w:p w14:paraId="42B711BE" w14:textId="0F6C2E7E" w:rsidR="00C06AA6" w:rsidRPr="00AC3BAF" w:rsidRDefault="001039C9" w:rsidP="00B348E1">
      <w:pPr>
        <w:pStyle w:val="Nagwek4"/>
        <w:spacing w:before="480"/>
        <w:rPr>
          <w:color w:val="70AD47" w:themeColor="accent6"/>
        </w:rPr>
      </w:pPr>
      <w:bookmarkStart w:id="39" w:name="_Ref158105628"/>
      <w:bookmarkStart w:id="40" w:name="_Ref158105631"/>
      <w:bookmarkStart w:id="41" w:name="_Toc159598289"/>
      <w:bookmarkStart w:id="42" w:name="_Toc179536937"/>
      <w:r w:rsidRPr="00AC3BAF">
        <w:rPr>
          <w:color w:val="70AD47" w:themeColor="accent6"/>
        </w:rPr>
        <w:lastRenderedPageBreak/>
        <w:t>R</w:t>
      </w:r>
      <w:r w:rsidR="00C06AA6" w:rsidRPr="00AC3BAF">
        <w:rPr>
          <w:color w:val="70AD47" w:themeColor="accent6"/>
        </w:rPr>
        <w:t>edukcj</w:t>
      </w:r>
      <w:r w:rsidRPr="00AC3BAF">
        <w:rPr>
          <w:color w:val="70AD47" w:themeColor="accent6"/>
        </w:rPr>
        <w:t>a</w:t>
      </w:r>
      <w:r w:rsidR="00C06AA6" w:rsidRPr="00AC3BAF">
        <w:rPr>
          <w:color w:val="70AD47" w:themeColor="accent6"/>
        </w:rPr>
        <w:t xml:space="preserve"> emisji GC w sektorze elektroenergetycznym</w:t>
      </w:r>
      <w:r w:rsidR="00C349E3" w:rsidRPr="00AC3BAF">
        <w:rPr>
          <w:color w:val="70AD47" w:themeColor="accent6"/>
        </w:rPr>
        <w:t>, w tym rozwój OZE</w:t>
      </w:r>
      <w:bookmarkEnd w:id="39"/>
      <w:bookmarkEnd w:id="40"/>
      <w:bookmarkEnd w:id="41"/>
      <w:bookmarkEnd w:id="42"/>
    </w:p>
    <w:p w14:paraId="28575FD5" w14:textId="6FCD6C27" w:rsidR="00014C8E" w:rsidRDefault="00014C8E" w:rsidP="00014C8E">
      <w:r>
        <w:t xml:space="preserve">Polski sektor elektroenergetyczny </w:t>
      </w:r>
      <w:r w:rsidR="00BC1921">
        <w:t xml:space="preserve">historycznie </w:t>
      </w:r>
      <w:r>
        <w:t>oparty został na elektrowniach węglowych, ze względu na</w:t>
      </w:r>
      <w:r w:rsidR="00B626B4">
        <w:t> </w:t>
      </w:r>
      <w:r>
        <w:t>dostęp surowca i decyzje polityczne ubiegłego wieku. Spośród stabilnych źródeł wytwarzania energii elektrycznej nie wybrano wówczas energetyki jądrowej, a potencjał hydroenergetyczny kraju nie</w:t>
      </w:r>
      <w:r w:rsidR="00B626B4">
        <w:t> </w:t>
      </w:r>
      <w:r>
        <w:t xml:space="preserve">umożliwiał budowy znaczących mocy elektrowni wodnych. </w:t>
      </w:r>
      <w:r w:rsidR="00B348E1">
        <w:t>Dlatego</w:t>
      </w:r>
      <w:r>
        <w:t xml:space="preserve"> punkt startowy naszego kraju w zakresie dekarbonizacji był trudny, biorąc także pod uwagę ograniczone możliwości ekonomiczne. </w:t>
      </w:r>
    </w:p>
    <w:p w14:paraId="21FC62DB" w14:textId="04A18380" w:rsidR="00620A75" w:rsidRDefault="00014C8E" w:rsidP="00026968">
      <w:r>
        <w:t>Na przestrzeni ostatnich 10 lat w krajowym systemie elektroenergetycznym (KSE) nast</w:t>
      </w:r>
      <w:r w:rsidR="00B626B4">
        <w:t>ąpiła</w:t>
      </w:r>
      <w:r>
        <w:t xml:space="preserve"> szybka zmiana struktury mocy zainstalowanej i produkcji energii elektrycznej. W latach</w:t>
      </w:r>
      <w:r w:rsidR="009675DC">
        <w:t xml:space="preserve"> 2020-2023</w:t>
      </w:r>
      <w:r>
        <w:t xml:space="preserve"> moc zainstalowana w </w:t>
      </w:r>
      <w:r w:rsidRPr="00B137DC">
        <w:t>KSE wzrosła z</w:t>
      </w:r>
      <w:r w:rsidR="009675DC" w:rsidRPr="00B137DC">
        <w:t xml:space="preserve"> ok. 4</w:t>
      </w:r>
      <w:r w:rsidR="00A36950" w:rsidRPr="00B137DC">
        <w:t>7</w:t>
      </w:r>
      <w:r w:rsidR="009675DC" w:rsidRPr="00B137DC">
        <w:t xml:space="preserve"> GW </w:t>
      </w:r>
      <w:r w:rsidRPr="00B137DC">
        <w:t xml:space="preserve">do </w:t>
      </w:r>
      <w:r w:rsidR="009675DC" w:rsidRPr="00B137DC">
        <w:t>66</w:t>
      </w:r>
      <w:r w:rsidRPr="00B137DC">
        <w:t xml:space="preserve"> GW, czyli</w:t>
      </w:r>
      <w:r>
        <w:t xml:space="preserve"> o </w:t>
      </w:r>
      <w:r w:rsidR="009675DC">
        <w:t>ponad</w:t>
      </w:r>
      <w:r>
        <w:t xml:space="preserve"> </w:t>
      </w:r>
      <w:r w:rsidR="00423AAF">
        <w:t>40%</w:t>
      </w:r>
      <w:r>
        <w:t xml:space="preserve"> – do czego przyczyniły się przede wszystkim OZE i moce gazowe. </w:t>
      </w:r>
      <w:r w:rsidR="00693B35">
        <w:t>Największy wpływ na poziom emisji gazów cieplarnianych oraz emisyjność wytwarzania energii elektrycznej mają elektrownie węglowe, zwłaszcza te w najsłabszym stanie technicznym. W poprzednich latach dokonano wielu inwestycji, które pozwoliły na zredukowanie wpływu starszych jednostek węglowych na środowisko</w:t>
      </w:r>
      <w:r w:rsidR="00B47E04">
        <w:t>.</w:t>
      </w:r>
      <w:r w:rsidR="00EF61BE">
        <w:t xml:space="preserve"> Ostatnie wdrożone bloki węglowe cechują się niższą emisyjnością niż starsze jednostki. </w:t>
      </w:r>
      <w:r w:rsidR="00B47E04">
        <w:t>Kluczową rolę w obniżaniu emisyjności odgrywały nowe moce oparte na odnawialnych źródłach energii – elektrownie wiatrowe i słoneczne,</w:t>
      </w:r>
      <w:r w:rsidR="00693B35">
        <w:t xml:space="preserve"> </w:t>
      </w:r>
      <w:r w:rsidR="00B626B4">
        <w:t>przy czym</w:t>
      </w:r>
      <w:r w:rsidR="00B47E04">
        <w:t xml:space="preserve"> ze względu na</w:t>
      </w:r>
      <w:r w:rsidR="00B626B4">
        <w:t> ich wysoką zależność</w:t>
      </w:r>
      <w:r w:rsidR="00B47E04">
        <w:t xml:space="preserve"> od </w:t>
      </w:r>
      <w:r w:rsidR="00B626B4">
        <w:t>warunków pogodowych</w:t>
      </w:r>
      <w:r w:rsidR="00B47E04">
        <w:t xml:space="preserve">, konieczne były również inwestycje w moce dyspozycyjne. </w:t>
      </w:r>
      <w:r w:rsidR="00EF61BE">
        <w:t>Szczególne znaczenie miały elektrownie gazowe</w:t>
      </w:r>
      <w:r w:rsidR="00B626B4">
        <w:t xml:space="preserve">, które </w:t>
      </w:r>
      <w:r w:rsidR="00EF61BE">
        <w:t xml:space="preserve">cechują się niższą emisyjnością niż jednostki węglowe, </w:t>
      </w:r>
      <w:r w:rsidR="00E60962">
        <w:t>dlatego stanowią „pomost” na drodze do przekształcenia sektora wytwórczego na</w:t>
      </w:r>
      <w:r w:rsidR="00B626B4">
        <w:t> </w:t>
      </w:r>
      <w:r w:rsidR="00E60962">
        <w:t xml:space="preserve">zeroemisyjny. </w:t>
      </w:r>
      <w:r w:rsidR="00EF61BE">
        <w:t>Trend dekarbonizacyjn</w:t>
      </w:r>
      <w:r w:rsidR="00423AAF">
        <w:t>y</w:t>
      </w:r>
      <w:r w:rsidR="00EF61BE">
        <w:t xml:space="preserve"> będ</w:t>
      </w:r>
      <w:r w:rsidR="00423AAF">
        <w:t>zie</w:t>
      </w:r>
      <w:r w:rsidR="00EF61BE">
        <w:t xml:space="preserve"> </w:t>
      </w:r>
      <w:r w:rsidR="009675DC">
        <w:t>w</w:t>
      </w:r>
      <w:r w:rsidR="00867D4A">
        <w:t> </w:t>
      </w:r>
      <w:r w:rsidR="009675DC">
        <w:t xml:space="preserve">dalszym ciągu </w:t>
      </w:r>
      <w:r w:rsidR="00EF61BE">
        <w:t>postępować.</w:t>
      </w:r>
    </w:p>
    <w:p w14:paraId="08760599" w14:textId="60B3AAC3" w:rsidR="00B348E1" w:rsidRPr="00B348E1" w:rsidRDefault="00080BA7" w:rsidP="00B348E1">
      <w:pPr>
        <w:pStyle w:val="Cele"/>
        <w:rPr>
          <w:i/>
          <w:iCs/>
          <w:sz w:val="22"/>
          <w:szCs w:val="20"/>
        </w:rPr>
      </w:pPr>
      <w:r w:rsidRPr="00A03664">
        <w:rPr>
          <w:b/>
          <w:bCs/>
        </w:rPr>
        <w:t xml:space="preserve">Prognozy wskazują, że </w:t>
      </w:r>
      <w:r w:rsidR="008B1E6B">
        <w:rPr>
          <w:b/>
          <w:bCs/>
        </w:rPr>
        <w:t>w sektorze elektroenergetycznym</w:t>
      </w:r>
      <w:r w:rsidR="008B1E6B">
        <w:rPr>
          <w:rStyle w:val="Odwoanieprzypisudolnego"/>
          <w:b/>
          <w:bCs/>
        </w:rPr>
        <w:footnoteReference w:id="15"/>
      </w:r>
      <w:r w:rsidR="008B1E6B">
        <w:rPr>
          <w:b/>
          <w:bCs/>
        </w:rPr>
        <w:t xml:space="preserve"> </w:t>
      </w:r>
      <w:r w:rsidRPr="00A03664">
        <w:rPr>
          <w:b/>
          <w:bCs/>
        </w:rPr>
        <w:t xml:space="preserve">Polska może </w:t>
      </w:r>
      <w:r w:rsidR="00A03664">
        <w:rPr>
          <w:b/>
          <w:bCs/>
        </w:rPr>
        <w:t xml:space="preserve">osiągnąć </w:t>
      </w:r>
      <w:r w:rsidR="008B1E6B">
        <w:rPr>
          <w:b/>
          <w:bCs/>
        </w:rPr>
        <w:t>60</w:t>
      </w:r>
      <w:r w:rsidR="00A03664">
        <w:rPr>
          <w:b/>
          <w:bCs/>
        </w:rPr>
        <w:t>% r</w:t>
      </w:r>
      <w:r w:rsidR="00B47E04">
        <w:rPr>
          <w:b/>
          <w:bCs/>
        </w:rPr>
        <w:t>edukcji emisji</w:t>
      </w:r>
      <w:r w:rsidR="008B1E6B" w:rsidRPr="008B1E6B">
        <w:rPr>
          <w:b/>
          <w:bCs/>
        </w:rPr>
        <w:t xml:space="preserve"> </w:t>
      </w:r>
      <w:r w:rsidR="008B1E6B" w:rsidRPr="00A03664">
        <w:rPr>
          <w:b/>
          <w:bCs/>
        </w:rPr>
        <w:t xml:space="preserve">w 2030 r. </w:t>
      </w:r>
      <w:r w:rsidR="00A92592">
        <w:rPr>
          <w:rStyle w:val="Odwoanieprzypisudolnego"/>
          <w:b/>
          <w:bCs/>
        </w:rPr>
        <w:footnoteReference w:id="16"/>
      </w:r>
      <w:r w:rsidR="00A03664">
        <w:rPr>
          <w:b/>
          <w:bCs/>
        </w:rPr>
        <w:t xml:space="preserve"> </w:t>
      </w:r>
      <w:r w:rsidR="008B1E6B">
        <w:rPr>
          <w:b/>
          <w:bCs/>
        </w:rPr>
        <w:t xml:space="preserve">i aż 95% w 2040 r. </w:t>
      </w:r>
      <w:r w:rsidR="00B47E04">
        <w:rPr>
          <w:b/>
          <w:bCs/>
        </w:rPr>
        <w:t xml:space="preserve">w stosunku do </w:t>
      </w:r>
      <w:r w:rsidR="00B47E04" w:rsidRPr="00867D4A">
        <w:rPr>
          <w:b/>
          <w:bCs/>
        </w:rPr>
        <w:t>poziomu z 2005 r</w:t>
      </w:r>
      <w:r w:rsidR="00B47E04">
        <w:rPr>
          <w:b/>
          <w:bCs/>
        </w:rPr>
        <w:t>.</w:t>
      </w:r>
      <w:r w:rsidRPr="00A03664">
        <w:rPr>
          <w:b/>
          <w:bCs/>
        </w:rPr>
        <w:t xml:space="preserve"> </w:t>
      </w:r>
      <w:r w:rsidR="00D5040C">
        <w:rPr>
          <w:b/>
          <w:bCs/>
        </w:rPr>
        <w:br/>
      </w:r>
      <w:r w:rsidRPr="00B348E1">
        <w:rPr>
          <w:i/>
          <w:iCs/>
          <w:sz w:val="22"/>
          <w:szCs w:val="20"/>
        </w:rPr>
        <w:t>[szacunki nie mają charakteru celu]</w:t>
      </w:r>
    </w:p>
    <w:p w14:paraId="3C491827" w14:textId="2F846419" w:rsidR="00F35B84" w:rsidRDefault="00B348E1" w:rsidP="00F35B84">
      <w:r>
        <w:t xml:space="preserve">Do tak głębokiej dekarbonizacji elektroenergetyki </w:t>
      </w:r>
      <w:r w:rsidR="00DF08FE">
        <w:t xml:space="preserve">w perspektywie 2030 r. </w:t>
      </w:r>
      <w:r>
        <w:t xml:space="preserve">przyczyni się </w:t>
      </w:r>
      <w:r w:rsidRPr="00B348E1">
        <w:rPr>
          <w:b/>
          <w:bCs/>
        </w:rPr>
        <w:t>rozwój OZE</w:t>
      </w:r>
      <w:r w:rsidR="00DF08FE">
        <w:t>, a po</w:t>
      </w:r>
      <w:r>
        <w:t xml:space="preserve"> 2030 r. </w:t>
      </w:r>
      <w:r w:rsidR="00DF08FE">
        <w:t xml:space="preserve">dodatkowo </w:t>
      </w:r>
      <w:r w:rsidRPr="00B348E1">
        <w:rPr>
          <w:b/>
          <w:bCs/>
        </w:rPr>
        <w:t>energetyk</w:t>
      </w:r>
      <w:r w:rsidR="00DF08FE">
        <w:rPr>
          <w:b/>
          <w:bCs/>
        </w:rPr>
        <w:t>a</w:t>
      </w:r>
      <w:r w:rsidRPr="00B348E1">
        <w:rPr>
          <w:b/>
          <w:bCs/>
        </w:rPr>
        <w:t xml:space="preserve"> jądrow</w:t>
      </w:r>
      <w:r w:rsidR="00DF08FE">
        <w:rPr>
          <w:b/>
          <w:bCs/>
        </w:rPr>
        <w:t>a</w:t>
      </w:r>
      <w:r w:rsidR="00F35B84" w:rsidRPr="00F35B84">
        <w:t xml:space="preserve">, zarówno </w:t>
      </w:r>
      <w:r w:rsidR="005C6092">
        <w:t>wielkoskalowa, jak i w postaci mniejszych jednostek wytwórczych</w:t>
      </w:r>
      <w:r>
        <w:t xml:space="preserve">. </w:t>
      </w:r>
      <w:r w:rsidR="00F35B84">
        <w:t xml:space="preserve">Rolę w dekarbonizacji może odegrać także popularyzacja </w:t>
      </w:r>
      <w:r w:rsidR="00F35B84" w:rsidRPr="00A546C1">
        <w:rPr>
          <w:szCs w:val="20"/>
        </w:rPr>
        <w:t>technologi</w:t>
      </w:r>
      <w:r w:rsidR="00F35B84">
        <w:rPr>
          <w:szCs w:val="20"/>
        </w:rPr>
        <w:t>i</w:t>
      </w:r>
      <w:r w:rsidR="00F35B84" w:rsidRPr="00A546C1">
        <w:rPr>
          <w:szCs w:val="20"/>
        </w:rPr>
        <w:t xml:space="preserve"> CCS (wychwyt, składowanie CO</w:t>
      </w:r>
      <w:r w:rsidR="00F35B84" w:rsidRPr="00700DE6">
        <w:rPr>
          <w:szCs w:val="20"/>
          <w:vertAlign w:val="subscript"/>
        </w:rPr>
        <w:t>2</w:t>
      </w:r>
      <w:r w:rsidR="00F35B84" w:rsidRPr="00A546C1">
        <w:rPr>
          <w:szCs w:val="20"/>
        </w:rPr>
        <w:t xml:space="preserve">, ang. </w:t>
      </w:r>
      <w:r w:rsidR="00F35B84" w:rsidRPr="003C02F1">
        <w:rPr>
          <w:i/>
          <w:iCs/>
          <w:szCs w:val="20"/>
        </w:rPr>
        <w:t>carbon capture storage</w:t>
      </w:r>
      <w:r w:rsidR="00F35B84" w:rsidRPr="00A546C1">
        <w:rPr>
          <w:szCs w:val="20"/>
        </w:rPr>
        <w:t>) oraz CCU (wychwyt i</w:t>
      </w:r>
      <w:r w:rsidR="00F35B84">
        <w:rPr>
          <w:szCs w:val="20"/>
        </w:rPr>
        <w:t> </w:t>
      </w:r>
      <w:r w:rsidR="00F35B84" w:rsidRPr="00A546C1">
        <w:rPr>
          <w:szCs w:val="20"/>
        </w:rPr>
        <w:t>wykorzystanie CO</w:t>
      </w:r>
      <w:r w:rsidR="00F35B84" w:rsidRPr="00A546C1">
        <w:rPr>
          <w:szCs w:val="20"/>
          <w:vertAlign w:val="subscript"/>
        </w:rPr>
        <w:t>2</w:t>
      </w:r>
      <w:r w:rsidR="00F35B84" w:rsidRPr="00A546C1">
        <w:rPr>
          <w:szCs w:val="20"/>
        </w:rPr>
        <w:t xml:space="preserve">, ang. </w:t>
      </w:r>
      <w:r w:rsidR="00F35B84" w:rsidRPr="003C02F1">
        <w:rPr>
          <w:i/>
          <w:iCs/>
          <w:szCs w:val="20"/>
        </w:rPr>
        <w:t>carbon utilization and storage</w:t>
      </w:r>
      <w:r w:rsidR="00F35B84" w:rsidRPr="00A546C1">
        <w:rPr>
          <w:szCs w:val="20"/>
        </w:rPr>
        <w:t>)</w:t>
      </w:r>
      <w:r w:rsidR="00F35B84">
        <w:rPr>
          <w:szCs w:val="20"/>
        </w:rPr>
        <w:t xml:space="preserve">. Potencjał tej technologii dotyczy zarówno elektrowni gazowych, jednostek biomasowych i biogazowych (bio-CCS lub BECCS, ang. </w:t>
      </w:r>
      <w:r w:rsidR="00F35B84" w:rsidRPr="003C02F1">
        <w:rPr>
          <w:i/>
          <w:iCs/>
          <w:szCs w:val="20"/>
        </w:rPr>
        <w:t>bioenergy with carbon capture and storage</w:t>
      </w:r>
      <w:r w:rsidR="00F35B84">
        <w:rPr>
          <w:szCs w:val="20"/>
        </w:rPr>
        <w:t>), ale także jeszcze bardziej rozwiniętych rozwiązań opartych na wychwycie emisji CO</w:t>
      </w:r>
      <w:r w:rsidR="00F35B84" w:rsidRPr="003C02F1">
        <w:rPr>
          <w:szCs w:val="20"/>
          <w:vertAlign w:val="subscript"/>
        </w:rPr>
        <w:t>2</w:t>
      </w:r>
      <w:r w:rsidR="00F35B84">
        <w:rPr>
          <w:szCs w:val="20"/>
        </w:rPr>
        <w:t xml:space="preserve"> z powietrza (DACCS, ang. </w:t>
      </w:r>
      <w:r w:rsidR="00F35B84" w:rsidRPr="003C02F1">
        <w:rPr>
          <w:i/>
          <w:iCs/>
          <w:szCs w:val="20"/>
        </w:rPr>
        <w:t>direct air capture with capture and storage</w:t>
      </w:r>
      <w:r w:rsidR="00F35B84" w:rsidRPr="003C02F1">
        <w:rPr>
          <w:szCs w:val="20"/>
        </w:rPr>
        <w:t>)</w:t>
      </w:r>
      <w:r w:rsidR="00F35B84">
        <w:rPr>
          <w:szCs w:val="20"/>
        </w:rPr>
        <w:t>.</w:t>
      </w:r>
    </w:p>
    <w:p w14:paraId="20BDBEA0" w14:textId="0B6C7296" w:rsidR="00CD32A0" w:rsidRDefault="00CD32A0" w:rsidP="00CD32A0"/>
    <w:p w14:paraId="6E366DF7" w14:textId="5802062C" w:rsidR="00CD32A0" w:rsidRDefault="00CD32A0" w:rsidP="00CD32A0">
      <w:r>
        <w:t xml:space="preserve">Dyrektywa RED III i wcześniejsza dyrektywa RED II </w:t>
      </w:r>
      <w:r w:rsidRPr="00425F8E">
        <w:rPr>
          <w:b/>
          <w:bCs/>
        </w:rPr>
        <w:t>nie wskazują zobowiązań dla państw członkowskich ani celów unijnych w zakresie osiągnięcia określonego udziału OZE w</w:t>
      </w:r>
      <w:r w:rsidR="00425F8E" w:rsidRPr="00425F8E">
        <w:rPr>
          <w:b/>
          <w:bCs/>
        </w:rPr>
        <w:t> </w:t>
      </w:r>
      <w:r w:rsidRPr="00425F8E">
        <w:rPr>
          <w:b/>
          <w:bCs/>
        </w:rPr>
        <w:t>zużyciu energii elektrycznej</w:t>
      </w:r>
      <w:r>
        <w:t xml:space="preserve">, </w:t>
      </w:r>
      <w:r w:rsidR="006D2C23">
        <w:t>niemniej</w:t>
      </w:r>
      <w:r w:rsidR="009675DC">
        <w:t> </w:t>
      </w:r>
      <w:r>
        <w:t>przyrosty mocy następują w tym sektorze szybciej niż w ciepłownictwie czy transporcie.</w:t>
      </w:r>
    </w:p>
    <w:p w14:paraId="39257C57" w14:textId="13C02500" w:rsidR="00CD32A0" w:rsidRDefault="00CD32A0" w:rsidP="00CD32A0">
      <w:r w:rsidRPr="00425F8E">
        <w:rPr>
          <w:b/>
          <w:bCs/>
        </w:rPr>
        <w:t>Rozwój OZE w elektroenergetyce</w:t>
      </w:r>
      <w:r>
        <w:t xml:space="preserve"> to trend globalny, również w Polsce następ</w:t>
      </w:r>
      <w:r w:rsidR="006D2C23">
        <w:t>ował</w:t>
      </w:r>
      <w:r>
        <w:t xml:space="preserve"> intensywny przyrost tych mocy – w latach 2015–202</w:t>
      </w:r>
      <w:r w:rsidR="009675DC">
        <w:t>3</w:t>
      </w:r>
      <w:r>
        <w:t xml:space="preserve"> nastąpił wzrost z ok. </w:t>
      </w:r>
      <w:r w:rsidRPr="007E3599">
        <w:t xml:space="preserve">7,1 GW do </w:t>
      </w:r>
      <w:r w:rsidR="00A36950">
        <w:t xml:space="preserve">ponad </w:t>
      </w:r>
      <w:r w:rsidRPr="007E3599">
        <w:t>2</w:t>
      </w:r>
      <w:r w:rsidR="009675DC">
        <w:t>8</w:t>
      </w:r>
      <w:r w:rsidR="00A36950">
        <w:t>,</w:t>
      </w:r>
      <w:r w:rsidR="00E30DFC">
        <w:t>8</w:t>
      </w:r>
      <w:r w:rsidRPr="007E3599">
        <w:t xml:space="preserve"> GW</w:t>
      </w:r>
      <w:r>
        <w:t xml:space="preserve">, co stanowiło ok. </w:t>
      </w:r>
      <w:r w:rsidRPr="007E3599">
        <w:t>90% nowo zainstalowanych mocy</w:t>
      </w:r>
      <w:r>
        <w:t xml:space="preserve"> w krajowym systemie elektroenergetycznym (KSE)</w:t>
      </w:r>
      <w:r>
        <w:rPr>
          <w:rStyle w:val="Odwoanieprzypisudolnego"/>
        </w:rPr>
        <w:footnoteReference w:id="17"/>
      </w:r>
      <w:r>
        <w:t xml:space="preserve">. Wynika to z rosnącej popularności energetyki słonecznej i wiatrowej, choć przyrost udziału tych źródeł w produkcji energii jest znacznie wolniejszy, ze względu na ich zależność od warunków atmosferycznych. </w:t>
      </w:r>
      <w:r w:rsidR="00A36950">
        <w:t xml:space="preserve">Rolę uzupełniającą </w:t>
      </w:r>
      <w:r w:rsidR="00A36950">
        <w:lastRenderedPageBreak/>
        <w:t>odgrywają także elektrownie na biomasę, biogaz, a w przyszłości także na biometan. Jednostki o mocy cieplnej powyżej 2 MW w przypadku gazowych paliw z biomasy, a powyżej 20 MW (a następnie 7,5 MW) w przypadku stałych paliw z biomasy</w:t>
      </w:r>
      <w:r w:rsidR="001F1F27">
        <w:t xml:space="preserve"> –</w:t>
      </w:r>
      <w:r w:rsidR="00A36950">
        <w:t xml:space="preserve"> będą zobowiązane do </w:t>
      </w:r>
      <w:r w:rsidR="00A36950" w:rsidRPr="001F1F27">
        <w:rPr>
          <w:b/>
          <w:bCs/>
        </w:rPr>
        <w:t>spełnienia kryteriów zrównoważonego rozwoju</w:t>
      </w:r>
      <w:r w:rsidR="00A36950">
        <w:t>, w tym do</w:t>
      </w:r>
      <w:r>
        <w:t xml:space="preserve"> zakupu tzw. zrównoważonej biomasy, co wpłynie na dostępność surowca oraz koszt tego paliwa. Natomiast jednostki biogazowe, które mogłyby stanowić znakomite uzupełnienie dla OZE zależnych od pogody, cechują się wysokimi nakładami i kosztami eksploatacyjnymi. Polska nie posiada </w:t>
      </w:r>
      <w:r w:rsidR="00BB5C41">
        <w:t xml:space="preserve">znaczącego </w:t>
      </w:r>
      <w:r>
        <w:t>potencjału hydrologicznego, pozwalającego na istotną rolę hydroelektrowni</w:t>
      </w:r>
      <w:r w:rsidR="00BB5C41">
        <w:t xml:space="preserve"> przepływowych. Niemniej </w:t>
      </w:r>
      <w:r>
        <w:t xml:space="preserve">energia wody może być wykorzystywana w elektrowniach szczytowo-pompowych (nie są zaliczane do OZE), </w:t>
      </w:r>
      <w:r w:rsidR="00BB5C41">
        <w:t xml:space="preserve">które </w:t>
      </w:r>
      <w:r>
        <w:t>wspierając potrzeby regulowania systemu w okresach korzystnych i</w:t>
      </w:r>
      <w:r w:rsidR="00484E4C">
        <w:t> </w:t>
      </w:r>
      <w:r>
        <w:t>niekorzystnych warunków słonecznych i wietrznych</w:t>
      </w:r>
      <w:r w:rsidR="00BB5C41">
        <w:t>, stanowią jednocześnie magazyny energii.</w:t>
      </w:r>
    </w:p>
    <w:p w14:paraId="6E1FE6C0" w14:textId="610F2B51" w:rsidR="00CD32A0" w:rsidRDefault="00CD32A0" w:rsidP="00CD32A0">
      <w:r>
        <w:t xml:space="preserve">Prognozy towarzyszące dotychczasowemu KPEiK wskazywały, że udział OZE w produkcji energii elektrycznej może osiągnąć ok. 32% w 2030 r. i blisko 40% w 2040 r. Dzięki dynamicznemu rozwojowi fotowoltaiki i energetyki wiatrowej na lądzie, a także dzięki </w:t>
      </w:r>
      <w:r w:rsidR="009675DC">
        <w:t xml:space="preserve">systemom wsparcia i </w:t>
      </w:r>
      <w:r>
        <w:t>inwestycjom w</w:t>
      </w:r>
      <w:r w:rsidR="00484E4C">
        <w:t> </w:t>
      </w:r>
      <w:r>
        <w:t>infrastrukturę liniową ocena możliwego udział</w:t>
      </w:r>
      <w:r w:rsidR="009675DC">
        <w:t>y</w:t>
      </w:r>
      <w:r>
        <w:t xml:space="preserve"> OZE w elektroenergetyce mogła znacznie wzrosnąć w</w:t>
      </w:r>
      <w:r w:rsidR="00484E4C">
        <w:t> </w:t>
      </w:r>
      <w:r>
        <w:t>porównaniu do prognoz z KPEiK z 2019 r.</w:t>
      </w:r>
    </w:p>
    <w:p w14:paraId="58E44916" w14:textId="7FDAF177" w:rsidR="00CD32A0" w:rsidRPr="00484E4C" w:rsidRDefault="00CD32A0" w:rsidP="00484E4C">
      <w:pPr>
        <w:pStyle w:val="Cele"/>
      </w:pPr>
      <w:r w:rsidRPr="00B377B2">
        <w:rPr>
          <w:rStyle w:val="CeleZnak"/>
          <w:b/>
        </w:rPr>
        <w:t>P</w:t>
      </w:r>
      <w:r>
        <w:rPr>
          <w:rStyle w:val="CeleZnak"/>
          <w:b/>
        </w:rPr>
        <w:t>rognozy</w:t>
      </w:r>
      <w:r w:rsidRPr="00B377B2">
        <w:rPr>
          <w:rStyle w:val="CeleZnak"/>
          <w:b/>
        </w:rPr>
        <w:t xml:space="preserve"> </w:t>
      </w:r>
      <w:r w:rsidRPr="00EE60D1">
        <w:rPr>
          <w:b/>
          <w:bCs/>
        </w:rPr>
        <w:t xml:space="preserve">wskazują, że Polska może osiągnąć ok. </w:t>
      </w:r>
      <w:r w:rsidR="00484E4C">
        <w:rPr>
          <w:b/>
          <w:bCs/>
        </w:rPr>
        <w:t>56,1</w:t>
      </w:r>
      <w:r w:rsidRPr="00A36950">
        <w:rPr>
          <w:b/>
          <w:bCs/>
          <w:szCs w:val="28"/>
        </w:rPr>
        <w:t xml:space="preserve">% </w:t>
      </w:r>
      <w:r w:rsidRPr="00EE60D1">
        <w:rPr>
          <w:b/>
          <w:bCs/>
        </w:rPr>
        <w:t>udziału OZE w finalnym zużyciu energii w</w:t>
      </w:r>
      <w:r>
        <w:rPr>
          <w:b/>
          <w:bCs/>
        </w:rPr>
        <w:t> </w:t>
      </w:r>
      <w:r w:rsidRPr="00EE60D1">
        <w:rPr>
          <w:b/>
          <w:bCs/>
        </w:rPr>
        <w:t>elektroenergetyce w 2030 r., a w 2040 r. –</w:t>
      </w:r>
      <w:r w:rsidR="00484E4C">
        <w:rPr>
          <w:b/>
          <w:bCs/>
        </w:rPr>
        <w:t xml:space="preserve"> 69,4</w:t>
      </w:r>
      <w:r w:rsidRPr="00EE60D1">
        <w:rPr>
          <w:b/>
          <w:bCs/>
        </w:rPr>
        <w:t>%</w:t>
      </w:r>
      <w:r w:rsidR="00484E4C">
        <w:br/>
      </w:r>
      <w:r w:rsidRPr="00484E4C">
        <w:rPr>
          <w:i/>
          <w:iCs/>
        </w:rPr>
        <w:t>[szacunki nie mają charakteru celu]</w:t>
      </w:r>
    </w:p>
    <w:tbl>
      <w:tblPr>
        <w:tblStyle w:val="Tabela-Siatka"/>
        <w:tblpPr w:leftFromText="142" w:rightFromText="142" w:vertAnchor="text" w:horzAnchor="margin" w:tblpXSpec="right" w:tblpY="11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28" w:type="dxa"/>
          <w:bottom w:w="28" w:type="dxa"/>
          <w:right w:w="57" w:type="dxa"/>
        </w:tblCellMar>
        <w:tblLook w:val="04A0" w:firstRow="1" w:lastRow="0" w:firstColumn="1" w:lastColumn="0" w:noHBand="0" w:noVBand="1"/>
      </w:tblPr>
      <w:tblGrid>
        <w:gridCol w:w="227"/>
        <w:gridCol w:w="963"/>
        <w:gridCol w:w="738"/>
        <w:gridCol w:w="1190"/>
      </w:tblGrid>
      <w:tr w:rsidR="000E7591" w:rsidRPr="00144F3E" w14:paraId="69795A50" w14:textId="1E095022" w:rsidTr="000E7591">
        <w:trPr>
          <w:trHeight w:val="20"/>
        </w:trPr>
        <w:tc>
          <w:tcPr>
            <w:tcW w:w="227" w:type="dxa"/>
          </w:tcPr>
          <w:p w14:paraId="67689EBA" w14:textId="77777777" w:rsidR="000E7591" w:rsidRPr="000E7591" w:rsidRDefault="000E7591" w:rsidP="0064173D">
            <w:pPr>
              <w:spacing w:after="60"/>
              <w:jc w:val="center"/>
              <w:rPr>
                <w:rFonts w:ascii="Bahnschrift" w:hAnsi="Bahnschrift"/>
                <w:b/>
                <w:bCs/>
                <w:noProof/>
                <w:color w:val="70AD47" w:themeColor="accent6"/>
                <w:sz w:val="28"/>
                <w:szCs w:val="32"/>
                <w:lang w:eastAsia="pl-PL"/>
              </w:rPr>
            </w:pPr>
            <w:bookmarkStart w:id="43" w:name="_Hlk175136152"/>
          </w:p>
        </w:tc>
        <w:tc>
          <w:tcPr>
            <w:tcW w:w="2891" w:type="dxa"/>
            <w:gridSpan w:val="3"/>
            <w:vAlign w:val="center"/>
          </w:tcPr>
          <w:p w14:paraId="6653E1B5" w14:textId="5FDAC947" w:rsidR="000E7591" w:rsidRPr="00057989" w:rsidRDefault="000E7591" w:rsidP="0064173D">
            <w:pPr>
              <w:spacing w:after="60"/>
              <w:jc w:val="center"/>
              <w:rPr>
                <w:rFonts w:ascii="Bahnschrift" w:hAnsi="Bahnschrift"/>
                <w:b/>
                <w:bCs/>
                <w:noProof/>
                <w:color w:val="70AD47" w:themeColor="accent6"/>
                <w:sz w:val="32"/>
                <w:szCs w:val="36"/>
                <w:lang w:eastAsia="pl-PL"/>
              </w:rPr>
            </w:pPr>
            <w:r w:rsidRPr="000E7591">
              <w:rPr>
                <w:rFonts w:ascii="Bahnschrift" w:hAnsi="Bahnschrift"/>
                <w:b/>
                <w:bCs/>
                <w:noProof/>
                <w:color w:val="70AD47" w:themeColor="accent6"/>
                <w:sz w:val="28"/>
                <w:szCs w:val="32"/>
                <w:lang w:eastAsia="pl-PL"/>
              </w:rPr>
              <w:t>OZE w</w:t>
            </w:r>
            <w:r>
              <w:rPr>
                <w:rFonts w:ascii="Bahnschrift" w:hAnsi="Bahnschrift"/>
                <w:b/>
                <w:bCs/>
                <w:noProof/>
                <w:color w:val="70AD47" w:themeColor="accent6"/>
                <w:sz w:val="28"/>
                <w:szCs w:val="32"/>
                <w:lang w:eastAsia="pl-PL"/>
              </w:rPr>
              <w:t> </w:t>
            </w:r>
            <w:r w:rsidRPr="000E7591">
              <w:rPr>
                <w:rFonts w:ascii="Bahnschrift" w:hAnsi="Bahnschrift"/>
                <w:b/>
                <w:bCs/>
                <w:noProof/>
                <w:color w:val="70AD47" w:themeColor="accent6"/>
                <w:sz w:val="28"/>
                <w:szCs w:val="32"/>
                <w:lang w:eastAsia="pl-PL"/>
              </w:rPr>
              <w:t>elektroenergetyce</w:t>
            </w:r>
          </w:p>
        </w:tc>
      </w:tr>
      <w:tr w:rsidR="000E7591" w:rsidRPr="00144F3E" w14:paraId="1BFC3E8A" w14:textId="3B06CB89" w:rsidTr="000E7591">
        <w:trPr>
          <w:trHeight w:val="20"/>
        </w:trPr>
        <w:tc>
          <w:tcPr>
            <w:tcW w:w="227" w:type="dxa"/>
          </w:tcPr>
          <w:p w14:paraId="5957D511" w14:textId="77777777" w:rsidR="000E7591" w:rsidRPr="000E7591" w:rsidRDefault="000E7591" w:rsidP="0064173D">
            <w:pPr>
              <w:jc w:val="center"/>
              <w:rPr>
                <w:rFonts w:ascii="Bahnschrift" w:hAnsi="Bahnschrift"/>
                <w:b/>
                <w:bCs/>
                <w:color w:val="006600"/>
                <w:szCs w:val="20"/>
              </w:rPr>
            </w:pPr>
          </w:p>
        </w:tc>
        <w:tc>
          <w:tcPr>
            <w:tcW w:w="963" w:type="dxa"/>
          </w:tcPr>
          <w:p w14:paraId="0D3A5D29" w14:textId="339E4207" w:rsidR="000E7591" w:rsidRPr="000E7591" w:rsidRDefault="000E7591" w:rsidP="0064173D">
            <w:pPr>
              <w:jc w:val="center"/>
              <w:rPr>
                <w:rFonts w:ascii="Bahnschrift" w:hAnsi="Bahnschrift"/>
                <w:b/>
                <w:bCs/>
                <w:color w:val="006600"/>
                <w:szCs w:val="20"/>
              </w:rPr>
            </w:pPr>
            <w:r w:rsidRPr="000E7591">
              <w:rPr>
                <w:rFonts w:ascii="Bahnschrift" w:hAnsi="Bahnschrift"/>
                <w:b/>
                <w:bCs/>
                <w:color w:val="006600"/>
                <w:szCs w:val="20"/>
              </w:rPr>
              <w:t>2030</w:t>
            </w:r>
          </w:p>
        </w:tc>
        <w:tc>
          <w:tcPr>
            <w:tcW w:w="738" w:type="dxa"/>
          </w:tcPr>
          <w:p w14:paraId="1314B1F8" w14:textId="77777777" w:rsidR="000E7591" w:rsidRDefault="000E7591" w:rsidP="0064173D">
            <w:pPr>
              <w:jc w:val="center"/>
              <w:rPr>
                <w:noProof/>
                <w:lang w:eastAsia="pl-PL"/>
              </w:rPr>
            </w:pPr>
          </w:p>
        </w:tc>
        <w:tc>
          <w:tcPr>
            <w:tcW w:w="1190" w:type="dxa"/>
          </w:tcPr>
          <w:p w14:paraId="0EBB22C9" w14:textId="1830BE28" w:rsidR="000E7591" w:rsidRPr="000E7591" w:rsidRDefault="000E7591" w:rsidP="0064173D">
            <w:pPr>
              <w:jc w:val="center"/>
              <w:rPr>
                <w:rFonts w:ascii="Bahnschrift" w:hAnsi="Bahnschrift"/>
                <w:b/>
                <w:bCs/>
                <w:noProof/>
                <w:lang w:eastAsia="pl-PL"/>
              </w:rPr>
            </w:pPr>
            <w:r w:rsidRPr="000E7591">
              <w:rPr>
                <w:rFonts w:ascii="Bahnschrift" w:hAnsi="Bahnschrift"/>
                <w:b/>
                <w:bCs/>
                <w:noProof/>
                <w:color w:val="006600"/>
                <w:lang w:eastAsia="pl-PL"/>
              </w:rPr>
              <w:t>2040</w:t>
            </w:r>
          </w:p>
        </w:tc>
      </w:tr>
      <w:tr w:rsidR="00B348E1" w:rsidRPr="00144F3E" w14:paraId="737FD9F6" w14:textId="3C322E98" w:rsidTr="000E7591">
        <w:trPr>
          <w:trHeight w:val="20"/>
        </w:trPr>
        <w:tc>
          <w:tcPr>
            <w:tcW w:w="227" w:type="dxa"/>
          </w:tcPr>
          <w:p w14:paraId="24119E55" w14:textId="77777777" w:rsidR="00B348E1" w:rsidRDefault="00B348E1" w:rsidP="00B348E1">
            <w:pPr>
              <w:jc w:val="center"/>
              <w:rPr>
                <w:rFonts w:ascii="Bahnschrift" w:hAnsi="Bahnschrift"/>
                <w:b/>
                <w:bCs/>
                <w:color w:val="262626" w:themeColor="text1" w:themeTint="D9"/>
                <w:sz w:val="21"/>
                <w:szCs w:val="21"/>
              </w:rPr>
            </w:pPr>
          </w:p>
        </w:tc>
        <w:tc>
          <w:tcPr>
            <w:tcW w:w="963" w:type="dxa"/>
          </w:tcPr>
          <w:p w14:paraId="6F8A8C92" w14:textId="53DB4808" w:rsidR="00B348E1" w:rsidRPr="000E7591" w:rsidRDefault="00B348E1" w:rsidP="00B348E1">
            <w:pPr>
              <w:jc w:val="center"/>
              <w:rPr>
                <w:rFonts w:ascii="Bahnschrift" w:hAnsi="Bahnschrift"/>
                <w:b/>
                <w:bCs/>
                <w:color w:val="262626" w:themeColor="text1" w:themeTint="D9"/>
                <w:szCs w:val="20"/>
              </w:rPr>
            </w:pPr>
            <w:r w:rsidRPr="000E7591">
              <w:rPr>
                <w:rFonts w:ascii="Bahnschrift" w:hAnsi="Bahnschrift"/>
                <w:b/>
                <w:bCs/>
                <w:color w:val="262626" w:themeColor="text1" w:themeTint="D9"/>
                <w:szCs w:val="20"/>
              </w:rPr>
              <w:t>2</w:t>
            </w:r>
            <w:r>
              <w:rPr>
                <w:rFonts w:ascii="Bahnschrift" w:hAnsi="Bahnschrift"/>
                <w:b/>
                <w:bCs/>
                <w:color w:val="262626" w:themeColor="text1" w:themeTint="D9"/>
                <w:szCs w:val="20"/>
              </w:rPr>
              <w:t>9</w:t>
            </w:r>
            <w:r w:rsidRPr="000E7591">
              <w:rPr>
                <w:rFonts w:ascii="Bahnschrift" w:hAnsi="Bahnschrift"/>
                <w:b/>
                <w:bCs/>
                <w:color w:val="262626" w:themeColor="text1" w:themeTint="D9"/>
                <w:szCs w:val="20"/>
              </w:rPr>
              <w:t xml:space="preserve"> GW</w:t>
            </w:r>
          </w:p>
        </w:tc>
        <w:tc>
          <w:tcPr>
            <w:tcW w:w="738" w:type="dxa"/>
            <w:vMerge w:val="restart"/>
          </w:tcPr>
          <w:p w14:paraId="313FB141" w14:textId="77777777" w:rsidR="00B348E1" w:rsidRPr="00FA74C6" w:rsidRDefault="00B348E1" w:rsidP="00B348E1">
            <w:pPr>
              <w:jc w:val="center"/>
              <w:rPr>
                <w:rFonts w:ascii="Bahnschrift" w:hAnsi="Bahnschrift"/>
                <w:b/>
                <w:bCs/>
                <w:color w:val="262626" w:themeColor="text1" w:themeTint="D9"/>
                <w:sz w:val="22"/>
              </w:rPr>
            </w:pPr>
            <w:r>
              <w:rPr>
                <w:noProof/>
                <w:lang w:eastAsia="pl-PL"/>
              </w:rPr>
              <w:drawing>
                <wp:anchor distT="0" distB="0" distL="114300" distR="114300" simplePos="0" relativeHeight="251827200" behindDoc="0" locked="0" layoutInCell="1" allowOverlap="1" wp14:anchorId="07CA692E" wp14:editId="7B31BEFB">
                  <wp:simplePos x="0" y="0"/>
                  <wp:positionH relativeFrom="margin">
                    <wp:posOffset>3865</wp:posOffset>
                  </wp:positionH>
                  <wp:positionV relativeFrom="paragraph">
                    <wp:posOffset>-45526</wp:posOffset>
                  </wp:positionV>
                  <wp:extent cx="396000" cy="396000"/>
                  <wp:effectExtent l="0" t="0" r="4445" b="4445"/>
                  <wp:wrapNone/>
                  <wp:docPr id="25" name="Obraz 25"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Obraz 25" descr="Obraz zawierający czarne, ciemność&#10;&#10;Opis wygenerowany automatycznie"/>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96000" cy="39600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190" w:type="dxa"/>
          </w:tcPr>
          <w:p w14:paraId="6C32522F" w14:textId="4F6218BD" w:rsidR="00B348E1" w:rsidRPr="000E7591" w:rsidRDefault="00B348E1" w:rsidP="00B348E1">
            <w:pPr>
              <w:jc w:val="center"/>
              <w:rPr>
                <w:noProof/>
                <w:szCs w:val="20"/>
                <w:lang w:eastAsia="pl-PL"/>
              </w:rPr>
            </w:pPr>
            <w:r>
              <w:rPr>
                <w:rFonts w:ascii="Bahnschrift" w:hAnsi="Bahnschrift"/>
                <w:b/>
                <w:bCs/>
                <w:color w:val="262626" w:themeColor="text1" w:themeTint="D9"/>
                <w:szCs w:val="20"/>
              </w:rPr>
              <w:t>46,2</w:t>
            </w:r>
            <w:r w:rsidRPr="000E7591">
              <w:rPr>
                <w:rFonts w:ascii="Bahnschrift" w:hAnsi="Bahnschrift"/>
                <w:b/>
                <w:bCs/>
                <w:color w:val="262626" w:themeColor="text1" w:themeTint="D9"/>
                <w:szCs w:val="20"/>
              </w:rPr>
              <w:t xml:space="preserve"> GW</w:t>
            </w:r>
          </w:p>
        </w:tc>
      </w:tr>
      <w:tr w:rsidR="00B348E1" w:rsidRPr="00144F3E" w14:paraId="700D3538" w14:textId="6187D487" w:rsidTr="000E7591">
        <w:trPr>
          <w:trHeight w:val="20"/>
        </w:trPr>
        <w:tc>
          <w:tcPr>
            <w:tcW w:w="227" w:type="dxa"/>
          </w:tcPr>
          <w:p w14:paraId="70BAE3FC" w14:textId="77777777" w:rsidR="00B348E1" w:rsidRDefault="00B348E1" w:rsidP="00B348E1">
            <w:pPr>
              <w:jc w:val="center"/>
              <w:rPr>
                <w:rFonts w:ascii="Bahnschrift" w:hAnsi="Bahnschrift"/>
                <w:b/>
                <w:bCs/>
                <w:color w:val="262626" w:themeColor="text1" w:themeTint="D9"/>
                <w:sz w:val="21"/>
                <w:szCs w:val="21"/>
              </w:rPr>
            </w:pPr>
          </w:p>
        </w:tc>
        <w:tc>
          <w:tcPr>
            <w:tcW w:w="963" w:type="dxa"/>
          </w:tcPr>
          <w:p w14:paraId="0AD999EC" w14:textId="50C7F0F1" w:rsidR="00B348E1" w:rsidRPr="000E7591" w:rsidRDefault="00B348E1" w:rsidP="00B348E1">
            <w:pPr>
              <w:jc w:val="center"/>
              <w:rPr>
                <w:rFonts w:ascii="Bahnschrift" w:hAnsi="Bahnschrift"/>
                <w:b/>
                <w:bCs/>
                <w:color w:val="262626" w:themeColor="text1" w:themeTint="D9"/>
                <w:szCs w:val="20"/>
              </w:rPr>
            </w:pPr>
            <w:r w:rsidRPr="000E7591">
              <w:rPr>
                <w:rFonts w:ascii="Bahnschrift" w:hAnsi="Bahnschrift"/>
                <w:b/>
                <w:bCs/>
                <w:color w:val="262626" w:themeColor="text1" w:themeTint="D9"/>
                <w:szCs w:val="20"/>
              </w:rPr>
              <w:t>24,</w:t>
            </w:r>
            <w:r>
              <w:rPr>
                <w:rFonts w:ascii="Bahnschrift" w:hAnsi="Bahnschrift"/>
                <w:b/>
                <w:bCs/>
                <w:color w:val="262626" w:themeColor="text1" w:themeTint="D9"/>
                <w:szCs w:val="20"/>
              </w:rPr>
              <w:t>6</w:t>
            </w:r>
            <w:r w:rsidRPr="000E7591">
              <w:rPr>
                <w:rFonts w:ascii="Bahnschrift" w:hAnsi="Bahnschrift"/>
                <w:b/>
                <w:bCs/>
                <w:color w:val="262626" w:themeColor="text1" w:themeTint="D9"/>
                <w:szCs w:val="20"/>
              </w:rPr>
              <w:t xml:space="preserve"> TWh</w:t>
            </w:r>
          </w:p>
        </w:tc>
        <w:tc>
          <w:tcPr>
            <w:tcW w:w="738" w:type="dxa"/>
            <w:vMerge/>
          </w:tcPr>
          <w:p w14:paraId="58F2A768" w14:textId="77777777" w:rsidR="00B348E1" w:rsidRPr="00FA74C6" w:rsidRDefault="00B348E1" w:rsidP="00B348E1">
            <w:pPr>
              <w:jc w:val="center"/>
              <w:rPr>
                <w:rFonts w:ascii="Bahnschrift" w:hAnsi="Bahnschrift"/>
                <w:b/>
                <w:bCs/>
                <w:color w:val="262626" w:themeColor="text1" w:themeTint="D9"/>
                <w:sz w:val="22"/>
              </w:rPr>
            </w:pPr>
          </w:p>
        </w:tc>
        <w:tc>
          <w:tcPr>
            <w:tcW w:w="1190" w:type="dxa"/>
          </w:tcPr>
          <w:p w14:paraId="32F117D6" w14:textId="3F2B7F39" w:rsidR="00B348E1" w:rsidRPr="000E7591" w:rsidRDefault="00B348E1" w:rsidP="00B348E1">
            <w:pPr>
              <w:jc w:val="center"/>
              <w:rPr>
                <w:rFonts w:ascii="Bahnschrift" w:hAnsi="Bahnschrift"/>
                <w:b/>
                <w:bCs/>
                <w:color w:val="262626" w:themeColor="text1" w:themeTint="D9"/>
                <w:szCs w:val="20"/>
              </w:rPr>
            </w:pPr>
            <w:r>
              <w:rPr>
                <w:rFonts w:ascii="Bahnschrift" w:hAnsi="Bahnschrift"/>
                <w:b/>
                <w:bCs/>
                <w:color w:val="262626" w:themeColor="text1" w:themeTint="D9"/>
                <w:szCs w:val="20"/>
              </w:rPr>
              <w:t>43</w:t>
            </w:r>
            <w:r w:rsidRPr="000E7591">
              <w:rPr>
                <w:rFonts w:ascii="Bahnschrift" w:hAnsi="Bahnschrift"/>
                <w:b/>
                <w:bCs/>
                <w:color w:val="262626" w:themeColor="text1" w:themeTint="D9"/>
                <w:szCs w:val="20"/>
              </w:rPr>
              <w:t>,</w:t>
            </w:r>
            <w:r>
              <w:rPr>
                <w:rFonts w:ascii="Bahnschrift" w:hAnsi="Bahnschrift"/>
                <w:b/>
                <w:bCs/>
                <w:color w:val="262626" w:themeColor="text1" w:themeTint="D9"/>
                <w:szCs w:val="20"/>
              </w:rPr>
              <w:t>1</w:t>
            </w:r>
            <w:r w:rsidRPr="000E7591">
              <w:rPr>
                <w:rFonts w:ascii="Bahnschrift" w:hAnsi="Bahnschrift"/>
                <w:b/>
                <w:bCs/>
                <w:color w:val="262626" w:themeColor="text1" w:themeTint="D9"/>
                <w:szCs w:val="20"/>
              </w:rPr>
              <w:t xml:space="preserve"> TWh</w:t>
            </w:r>
          </w:p>
        </w:tc>
      </w:tr>
      <w:tr w:rsidR="00B348E1" w:rsidRPr="00144F3E" w14:paraId="3B1E108F" w14:textId="662C2995" w:rsidTr="000E7591">
        <w:trPr>
          <w:trHeight w:val="113"/>
        </w:trPr>
        <w:tc>
          <w:tcPr>
            <w:tcW w:w="227" w:type="dxa"/>
          </w:tcPr>
          <w:p w14:paraId="5D643A91" w14:textId="77777777" w:rsidR="00B348E1" w:rsidRPr="00960631" w:rsidRDefault="00B348E1" w:rsidP="00B348E1">
            <w:pPr>
              <w:jc w:val="center"/>
              <w:rPr>
                <w:rFonts w:ascii="Bahnschrift" w:hAnsi="Bahnschrift"/>
                <w:b/>
                <w:bCs/>
                <w:color w:val="262626" w:themeColor="text1" w:themeTint="D9"/>
                <w:sz w:val="8"/>
                <w:szCs w:val="8"/>
              </w:rPr>
            </w:pPr>
          </w:p>
        </w:tc>
        <w:tc>
          <w:tcPr>
            <w:tcW w:w="963" w:type="dxa"/>
          </w:tcPr>
          <w:p w14:paraId="45BF8986" w14:textId="4CC930DC" w:rsidR="00B348E1" w:rsidRPr="00960631" w:rsidRDefault="00B348E1" w:rsidP="00B348E1">
            <w:pPr>
              <w:jc w:val="center"/>
              <w:rPr>
                <w:rFonts w:ascii="Bahnschrift" w:hAnsi="Bahnschrift"/>
                <w:b/>
                <w:bCs/>
                <w:color w:val="262626" w:themeColor="text1" w:themeTint="D9"/>
                <w:sz w:val="8"/>
                <w:szCs w:val="8"/>
              </w:rPr>
            </w:pPr>
          </w:p>
        </w:tc>
        <w:tc>
          <w:tcPr>
            <w:tcW w:w="738" w:type="dxa"/>
          </w:tcPr>
          <w:p w14:paraId="600BADF9" w14:textId="77777777" w:rsidR="00B348E1" w:rsidRPr="00960631" w:rsidRDefault="00B348E1" w:rsidP="00B348E1">
            <w:pPr>
              <w:jc w:val="center"/>
              <w:rPr>
                <w:rFonts w:ascii="Bahnschrift" w:hAnsi="Bahnschrift"/>
                <w:b/>
                <w:bCs/>
                <w:color w:val="262626" w:themeColor="text1" w:themeTint="D9"/>
                <w:sz w:val="8"/>
                <w:szCs w:val="8"/>
              </w:rPr>
            </w:pPr>
          </w:p>
        </w:tc>
        <w:tc>
          <w:tcPr>
            <w:tcW w:w="1190" w:type="dxa"/>
          </w:tcPr>
          <w:p w14:paraId="474425DA" w14:textId="77777777" w:rsidR="00B348E1" w:rsidRPr="00960631" w:rsidRDefault="00B348E1" w:rsidP="00B348E1">
            <w:pPr>
              <w:jc w:val="center"/>
              <w:rPr>
                <w:rFonts w:ascii="Bahnschrift" w:hAnsi="Bahnschrift"/>
                <w:b/>
                <w:bCs/>
                <w:color w:val="262626" w:themeColor="text1" w:themeTint="D9"/>
                <w:sz w:val="8"/>
                <w:szCs w:val="8"/>
              </w:rPr>
            </w:pPr>
          </w:p>
        </w:tc>
      </w:tr>
      <w:tr w:rsidR="00B348E1" w:rsidRPr="00144F3E" w14:paraId="7FBE1FF8" w14:textId="1C6CE52E" w:rsidTr="000E7591">
        <w:trPr>
          <w:trHeight w:val="16"/>
        </w:trPr>
        <w:tc>
          <w:tcPr>
            <w:tcW w:w="227" w:type="dxa"/>
          </w:tcPr>
          <w:p w14:paraId="332E707A" w14:textId="77777777" w:rsidR="00B348E1" w:rsidRPr="000214B9" w:rsidRDefault="00B348E1" w:rsidP="00B348E1">
            <w:pPr>
              <w:jc w:val="center"/>
              <w:rPr>
                <w:rFonts w:ascii="Bahnschrift" w:hAnsi="Bahnschrift"/>
                <w:b/>
                <w:bCs/>
                <w:color w:val="262626" w:themeColor="text1" w:themeTint="D9"/>
                <w:szCs w:val="20"/>
              </w:rPr>
            </w:pPr>
          </w:p>
        </w:tc>
        <w:tc>
          <w:tcPr>
            <w:tcW w:w="963" w:type="dxa"/>
          </w:tcPr>
          <w:p w14:paraId="0B6E1565" w14:textId="5A089582" w:rsidR="00B348E1" w:rsidRPr="000214B9" w:rsidRDefault="00B348E1" w:rsidP="00B348E1">
            <w:pPr>
              <w:jc w:val="center"/>
              <w:rPr>
                <w:rFonts w:ascii="Bahnschrift" w:hAnsi="Bahnschrift"/>
                <w:b/>
                <w:bCs/>
                <w:color w:val="262626" w:themeColor="text1" w:themeTint="D9"/>
                <w:szCs w:val="20"/>
              </w:rPr>
            </w:pPr>
            <w:r>
              <w:rPr>
                <w:rFonts w:ascii="Bahnschrift" w:hAnsi="Bahnschrift"/>
                <w:b/>
                <w:bCs/>
                <w:color w:val="262626" w:themeColor="text1" w:themeTint="D9"/>
                <w:szCs w:val="20"/>
              </w:rPr>
              <w:t>19</w:t>
            </w:r>
            <w:r w:rsidRPr="000214B9">
              <w:rPr>
                <w:rFonts w:ascii="Bahnschrift" w:hAnsi="Bahnschrift"/>
                <w:b/>
                <w:bCs/>
                <w:color w:val="262626" w:themeColor="text1" w:themeTint="D9"/>
                <w:szCs w:val="20"/>
              </w:rPr>
              <w:t xml:space="preserve"> GW</w:t>
            </w:r>
          </w:p>
        </w:tc>
        <w:tc>
          <w:tcPr>
            <w:tcW w:w="738" w:type="dxa"/>
            <w:vMerge w:val="restart"/>
          </w:tcPr>
          <w:p w14:paraId="19377632" w14:textId="5FF4C1CE" w:rsidR="00B348E1" w:rsidRPr="00FA74C6" w:rsidRDefault="00B348E1" w:rsidP="00B348E1">
            <w:pPr>
              <w:jc w:val="center"/>
              <w:rPr>
                <w:rFonts w:ascii="Bahnschrift" w:hAnsi="Bahnschrift"/>
                <w:b/>
                <w:bCs/>
                <w:color w:val="262626" w:themeColor="text1" w:themeTint="D9"/>
                <w:sz w:val="22"/>
              </w:rPr>
            </w:pPr>
            <w:r w:rsidRPr="00C34974">
              <w:rPr>
                <w:rFonts w:asciiTheme="minorHAnsi" w:eastAsia="Calibri" w:hAnsiTheme="minorHAnsi"/>
                <w:noProof/>
                <w:lang w:eastAsia="pl-PL"/>
              </w:rPr>
              <w:drawing>
                <wp:anchor distT="0" distB="0" distL="114300" distR="114300" simplePos="0" relativeHeight="251828224" behindDoc="0" locked="0" layoutInCell="1" allowOverlap="1" wp14:anchorId="17B0B226" wp14:editId="24129C5F">
                  <wp:simplePos x="0" y="0"/>
                  <wp:positionH relativeFrom="column">
                    <wp:posOffset>33020</wp:posOffset>
                  </wp:positionH>
                  <wp:positionV relativeFrom="paragraph">
                    <wp:posOffset>-11430</wp:posOffset>
                  </wp:positionV>
                  <wp:extent cx="396000" cy="396000"/>
                  <wp:effectExtent l="0" t="0" r="4445" b="4445"/>
                  <wp:wrapNone/>
                  <wp:docPr id="34" name="Obraz 34" descr="C:\Users\Marta\Downloads\win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arta\Downloads\wind.pn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96000" cy="39600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190" w:type="dxa"/>
          </w:tcPr>
          <w:p w14:paraId="18A0C60B" w14:textId="13477E6A" w:rsidR="00B348E1" w:rsidRDefault="00B348E1" w:rsidP="00B348E1">
            <w:pPr>
              <w:jc w:val="center"/>
              <w:rPr>
                <w:noProof/>
                <w:lang w:eastAsia="pl-PL"/>
              </w:rPr>
            </w:pPr>
            <w:r>
              <w:rPr>
                <w:rFonts w:ascii="Bahnschrift" w:hAnsi="Bahnschrift"/>
                <w:b/>
                <w:bCs/>
                <w:color w:val="262626" w:themeColor="text1" w:themeTint="D9"/>
                <w:szCs w:val="20"/>
              </w:rPr>
              <w:t>25,8</w:t>
            </w:r>
            <w:r w:rsidRPr="000214B9">
              <w:rPr>
                <w:rFonts w:ascii="Bahnschrift" w:hAnsi="Bahnschrift"/>
                <w:b/>
                <w:bCs/>
                <w:color w:val="262626" w:themeColor="text1" w:themeTint="D9"/>
                <w:szCs w:val="20"/>
              </w:rPr>
              <w:t xml:space="preserve"> GW</w:t>
            </w:r>
          </w:p>
        </w:tc>
      </w:tr>
      <w:tr w:rsidR="00B348E1" w:rsidRPr="00144F3E" w14:paraId="3443F602" w14:textId="6ADA4D8A" w:rsidTr="000E7591">
        <w:trPr>
          <w:trHeight w:val="16"/>
        </w:trPr>
        <w:tc>
          <w:tcPr>
            <w:tcW w:w="227" w:type="dxa"/>
          </w:tcPr>
          <w:p w14:paraId="1B32B07A" w14:textId="77777777" w:rsidR="00B348E1" w:rsidRPr="000214B9" w:rsidRDefault="00B348E1" w:rsidP="00B348E1">
            <w:pPr>
              <w:jc w:val="center"/>
              <w:rPr>
                <w:rFonts w:ascii="Bahnschrift" w:hAnsi="Bahnschrift"/>
                <w:b/>
                <w:bCs/>
                <w:color w:val="262626" w:themeColor="text1" w:themeTint="D9"/>
                <w:szCs w:val="20"/>
              </w:rPr>
            </w:pPr>
          </w:p>
        </w:tc>
        <w:tc>
          <w:tcPr>
            <w:tcW w:w="963" w:type="dxa"/>
          </w:tcPr>
          <w:p w14:paraId="3BDD7C0F" w14:textId="74AB9606" w:rsidR="00B348E1" w:rsidRPr="000214B9" w:rsidRDefault="00B348E1" w:rsidP="00B348E1">
            <w:pPr>
              <w:jc w:val="center"/>
              <w:rPr>
                <w:rFonts w:ascii="Bahnschrift" w:hAnsi="Bahnschrift"/>
                <w:b/>
                <w:bCs/>
                <w:color w:val="262626" w:themeColor="text1" w:themeTint="D9"/>
                <w:szCs w:val="20"/>
              </w:rPr>
            </w:pPr>
            <w:r>
              <w:rPr>
                <w:rFonts w:ascii="Bahnschrift" w:hAnsi="Bahnschrift"/>
                <w:b/>
                <w:bCs/>
                <w:color w:val="262626" w:themeColor="text1" w:themeTint="D9"/>
                <w:szCs w:val="20"/>
              </w:rPr>
              <w:t xml:space="preserve">47,7 </w:t>
            </w:r>
            <w:r w:rsidRPr="000214B9">
              <w:rPr>
                <w:rFonts w:ascii="Bahnschrift" w:hAnsi="Bahnschrift"/>
                <w:b/>
                <w:bCs/>
                <w:color w:val="262626" w:themeColor="text1" w:themeTint="D9"/>
                <w:szCs w:val="20"/>
              </w:rPr>
              <w:t>TWh</w:t>
            </w:r>
          </w:p>
        </w:tc>
        <w:tc>
          <w:tcPr>
            <w:tcW w:w="738" w:type="dxa"/>
            <w:vMerge/>
          </w:tcPr>
          <w:p w14:paraId="3AED14CE" w14:textId="77777777" w:rsidR="00B348E1" w:rsidRPr="00FA74C6" w:rsidRDefault="00B348E1" w:rsidP="00B348E1">
            <w:pPr>
              <w:jc w:val="center"/>
              <w:rPr>
                <w:rFonts w:ascii="Bahnschrift" w:hAnsi="Bahnschrift"/>
                <w:b/>
                <w:bCs/>
                <w:color w:val="262626" w:themeColor="text1" w:themeTint="D9"/>
                <w:sz w:val="22"/>
              </w:rPr>
            </w:pPr>
          </w:p>
        </w:tc>
        <w:tc>
          <w:tcPr>
            <w:tcW w:w="1190" w:type="dxa"/>
          </w:tcPr>
          <w:p w14:paraId="53DD9427" w14:textId="230836A0" w:rsidR="00B348E1" w:rsidRPr="00FA74C6" w:rsidRDefault="00B348E1" w:rsidP="00B348E1">
            <w:pPr>
              <w:jc w:val="center"/>
              <w:rPr>
                <w:rFonts w:ascii="Bahnschrift" w:hAnsi="Bahnschrift"/>
                <w:b/>
                <w:bCs/>
                <w:color w:val="262626" w:themeColor="text1" w:themeTint="D9"/>
                <w:sz w:val="22"/>
              </w:rPr>
            </w:pPr>
            <w:r>
              <w:rPr>
                <w:rFonts w:ascii="Bahnschrift" w:hAnsi="Bahnschrift"/>
                <w:b/>
                <w:bCs/>
                <w:color w:val="262626" w:themeColor="text1" w:themeTint="D9"/>
                <w:szCs w:val="20"/>
              </w:rPr>
              <w:t xml:space="preserve">69,5 </w:t>
            </w:r>
            <w:r w:rsidRPr="000214B9">
              <w:rPr>
                <w:rFonts w:ascii="Bahnschrift" w:hAnsi="Bahnschrift"/>
                <w:b/>
                <w:bCs/>
                <w:color w:val="262626" w:themeColor="text1" w:themeTint="D9"/>
                <w:szCs w:val="20"/>
              </w:rPr>
              <w:t>TWh</w:t>
            </w:r>
          </w:p>
        </w:tc>
      </w:tr>
      <w:tr w:rsidR="00B348E1" w:rsidRPr="00144F3E" w14:paraId="31F770EF" w14:textId="76898118" w:rsidTr="000E7591">
        <w:trPr>
          <w:trHeight w:val="170"/>
        </w:trPr>
        <w:tc>
          <w:tcPr>
            <w:tcW w:w="227" w:type="dxa"/>
          </w:tcPr>
          <w:p w14:paraId="2692D576" w14:textId="2317D385" w:rsidR="00B348E1" w:rsidRPr="00960631" w:rsidRDefault="00B348E1" w:rsidP="00B348E1">
            <w:pPr>
              <w:jc w:val="center"/>
              <w:rPr>
                <w:rFonts w:ascii="Bahnschrift" w:hAnsi="Bahnschrift"/>
                <w:b/>
                <w:bCs/>
                <w:color w:val="262626" w:themeColor="text1" w:themeTint="D9"/>
                <w:sz w:val="8"/>
                <w:szCs w:val="8"/>
              </w:rPr>
            </w:pPr>
          </w:p>
        </w:tc>
        <w:tc>
          <w:tcPr>
            <w:tcW w:w="963" w:type="dxa"/>
          </w:tcPr>
          <w:p w14:paraId="2E417608" w14:textId="4D69FB52" w:rsidR="00B348E1" w:rsidRPr="00960631" w:rsidRDefault="00B348E1" w:rsidP="00B348E1">
            <w:pPr>
              <w:jc w:val="center"/>
              <w:rPr>
                <w:rFonts w:ascii="Bahnschrift" w:hAnsi="Bahnschrift"/>
                <w:b/>
                <w:bCs/>
                <w:color w:val="262626" w:themeColor="text1" w:themeTint="D9"/>
                <w:sz w:val="8"/>
                <w:szCs w:val="8"/>
              </w:rPr>
            </w:pPr>
          </w:p>
        </w:tc>
        <w:tc>
          <w:tcPr>
            <w:tcW w:w="738" w:type="dxa"/>
          </w:tcPr>
          <w:p w14:paraId="2059D970" w14:textId="2562D8ED" w:rsidR="00B348E1" w:rsidRPr="00960631" w:rsidRDefault="00B348E1" w:rsidP="00B348E1">
            <w:pPr>
              <w:jc w:val="center"/>
              <w:rPr>
                <w:rFonts w:ascii="Bahnschrift" w:hAnsi="Bahnschrift"/>
                <w:b/>
                <w:bCs/>
                <w:color w:val="262626" w:themeColor="text1" w:themeTint="D9"/>
                <w:sz w:val="8"/>
                <w:szCs w:val="8"/>
              </w:rPr>
            </w:pPr>
          </w:p>
        </w:tc>
        <w:tc>
          <w:tcPr>
            <w:tcW w:w="1190" w:type="dxa"/>
          </w:tcPr>
          <w:p w14:paraId="142A6943" w14:textId="77777777" w:rsidR="00B348E1" w:rsidRPr="00960631" w:rsidRDefault="00B348E1" w:rsidP="00B348E1">
            <w:pPr>
              <w:jc w:val="center"/>
              <w:rPr>
                <w:rFonts w:ascii="Bahnschrift" w:hAnsi="Bahnschrift"/>
                <w:b/>
                <w:bCs/>
                <w:color w:val="262626" w:themeColor="text1" w:themeTint="D9"/>
                <w:sz w:val="8"/>
                <w:szCs w:val="8"/>
              </w:rPr>
            </w:pPr>
          </w:p>
        </w:tc>
      </w:tr>
      <w:tr w:rsidR="00B348E1" w:rsidRPr="00144F3E" w14:paraId="5B6D7778" w14:textId="3A14E66A" w:rsidTr="000E7591">
        <w:trPr>
          <w:trHeight w:val="16"/>
        </w:trPr>
        <w:tc>
          <w:tcPr>
            <w:tcW w:w="227" w:type="dxa"/>
          </w:tcPr>
          <w:p w14:paraId="1889927A" w14:textId="0DB7E442" w:rsidR="00B348E1" w:rsidRPr="000214B9" w:rsidRDefault="00B348E1" w:rsidP="00B348E1">
            <w:pPr>
              <w:jc w:val="center"/>
              <w:rPr>
                <w:rFonts w:ascii="Bahnschrift" w:hAnsi="Bahnschrift"/>
                <w:b/>
                <w:bCs/>
                <w:color w:val="262626" w:themeColor="text1" w:themeTint="D9"/>
                <w:szCs w:val="20"/>
              </w:rPr>
            </w:pPr>
          </w:p>
        </w:tc>
        <w:tc>
          <w:tcPr>
            <w:tcW w:w="963" w:type="dxa"/>
          </w:tcPr>
          <w:p w14:paraId="7CB45318" w14:textId="32A5EB35" w:rsidR="00B348E1" w:rsidRPr="000214B9" w:rsidRDefault="00B348E1" w:rsidP="00B348E1">
            <w:pPr>
              <w:jc w:val="center"/>
              <w:rPr>
                <w:rFonts w:ascii="Bahnschrift" w:hAnsi="Bahnschrift"/>
                <w:b/>
                <w:bCs/>
                <w:color w:val="262626" w:themeColor="text1" w:themeTint="D9"/>
                <w:szCs w:val="20"/>
              </w:rPr>
            </w:pPr>
            <w:r>
              <w:rPr>
                <w:rFonts w:ascii="Bahnschrift" w:hAnsi="Bahnschrift"/>
                <w:b/>
                <w:bCs/>
                <w:color w:val="262626" w:themeColor="text1" w:themeTint="D9"/>
                <w:szCs w:val="20"/>
              </w:rPr>
              <w:t>5</w:t>
            </w:r>
            <w:r w:rsidRPr="000214B9">
              <w:rPr>
                <w:rFonts w:ascii="Bahnschrift" w:hAnsi="Bahnschrift"/>
                <w:b/>
                <w:bCs/>
                <w:color w:val="262626" w:themeColor="text1" w:themeTint="D9"/>
                <w:szCs w:val="20"/>
              </w:rPr>
              <w:t>,</w:t>
            </w:r>
            <w:r>
              <w:rPr>
                <w:rFonts w:ascii="Bahnschrift" w:hAnsi="Bahnschrift"/>
                <w:b/>
                <w:bCs/>
                <w:color w:val="262626" w:themeColor="text1" w:themeTint="D9"/>
                <w:szCs w:val="20"/>
              </w:rPr>
              <w:t>9</w:t>
            </w:r>
            <w:r w:rsidRPr="000214B9">
              <w:rPr>
                <w:rFonts w:ascii="Bahnschrift" w:hAnsi="Bahnschrift"/>
                <w:b/>
                <w:bCs/>
                <w:color w:val="262626" w:themeColor="text1" w:themeTint="D9"/>
                <w:szCs w:val="20"/>
              </w:rPr>
              <w:t xml:space="preserve"> GW</w:t>
            </w:r>
          </w:p>
        </w:tc>
        <w:tc>
          <w:tcPr>
            <w:tcW w:w="738" w:type="dxa"/>
            <w:vMerge w:val="restart"/>
          </w:tcPr>
          <w:p w14:paraId="2CE4AA7E" w14:textId="5921F581" w:rsidR="00B348E1" w:rsidRPr="00FA74C6" w:rsidRDefault="00B348E1" w:rsidP="00B348E1">
            <w:pPr>
              <w:jc w:val="center"/>
              <w:rPr>
                <w:rFonts w:ascii="Bahnschrift" w:hAnsi="Bahnschrift"/>
                <w:b/>
                <w:bCs/>
                <w:color w:val="262626" w:themeColor="text1" w:themeTint="D9"/>
                <w:sz w:val="22"/>
              </w:rPr>
            </w:pPr>
            <w:r>
              <w:rPr>
                <w:noProof/>
                <w:lang w:eastAsia="pl-PL"/>
              </w:rPr>
              <w:drawing>
                <wp:anchor distT="0" distB="0" distL="114300" distR="114300" simplePos="0" relativeHeight="251831296" behindDoc="0" locked="0" layoutInCell="1" allowOverlap="1" wp14:anchorId="3E78A902" wp14:editId="4231D7C9">
                  <wp:simplePos x="0" y="0"/>
                  <wp:positionH relativeFrom="column">
                    <wp:posOffset>21590</wp:posOffset>
                  </wp:positionH>
                  <wp:positionV relativeFrom="paragraph">
                    <wp:posOffset>-19685</wp:posOffset>
                  </wp:positionV>
                  <wp:extent cx="396000" cy="396000"/>
                  <wp:effectExtent l="0" t="0" r="4445" b="4445"/>
                  <wp:wrapNone/>
                  <wp:docPr id="26" name="Obraz 26"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Obraz 26" descr="Obraz zawierający czarne, ciemność&#10;&#10;Opis wygenerowany automatycznie"/>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96000" cy="39600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190" w:type="dxa"/>
          </w:tcPr>
          <w:p w14:paraId="4ED83764" w14:textId="467A8D57" w:rsidR="00B348E1" w:rsidRPr="00C34974" w:rsidRDefault="00B348E1" w:rsidP="00B348E1">
            <w:pPr>
              <w:jc w:val="center"/>
              <w:rPr>
                <w:rFonts w:asciiTheme="minorHAnsi" w:eastAsia="Calibri" w:hAnsiTheme="minorHAnsi"/>
                <w:noProof/>
                <w:lang w:eastAsia="pl-PL"/>
              </w:rPr>
            </w:pPr>
            <w:r>
              <w:rPr>
                <w:rFonts w:ascii="Bahnschrift" w:hAnsi="Bahnschrift"/>
                <w:b/>
                <w:bCs/>
                <w:color w:val="262626" w:themeColor="text1" w:themeTint="D9"/>
                <w:szCs w:val="20"/>
              </w:rPr>
              <w:t>17,9</w:t>
            </w:r>
            <w:r w:rsidRPr="000214B9">
              <w:rPr>
                <w:rFonts w:ascii="Bahnschrift" w:hAnsi="Bahnschrift"/>
                <w:b/>
                <w:bCs/>
                <w:color w:val="262626" w:themeColor="text1" w:themeTint="D9"/>
                <w:szCs w:val="20"/>
              </w:rPr>
              <w:t xml:space="preserve"> GW</w:t>
            </w:r>
          </w:p>
        </w:tc>
      </w:tr>
      <w:tr w:rsidR="00B348E1" w:rsidRPr="00144F3E" w14:paraId="7F68A709" w14:textId="57D1CAB9" w:rsidTr="000E7591">
        <w:trPr>
          <w:trHeight w:val="16"/>
        </w:trPr>
        <w:tc>
          <w:tcPr>
            <w:tcW w:w="227" w:type="dxa"/>
          </w:tcPr>
          <w:p w14:paraId="5125F8A9" w14:textId="77777777" w:rsidR="00B348E1" w:rsidRPr="000214B9" w:rsidRDefault="00B348E1" w:rsidP="00B348E1">
            <w:pPr>
              <w:jc w:val="center"/>
              <w:rPr>
                <w:rFonts w:ascii="Bahnschrift" w:hAnsi="Bahnschrift"/>
                <w:b/>
                <w:bCs/>
                <w:color w:val="262626" w:themeColor="text1" w:themeTint="D9"/>
                <w:szCs w:val="20"/>
              </w:rPr>
            </w:pPr>
          </w:p>
        </w:tc>
        <w:tc>
          <w:tcPr>
            <w:tcW w:w="963" w:type="dxa"/>
          </w:tcPr>
          <w:p w14:paraId="118D0C51" w14:textId="1EC13530" w:rsidR="00B348E1" w:rsidRPr="000214B9" w:rsidRDefault="00B348E1" w:rsidP="00B348E1">
            <w:pPr>
              <w:jc w:val="center"/>
              <w:rPr>
                <w:rFonts w:ascii="Bahnschrift" w:hAnsi="Bahnschrift"/>
                <w:b/>
                <w:bCs/>
                <w:color w:val="262626" w:themeColor="text1" w:themeTint="D9"/>
                <w:szCs w:val="20"/>
              </w:rPr>
            </w:pPr>
            <w:r>
              <w:rPr>
                <w:rFonts w:ascii="Bahnschrift" w:hAnsi="Bahnschrift"/>
                <w:b/>
                <w:bCs/>
                <w:color w:val="262626" w:themeColor="text1" w:themeTint="D9"/>
                <w:szCs w:val="20"/>
              </w:rPr>
              <w:t>21,7</w:t>
            </w:r>
            <w:r w:rsidRPr="000214B9">
              <w:rPr>
                <w:rFonts w:ascii="Bahnschrift" w:hAnsi="Bahnschrift"/>
                <w:b/>
                <w:bCs/>
                <w:color w:val="262626" w:themeColor="text1" w:themeTint="D9"/>
                <w:szCs w:val="20"/>
              </w:rPr>
              <w:t xml:space="preserve"> TWh</w:t>
            </w:r>
          </w:p>
        </w:tc>
        <w:tc>
          <w:tcPr>
            <w:tcW w:w="738" w:type="dxa"/>
            <w:vMerge/>
          </w:tcPr>
          <w:p w14:paraId="6B1E2B1B" w14:textId="77777777" w:rsidR="00B348E1" w:rsidRPr="00FA74C6" w:rsidRDefault="00B348E1" w:rsidP="00B348E1">
            <w:pPr>
              <w:jc w:val="center"/>
              <w:rPr>
                <w:rFonts w:ascii="Bahnschrift" w:hAnsi="Bahnschrift"/>
                <w:b/>
                <w:bCs/>
                <w:color w:val="262626" w:themeColor="text1" w:themeTint="D9"/>
                <w:sz w:val="22"/>
              </w:rPr>
            </w:pPr>
          </w:p>
        </w:tc>
        <w:tc>
          <w:tcPr>
            <w:tcW w:w="1190" w:type="dxa"/>
          </w:tcPr>
          <w:p w14:paraId="265AFB6B" w14:textId="4C896A1B" w:rsidR="00B348E1" w:rsidRPr="00FA74C6" w:rsidRDefault="00B348E1" w:rsidP="00B348E1">
            <w:pPr>
              <w:jc w:val="center"/>
              <w:rPr>
                <w:rFonts w:ascii="Bahnschrift" w:hAnsi="Bahnschrift"/>
                <w:b/>
                <w:bCs/>
                <w:color w:val="262626" w:themeColor="text1" w:themeTint="D9"/>
                <w:sz w:val="22"/>
              </w:rPr>
            </w:pPr>
            <w:r>
              <w:rPr>
                <w:rFonts w:ascii="Bahnschrift" w:hAnsi="Bahnschrift"/>
                <w:b/>
                <w:bCs/>
                <w:color w:val="262626" w:themeColor="text1" w:themeTint="D9"/>
                <w:szCs w:val="20"/>
              </w:rPr>
              <w:t>67,4</w:t>
            </w:r>
            <w:r w:rsidRPr="000214B9">
              <w:rPr>
                <w:rFonts w:ascii="Bahnschrift" w:hAnsi="Bahnschrift"/>
                <w:b/>
                <w:bCs/>
                <w:color w:val="262626" w:themeColor="text1" w:themeTint="D9"/>
                <w:szCs w:val="20"/>
              </w:rPr>
              <w:t xml:space="preserve"> TWh</w:t>
            </w:r>
          </w:p>
        </w:tc>
      </w:tr>
      <w:tr w:rsidR="00B348E1" w:rsidRPr="00144F3E" w14:paraId="5E0F03A3" w14:textId="0B6BF40B" w:rsidTr="000E7591">
        <w:trPr>
          <w:trHeight w:val="113"/>
        </w:trPr>
        <w:tc>
          <w:tcPr>
            <w:tcW w:w="227" w:type="dxa"/>
          </w:tcPr>
          <w:p w14:paraId="6AC05280" w14:textId="77777777" w:rsidR="00B348E1" w:rsidRPr="00960631" w:rsidRDefault="00B348E1" w:rsidP="00B348E1">
            <w:pPr>
              <w:jc w:val="center"/>
              <w:rPr>
                <w:rFonts w:ascii="Bahnschrift" w:hAnsi="Bahnschrift"/>
                <w:b/>
                <w:bCs/>
                <w:color w:val="262626" w:themeColor="text1" w:themeTint="D9"/>
                <w:sz w:val="8"/>
                <w:szCs w:val="8"/>
              </w:rPr>
            </w:pPr>
          </w:p>
        </w:tc>
        <w:tc>
          <w:tcPr>
            <w:tcW w:w="963" w:type="dxa"/>
          </w:tcPr>
          <w:p w14:paraId="6CDD0AC3" w14:textId="38C14D54" w:rsidR="00B348E1" w:rsidRPr="00960631" w:rsidRDefault="00B348E1" w:rsidP="00B348E1">
            <w:pPr>
              <w:jc w:val="center"/>
              <w:rPr>
                <w:rFonts w:ascii="Bahnschrift" w:hAnsi="Bahnschrift"/>
                <w:b/>
                <w:bCs/>
                <w:color w:val="262626" w:themeColor="text1" w:themeTint="D9"/>
                <w:sz w:val="8"/>
                <w:szCs w:val="8"/>
              </w:rPr>
            </w:pPr>
          </w:p>
        </w:tc>
        <w:tc>
          <w:tcPr>
            <w:tcW w:w="738" w:type="dxa"/>
          </w:tcPr>
          <w:p w14:paraId="76F2DCD6" w14:textId="77777777" w:rsidR="00B348E1" w:rsidRPr="00960631" w:rsidRDefault="00B348E1" w:rsidP="00B348E1">
            <w:pPr>
              <w:jc w:val="center"/>
              <w:rPr>
                <w:rFonts w:ascii="Bahnschrift" w:hAnsi="Bahnschrift"/>
                <w:b/>
                <w:bCs/>
                <w:color w:val="262626" w:themeColor="text1" w:themeTint="D9"/>
                <w:sz w:val="8"/>
                <w:szCs w:val="8"/>
              </w:rPr>
            </w:pPr>
          </w:p>
        </w:tc>
        <w:tc>
          <w:tcPr>
            <w:tcW w:w="1190" w:type="dxa"/>
          </w:tcPr>
          <w:p w14:paraId="477DF800" w14:textId="77777777" w:rsidR="00B348E1" w:rsidRPr="00960631" w:rsidRDefault="00B348E1" w:rsidP="00B348E1">
            <w:pPr>
              <w:jc w:val="center"/>
              <w:rPr>
                <w:rFonts w:ascii="Bahnschrift" w:hAnsi="Bahnschrift"/>
                <w:b/>
                <w:bCs/>
                <w:color w:val="262626" w:themeColor="text1" w:themeTint="D9"/>
                <w:sz w:val="8"/>
                <w:szCs w:val="8"/>
              </w:rPr>
            </w:pPr>
          </w:p>
        </w:tc>
      </w:tr>
      <w:tr w:rsidR="00B348E1" w:rsidRPr="00144F3E" w14:paraId="72417AA0" w14:textId="46A00612" w:rsidTr="000E7591">
        <w:trPr>
          <w:trHeight w:val="16"/>
        </w:trPr>
        <w:tc>
          <w:tcPr>
            <w:tcW w:w="227" w:type="dxa"/>
          </w:tcPr>
          <w:p w14:paraId="34B04BAC" w14:textId="77777777" w:rsidR="00B348E1" w:rsidRPr="000214B9" w:rsidRDefault="00B348E1" w:rsidP="00B348E1">
            <w:pPr>
              <w:jc w:val="center"/>
              <w:rPr>
                <w:rFonts w:ascii="Bahnschrift" w:hAnsi="Bahnschrift"/>
                <w:b/>
                <w:bCs/>
                <w:color w:val="262626" w:themeColor="text1" w:themeTint="D9"/>
                <w:szCs w:val="20"/>
              </w:rPr>
            </w:pPr>
          </w:p>
        </w:tc>
        <w:tc>
          <w:tcPr>
            <w:tcW w:w="963" w:type="dxa"/>
          </w:tcPr>
          <w:p w14:paraId="010B74D6" w14:textId="3BC48048" w:rsidR="00B348E1" w:rsidRPr="000214B9" w:rsidRDefault="00B348E1" w:rsidP="00B348E1">
            <w:pPr>
              <w:jc w:val="center"/>
              <w:rPr>
                <w:rFonts w:ascii="Bahnschrift" w:hAnsi="Bahnschrift"/>
                <w:b/>
                <w:bCs/>
                <w:color w:val="262626" w:themeColor="text1" w:themeTint="D9"/>
                <w:szCs w:val="20"/>
              </w:rPr>
            </w:pPr>
            <w:r w:rsidRPr="000214B9">
              <w:rPr>
                <w:rFonts w:ascii="Bahnschrift" w:hAnsi="Bahnschrift"/>
                <w:b/>
                <w:bCs/>
                <w:color w:val="262626" w:themeColor="text1" w:themeTint="D9"/>
                <w:szCs w:val="20"/>
              </w:rPr>
              <w:t>1,</w:t>
            </w:r>
            <w:r>
              <w:rPr>
                <w:rFonts w:ascii="Bahnschrift" w:hAnsi="Bahnschrift"/>
                <w:b/>
                <w:bCs/>
                <w:color w:val="262626" w:themeColor="text1" w:themeTint="D9"/>
                <w:szCs w:val="20"/>
              </w:rPr>
              <w:t>5</w:t>
            </w:r>
            <w:r w:rsidRPr="000214B9">
              <w:rPr>
                <w:rFonts w:ascii="Bahnschrift" w:hAnsi="Bahnschrift"/>
                <w:b/>
                <w:bCs/>
                <w:color w:val="262626" w:themeColor="text1" w:themeTint="D9"/>
                <w:szCs w:val="20"/>
              </w:rPr>
              <w:t xml:space="preserve"> GW</w:t>
            </w:r>
          </w:p>
        </w:tc>
        <w:tc>
          <w:tcPr>
            <w:tcW w:w="738" w:type="dxa"/>
            <w:vMerge w:val="restart"/>
          </w:tcPr>
          <w:p w14:paraId="2F8DE972" w14:textId="77777777" w:rsidR="00B348E1" w:rsidRDefault="00B348E1" w:rsidP="00B348E1">
            <w:pPr>
              <w:jc w:val="center"/>
              <w:rPr>
                <w:rFonts w:ascii="Bahnschrift" w:hAnsi="Bahnschrift"/>
                <w:b/>
                <w:bCs/>
                <w:color w:val="262626" w:themeColor="text1" w:themeTint="D9"/>
                <w:sz w:val="22"/>
              </w:rPr>
            </w:pPr>
            <w:r>
              <w:rPr>
                <w:noProof/>
                <w:lang w:eastAsia="pl-PL"/>
              </w:rPr>
              <w:drawing>
                <wp:anchor distT="0" distB="0" distL="114300" distR="114300" simplePos="0" relativeHeight="251829248" behindDoc="0" locked="0" layoutInCell="1" allowOverlap="1" wp14:anchorId="0826409B" wp14:editId="3E893461">
                  <wp:simplePos x="0" y="0"/>
                  <wp:positionH relativeFrom="column">
                    <wp:posOffset>45720</wp:posOffset>
                  </wp:positionH>
                  <wp:positionV relativeFrom="paragraph">
                    <wp:posOffset>6350</wp:posOffset>
                  </wp:positionV>
                  <wp:extent cx="396000" cy="396000"/>
                  <wp:effectExtent l="0" t="0" r="4445" b="4445"/>
                  <wp:wrapNone/>
                  <wp:docPr id="35" name="Obraz 35"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Obraz 35" descr="Obraz zawierający czarne, ciemność&#10;&#10;Opis wygenerowany automatycznie"/>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96000" cy="39600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190" w:type="dxa"/>
          </w:tcPr>
          <w:p w14:paraId="0415B3DD" w14:textId="140E15BD" w:rsidR="00B348E1" w:rsidRDefault="00B348E1" w:rsidP="00B348E1">
            <w:pPr>
              <w:jc w:val="center"/>
              <w:rPr>
                <w:noProof/>
                <w:lang w:eastAsia="pl-PL"/>
              </w:rPr>
            </w:pPr>
            <w:r w:rsidRPr="000214B9">
              <w:rPr>
                <w:rFonts w:ascii="Bahnschrift" w:hAnsi="Bahnschrift"/>
                <w:b/>
                <w:bCs/>
                <w:color w:val="262626" w:themeColor="text1" w:themeTint="D9"/>
                <w:szCs w:val="20"/>
              </w:rPr>
              <w:t>1,</w:t>
            </w:r>
            <w:r>
              <w:rPr>
                <w:rFonts w:ascii="Bahnschrift" w:hAnsi="Bahnschrift"/>
                <w:b/>
                <w:bCs/>
                <w:color w:val="262626" w:themeColor="text1" w:themeTint="D9"/>
                <w:szCs w:val="20"/>
              </w:rPr>
              <w:t>6</w:t>
            </w:r>
            <w:r w:rsidRPr="000214B9">
              <w:rPr>
                <w:rFonts w:ascii="Bahnschrift" w:hAnsi="Bahnschrift"/>
                <w:b/>
                <w:bCs/>
                <w:color w:val="262626" w:themeColor="text1" w:themeTint="D9"/>
                <w:szCs w:val="20"/>
              </w:rPr>
              <w:t xml:space="preserve"> GW</w:t>
            </w:r>
          </w:p>
        </w:tc>
      </w:tr>
      <w:tr w:rsidR="00B348E1" w:rsidRPr="00144F3E" w14:paraId="4221B1AD" w14:textId="4FA1D829" w:rsidTr="000E7591">
        <w:trPr>
          <w:trHeight w:val="16"/>
        </w:trPr>
        <w:tc>
          <w:tcPr>
            <w:tcW w:w="227" w:type="dxa"/>
          </w:tcPr>
          <w:p w14:paraId="2D0D5773" w14:textId="77777777" w:rsidR="00B348E1" w:rsidRPr="000214B9" w:rsidRDefault="00B348E1" w:rsidP="00B348E1">
            <w:pPr>
              <w:jc w:val="center"/>
              <w:rPr>
                <w:rFonts w:ascii="Bahnschrift" w:hAnsi="Bahnschrift"/>
                <w:b/>
                <w:bCs/>
                <w:color w:val="262626" w:themeColor="text1" w:themeTint="D9"/>
                <w:szCs w:val="20"/>
              </w:rPr>
            </w:pPr>
          </w:p>
        </w:tc>
        <w:tc>
          <w:tcPr>
            <w:tcW w:w="963" w:type="dxa"/>
          </w:tcPr>
          <w:p w14:paraId="550A4B04" w14:textId="740BC795" w:rsidR="00B348E1" w:rsidRPr="000214B9" w:rsidRDefault="00B348E1" w:rsidP="00B348E1">
            <w:pPr>
              <w:jc w:val="center"/>
              <w:rPr>
                <w:rFonts w:ascii="Bahnschrift" w:hAnsi="Bahnschrift"/>
                <w:b/>
                <w:bCs/>
                <w:color w:val="262626" w:themeColor="text1" w:themeTint="D9"/>
                <w:szCs w:val="20"/>
              </w:rPr>
            </w:pPr>
            <w:r>
              <w:rPr>
                <w:rFonts w:ascii="Bahnschrift" w:hAnsi="Bahnschrift"/>
                <w:b/>
                <w:bCs/>
                <w:color w:val="262626" w:themeColor="text1" w:themeTint="D9"/>
                <w:szCs w:val="20"/>
              </w:rPr>
              <w:t>11</w:t>
            </w:r>
            <w:r w:rsidRPr="000214B9">
              <w:rPr>
                <w:rFonts w:ascii="Bahnschrift" w:hAnsi="Bahnschrift"/>
                <w:b/>
                <w:bCs/>
                <w:color w:val="262626" w:themeColor="text1" w:themeTint="D9"/>
                <w:szCs w:val="20"/>
              </w:rPr>
              <w:t>,</w:t>
            </w:r>
            <w:r>
              <w:rPr>
                <w:rFonts w:ascii="Bahnschrift" w:hAnsi="Bahnschrift"/>
                <w:b/>
                <w:bCs/>
                <w:color w:val="262626" w:themeColor="text1" w:themeTint="D9"/>
                <w:szCs w:val="20"/>
              </w:rPr>
              <w:t>1</w:t>
            </w:r>
            <w:r w:rsidRPr="000214B9">
              <w:rPr>
                <w:rFonts w:ascii="Bahnschrift" w:hAnsi="Bahnschrift"/>
                <w:b/>
                <w:bCs/>
                <w:color w:val="262626" w:themeColor="text1" w:themeTint="D9"/>
                <w:szCs w:val="20"/>
              </w:rPr>
              <w:t xml:space="preserve"> TWh</w:t>
            </w:r>
          </w:p>
        </w:tc>
        <w:tc>
          <w:tcPr>
            <w:tcW w:w="738" w:type="dxa"/>
            <w:vMerge/>
          </w:tcPr>
          <w:p w14:paraId="06ECB67E" w14:textId="77777777" w:rsidR="00B348E1" w:rsidRDefault="00B348E1" w:rsidP="00B348E1">
            <w:pPr>
              <w:jc w:val="center"/>
              <w:rPr>
                <w:rFonts w:ascii="Bahnschrift" w:hAnsi="Bahnschrift"/>
                <w:b/>
                <w:bCs/>
                <w:color w:val="262626" w:themeColor="text1" w:themeTint="D9"/>
                <w:sz w:val="22"/>
              </w:rPr>
            </w:pPr>
          </w:p>
        </w:tc>
        <w:tc>
          <w:tcPr>
            <w:tcW w:w="1190" w:type="dxa"/>
          </w:tcPr>
          <w:p w14:paraId="0EEE838D" w14:textId="5F447D32" w:rsidR="00B348E1" w:rsidRDefault="00B348E1" w:rsidP="00B348E1">
            <w:pPr>
              <w:jc w:val="center"/>
              <w:rPr>
                <w:rFonts w:ascii="Bahnschrift" w:hAnsi="Bahnschrift"/>
                <w:b/>
                <w:bCs/>
                <w:color w:val="262626" w:themeColor="text1" w:themeTint="D9"/>
                <w:sz w:val="22"/>
              </w:rPr>
            </w:pPr>
            <w:r w:rsidRPr="000214B9">
              <w:rPr>
                <w:rFonts w:ascii="Bahnschrift" w:hAnsi="Bahnschrift"/>
                <w:b/>
                <w:bCs/>
                <w:color w:val="262626" w:themeColor="text1" w:themeTint="D9"/>
                <w:szCs w:val="20"/>
              </w:rPr>
              <w:t>1</w:t>
            </w:r>
            <w:r>
              <w:rPr>
                <w:rFonts w:ascii="Bahnschrift" w:hAnsi="Bahnschrift"/>
                <w:b/>
                <w:bCs/>
                <w:color w:val="262626" w:themeColor="text1" w:themeTint="D9"/>
                <w:szCs w:val="20"/>
              </w:rPr>
              <w:t>2</w:t>
            </w:r>
            <w:r w:rsidRPr="000214B9">
              <w:rPr>
                <w:rFonts w:ascii="Bahnschrift" w:hAnsi="Bahnschrift"/>
                <w:b/>
                <w:bCs/>
                <w:color w:val="262626" w:themeColor="text1" w:themeTint="D9"/>
                <w:szCs w:val="20"/>
              </w:rPr>
              <w:t>,</w:t>
            </w:r>
            <w:r>
              <w:rPr>
                <w:rFonts w:ascii="Bahnschrift" w:hAnsi="Bahnschrift"/>
                <w:b/>
                <w:bCs/>
                <w:color w:val="262626" w:themeColor="text1" w:themeTint="D9"/>
                <w:szCs w:val="20"/>
              </w:rPr>
              <w:t>3</w:t>
            </w:r>
            <w:r w:rsidRPr="000214B9">
              <w:rPr>
                <w:rFonts w:ascii="Bahnschrift" w:hAnsi="Bahnschrift"/>
                <w:b/>
                <w:bCs/>
                <w:color w:val="262626" w:themeColor="text1" w:themeTint="D9"/>
                <w:szCs w:val="20"/>
              </w:rPr>
              <w:t xml:space="preserve"> TWh</w:t>
            </w:r>
          </w:p>
        </w:tc>
      </w:tr>
      <w:tr w:rsidR="00B348E1" w:rsidRPr="00144F3E" w14:paraId="6D5D2797" w14:textId="6F3965DA" w:rsidTr="000E7591">
        <w:trPr>
          <w:trHeight w:val="143"/>
        </w:trPr>
        <w:tc>
          <w:tcPr>
            <w:tcW w:w="227" w:type="dxa"/>
          </w:tcPr>
          <w:p w14:paraId="0AC55307" w14:textId="77777777" w:rsidR="00B348E1" w:rsidRPr="00960631" w:rsidRDefault="00B348E1" w:rsidP="00B348E1">
            <w:pPr>
              <w:jc w:val="center"/>
              <w:rPr>
                <w:rFonts w:ascii="Bahnschrift" w:hAnsi="Bahnschrift"/>
                <w:b/>
                <w:bCs/>
                <w:color w:val="262626" w:themeColor="text1" w:themeTint="D9"/>
                <w:sz w:val="8"/>
                <w:szCs w:val="8"/>
              </w:rPr>
            </w:pPr>
          </w:p>
        </w:tc>
        <w:tc>
          <w:tcPr>
            <w:tcW w:w="963" w:type="dxa"/>
          </w:tcPr>
          <w:p w14:paraId="21AA12A4" w14:textId="73E09BC9" w:rsidR="00B348E1" w:rsidRPr="00960631" w:rsidRDefault="00B348E1" w:rsidP="00B348E1">
            <w:pPr>
              <w:jc w:val="center"/>
              <w:rPr>
                <w:rFonts w:ascii="Bahnschrift" w:hAnsi="Bahnschrift"/>
                <w:b/>
                <w:bCs/>
                <w:color w:val="262626" w:themeColor="text1" w:themeTint="D9"/>
                <w:sz w:val="8"/>
                <w:szCs w:val="8"/>
              </w:rPr>
            </w:pPr>
          </w:p>
        </w:tc>
        <w:tc>
          <w:tcPr>
            <w:tcW w:w="738" w:type="dxa"/>
          </w:tcPr>
          <w:p w14:paraId="1499DA6C" w14:textId="77777777" w:rsidR="00B348E1" w:rsidRPr="00960631" w:rsidRDefault="00B348E1" w:rsidP="00B348E1">
            <w:pPr>
              <w:jc w:val="center"/>
              <w:rPr>
                <w:rFonts w:ascii="Bahnschrift" w:hAnsi="Bahnschrift"/>
                <w:b/>
                <w:bCs/>
                <w:color w:val="262626" w:themeColor="text1" w:themeTint="D9"/>
                <w:sz w:val="8"/>
                <w:szCs w:val="8"/>
              </w:rPr>
            </w:pPr>
          </w:p>
        </w:tc>
        <w:tc>
          <w:tcPr>
            <w:tcW w:w="1190" w:type="dxa"/>
          </w:tcPr>
          <w:p w14:paraId="08054DCA" w14:textId="77777777" w:rsidR="00B348E1" w:rsidRPr="00960631" w:rsidRDefault="00B348E1" w:rsidP="00B348E1">
            <w:pPr>
              <w:jc w:val="center"/>
              <w:rPr>
                <w:rFonts w:ascii="Bahnschrift" w:hAnsi="Bahnschrift"/>
                <w:b/>
                <w:bCs/>
                <w:color w:val="262626" w:themeColor="text1" w:themeTint="D9"/>
                <w:sz w:val="8"/>
                <w:szCs w:val="8"/>
              </w:rPr>
            </w:pPr>
          </w:p>
        </w:tc>
      </w:tr>
      <w:tr w:rsidR="00B348E1" w:rsidRPr="00144F3E" w14:paraId="0A5385FF" w14:textId="4E85FFF2" w:rsidTr="000E7591">
        <w:trPr>
          <w:trHeight w:val="16"/>
        </w:trPr>
        <w:tc>
          <w:tcPr>
            <w:tcW w:w="227" w:type="dxa"/>
          </w:tcPr>
          <w:p w14:paraId="08E70652" w14:textId="77777777" w:rsidR="00B348E1" w:rsidRPr="000214B9" w:rsidRDefault="00B348E1" w:rsidP="00B348E1">
            <w:pPr>
              <w:jc w:val="center"/>
              <w:rPr>
                <w:rFonts w:ascii="Bahnschrift" w:hAnsi="Bahnschrift"/>
                <w:b/>
                <w:bCs/>
                <w:color w:val="262626" w:themeColor="text1" w:themeTint="D9"/>
                <w:szCs w:val="20"/>
              </w:rPr>
            </w:pPr>
          </w:p>
        </w:tc>
        <w:tc>
          <w:tcPr>
            <w:tcW w:w="963" w:type="dxa"/>
          </w:tcPr>
          <w:p w14:paraId="29C4BB33" w14:textId="7CCDDA6B" w:rsidR="00B348E1" w:rsidRPr="000214B9" w:rsidRDefault="00B348E1" w:rsidP="00B348E1">
            <w:pPr>
              <w:jc w:val="center"/>
              <w:rPr>
                <w:rFonts w:ascii="Bahnschrift" w:hAnsi="Bahnschrift"/>
                <w:b/>
                <w:bCs/>
                <w:color w:val="262626" w:themeColor="text1" w:themeTint="D9"/>
                <w:szCs w:val="20"/>
              </w:rPr>
            </w:pPr>
            <w:r w:rsidRPr="000214B9">
              <w:rPr>
                <w:rFonts w:ascii="Bahnschrift" w:hAnsi="Bahnschrift"/>
                <w:b/>
                <w:bCs/>
                <w:color w:val="262626" w:themeColor="text1" w:themeTint="D9"/>
                <w:szCs w:val="20"/>
              </w:rPr>
              <w:t>1,1 GW</w:t>
            </w:r>
          </w:p>
        </w:tc>
        <w:tc>
          <w:tcPr>
            <w:tcW w:w="738" w:type="dxa"/>
            <w:vMerge w:val="restart"/>
          </w:tcPr>
          <w:p w14:paraId="7B4E6A5E" w14:textId="77777777" w:rsidR="00B348E1" w:rsidRDefault="00B348E1" w:rsidP="00B348E1">
            <w:pPr>
              <w:jc w:val="center"/>
              <w:rPr>
                <w:rFonts w:ascii="Bahnschrift" w:hAnsi="Bahnschrift"/>
                <w:b/>
                <w:bCs/>
                <w:color w:val="262626" w:themeColor="text1" w:themeTint="D9"/>
                <w:sz w:val="22"/>
              </w:rPr>
            </w:pPr>
            <w:r>
              <w:rPr>
                <w:noProof/>
                <w:lang w:eastAsia="pl-PL"/>
              </w:rPr>
              <w:drawing>
                <wp:anchor distT="0" distB="0" distL="114300" distR="114300" simplePos="0" relativeHeight="251830272" behindDoc="0" locked="0" layoutInCell="1" allowOverlap="1" wp14:anchorId="30AB3E50" wp14:editId="34824B12">
                  <wp:simplePos x="0" y="0"/>
                  <wp:positionH relativeFrom="column">
                    <wp:posOffset>27940</wp:posOffset>
                  </wp:positionH>
                  <wp:positionV relativeFrom="paragraph">
                    <wp:posOffset>-45720</wp:posOffset>
                  </wp:positionV>
                  <wp:extent cx="396000" cy="396000"/>
                  <wp:effectExtent l="0" t="0" r="4445" b="4445"/>
                  <wp:wrapNone/>
                  <wp:docPr id="37" name="Obraz 37"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Obraz 37" descr="Obraz zawierający czarne, ciemność&#10;&#10;Opis wygenerowany automatycznie"/>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96000" cy="39600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190" w:type="dxa"/>
          </w:tcPr>
          <w:p w14:paraId="05B8BE49" w14:textId="19647473" w:rsidR="00B348E1" w:rsidRDefault="00B348E1" w:rsidP="00B348E1">
            <w:pPr>
              <w:jc w:val="center"/>
              <w:rPr>
                <w:noProof/>
                <w:lang w:eastAsia="pl-PL"/>
              </w:rPr>
            </w:pPr>
            <w:r w:rsidRPr="000214B9">
              <w:rPr>
                <w:rFonts w:ascii="Bahnschrift" w:hAnsi="Bahnschrift"/>
                <w:b/>
                <w:bCs/>
                <w:color w:val="262626" w:themeColor="text1" w:themeTint="D9"/>
                <w:szCs w:val="20"/>
              </w:rPr>
              <w:t>1,</w:t>
            </w:r>
            <w:r>
              <w:rPr>
                <w:rFonts w:ascii="Bahnschrift" w:hAnsi="Bahnschrift"/>
                <w:b/>
                <w:bCs/>
                <w:color w:val="262626" w:themeColor="text1" w:themeTint="D9"/>
                <w:szCs w:val="20"/>
              </w:rPr>
              <w:t>2</w:t>
            </w:r>
            <w:r w:rsidRPr="000214B9">
              <w:rPr>
                <w:rFonts w:ascii="Bahnschrift" w:hAnsi="Bahnschrift"/>
                <w:b/>
                <w:bCs/>
                <w:color w:val="262626" w:themeColor="text1" w:themeTint="D9"/>
                <w:szCs w:val="20"/>
              </w:rPr>
              <w:t xml:space="preserve"> GW</w:t>
            </w:r>
          </w:p>
        </w:tc>
      </w:tr>
      <w:tr w:rsidR="00B348E1" w:rsidRPr="00144F3E" w14:paraId="57879776" w14:textId="1B68A20E" w:rsidTr="000E7591">
        <w:trPr>
          <w:trHeight w:val="16"/>
        </w:trPr>
        <w:tc>
          <w:tcPr>
            <w:tcW w:w="227" w:type="dxa"/>
          </w:tcPr>
          <w:p w14:paraId="306AD74A" w14:textId="77777777" w:rsidR="00B348E1" w:rsidRPr="000214B9" w:rsidRDefault="00B348E1" w:rsidP="00B348E1">
            <w:pPr>
              <w:jc w:val="center"/>
              <w:rPr>
                <w:rFonts w:ascii="Bahnschrift" w:hAnsi="Bahnschrift"/>
                <w:b/>
                <w:bCs/>
                <w:color w:val="262626" w:themeColor="text1" w:themeTint="D9"/>
                <w:szCs w:val="20"/>
              </w:rPr>
            </w:pPr>
          </w:p>
        </w:tc>
        <w:tc>
          <w:tcPr>
            <w:tcW w:w="963" w:type="dxa"/>
          </w:tcPr>
          <w:p w14:paraId="41484634" w14:textId="5E7EF370" w:rsidR="00B348E1" w:rsidRPr="000214B9" w:rsidRDefault="00B348E1" w:rsidP="00B348E1">
            <w:pPr>
              <w:jc w:val="center"/>
              <w:rPr>
                <w:rFonts w:ascii="Bahnschrift" w:hAnsi="Bahnschrift"/>
                <w:b/>
                <w:bCs/>
                <w:color w:val="262626" w:themeColor="text1" w:themeTint="D9"/>
                <w:szCs w:val="20"/>
              </w:rPr>
            </w:pPr>
            <w:r>
              <w:rPr>
                <w:rFonts w:ascii="Bahnschrift" w:hAnsi="Bahnschrift"/>
                <w:b/>
                <w:bCs/>
                <w:color w:val="262626" w:themeColor="text1" w:themeTint="D9"/>
                <w:szCs w:val="20"/>
              </w:rPr>
              <w:t>2</w:t>
            </w:r>
            <w:r w:rsidRPr="000214B9">
              <w:rPr>
                <w:rFonts w:ascii="Bahnschrift" w:hAnsi="Bahnschrift"/>
                <w:b/>
                <w:bCs/>
                <w:color w:val="262626" w:themeColor="text1" w:themeTint="D9"/>
                <w:szCs w:val="20"/>
              </w:rPr>
              <w:t>,</w:t>
            </w:r>
            <w:r>
              <w:rPr>
                <w:rFonts w:ascii="Bahnschrift" w:hAnsi="Bahnschrift"/>
                <w:b/>
                <w:bCs/>
                <w:color w:val="262626" w:themeColor="text1" w:themeTint="D9"/>
                <w:szCs w:val="20"/>
              </w:rPr>
              <w:t>9</w:t>
            </w:r>
            <w:r w:rsidRPr="000214B9">
              <w:rPr>
                <w:rFonts w:ascii="Bahnschrift" w:hAnsi="Bahnschrift"/>
                <w:b/>
                <w:bCs/>
                <w:color w:val="262626" w:themeColor="text1" w:themeTint="D9"/>
                <w:szCs w:val="20"/>
              </w:rPr>
              <w:t xml:space="preserve"> TWh</w:t>
            </w:r>
          </w:p>
        </w:tc>
        <w:tc>
          <w:tcPr>
            <w:tcW w:w="738" w:type="dxa"/>
            <w:vMerge/>
          </w:tcPr>
          <w:p w14:paraId="0CBA0612" w14:textId="77777777" w:rsidR="00B348E1" w:rsidRDefault="00B348E1" w:rsidP="00B348E1">
            <w:pPr>
              <w:jc w:val="center"/>
              <w:rPr>
                <w:rFonts w:ascii="Bahnschrift" w:hAnsi="Bahnschrift"/>
                <w:b/>
                <w:bCs/>
                <w:color w:val="262626" w:themeColor="text1" w:themeTint="D9"/>
                <w:sz w:val="22"/>
              </w:rPr>
            </w:pPr>
          </w:p>
        </w:tc>
        <w:tc>
          <w:tcPr>
            <w:tcW w:w="1190" w:type="dxa"/>
          </w:tcPr>
          <w:p w14:paraId="181DBB05" w14:textId="1DD2D21E" w:rsidR="00B348E1" w:rsidRDefault="00B348E1" w:rsidP="00B348E1">
            <w:pPr>
              <w:jc w:val="center"/>
              <w:rPr>
                <w:rFonts w:ascii="Bahnschrift" w:hAnsi="Bahnschrift"/>
                <w:b/>
                <w:bCs/>
                <w:color w:val="262626" w:themeColor="text1" w:themeTint="D9"/>
                <w:sz w:val="22"/>
              </w:rPr>
            </w:pPr>
            <w:r>
              <w:rPr>
                <w:rFonts w:ascii="Bahnschrift" w:hAnsi="Bahnschrift"/>
                <w:b/>
                <w:bCs/>
                <w:color w:val="262626" w:themeColor="text1" w:themeTint="D9"/>
                <w:szCs w:val="20"/>
              </w:rPr>
              <w:t>3</w:t>
            </w:r>
            <w:r w:rsidRPr="000214B9">
              <w:rPr>
                <w:rFonts w:ascii="Bahnschrift" w:hAnsi="Bahnschrift"/>
                <w:b/>
                <w:bCs/>
                <w:color w:val="262626" w:themeColor="text1" w:themeTint="D9"/>
                <w:szCs w:val="20"/>
              </w:rPr>
              <w:t xml:space="preserve"> TWh</w:t>
            </w:r>
          </w:p>
        </w:tc>
      </w:tr>
    </w:tbl>
    <w:bookmarkEnd w:id="43"/>
    <w:p w14:paraId="35635580" w14:textId="5A74A647" w:rsidR="004F6992" w:rsidRDefault="00CD32A0" w:rsidP="00D64602">
      <w:pPr>
        <w:spacing w:before="80"/>
      </w:pPr>
      <w:r>
        <w:t>W perspektywie 2030 r.</w:t>
      </w:r>
      <w:r w:rsidR="0064173D">
        <w:t xml:space="preserve"> i 2040 r.</w:t>
      </w:r>
      <w:r>
        <w:t xml:space="preserve"> do przyrostu produkcji energii elektrycznej z OZE </w:t>
      </w:r>
      <w:bookmarkStart w:id="44" w:name="_Hlk175073910"/>
      <w:r>
        <w:t xml:space="preserve">w największym stopniu przyczyniać się będą </w:t>
      </w:r>
      <w:r w:rsidR="0064173D" w:rsidRPr="0064173D">
        <w:rPr>
          <w:b/>
          <w:bCs/>
        </w:rPr>
        <w:t>elektrownie słoneczne</w:t>
      </w:r>
      <w:r w:rsidR="0064173D">
        <w:t xml:space="preserve"> (o mocy zainstalowanej ok. </w:t>
      </w:r>
      <w:r w:rsidR="0064173D" w:rsidRPr="0064173D">
        <w:rPr>
          <w:b/>
          <w:bCs/>
        </w:rPr>
        <w:t>29</w:t>
      </w:r>
      <w:r w:rsidR="0064173D">
        <w:t xml:space="preserve"> </w:t>
      </w:r>
      <w:r w:rsidR="0064173D" w:rsidRPr="0064173D">
        <w:rPr>
          <w:b/>
          <w:bCs/>
        </w:rPr>
        <w:t>GW</w:t>
      </w:r>
      <w:r w:rsidR="0064173D">
        <w:t xml:space="preserve"> w 2030 r. i </w:t>
      </w:r>
      <w:r w:rsidR="0064173D" w:rsidRPr="0064173D">
        <w:rPr>
          <w:b/>
          <w:bCs/>
        </w:rPr>
        <w:t>46,3 GW</w:t>
      </w:r>
      <w:r w:rsidR="0064173D">
        <w:t xml:space="preserve"> w 2040 r.), następnie </w:t>
      </w:r>
      <w:r w:rsidRPr="0064173D">
        <w:rPr>
          <w:b/>
          <w:bCs/>
        </w:rPr>
        <w:t>elektrownie wiatrowe na lądzie</w:t>
      </w:r>
      <w:r>
        <w:t xml:space="preserve"> (o mocy zainstalowanej ok. </w:t>
      </w:r>
      <w:r w:rsidR="0064173D" w:rsidRPr="0064173D">
        <w:rPr>
          <w:b/>
          <w:bCs/>
        </w:rPr>
        <w:t xml:space="preserve">19 </w:t>
      </w:r>
      <w:r w:rsidRPr="00444575">
        <w:rPr>
          <w:b/>
          <w:bCs/>
        </w:rPr>
        <w:t>GW</w:t>
      </w:r>
      <w:r w:rsidR="0064173D">
        <w:rPr>
          <w:b/>
          <w:bCs/>
        </w:rPr>
        <w:t xml:space="preserve"> </w:t>
      </w:r>
      <w:r w:rsidR="0064173D" w:rsidRPr="0064173D">
        <w:t>w 2030 r.</w:t>
      </w:r>
      <w:r w:rsidR="0064173D">
        <w:rPr>
          <w:b/>
          <w:bCs/>
        </w:rPr>
        <w:t xml:space="preserve"> i 25,8 </w:t>
      </w:r>
      <w:r w:rsidR="0064173D" w:rsidRPr="0064173D">
        <w:t>w 2040 r.</w:t>
      </w:r>
      <w:r>
        <w:t xml:space="preserve">) i wiatrowe na morzu (ok. </w:t>
      </w:r>
      <w:r w:rsidRPr="00444575">
        <w:rPr>
          <w:b/>
          <w:bCs/>
        </w:rPr>
        <w:t>5,9 GW</w:t>
      </w:r>
      <w:r w:rsidR="0064173D">
        <w:rPr>
          <w:b/>
          <w:bCs/>
        </w:rPr>
        <w:t xml:space="preserve"> </w:t>
      </w:r>
      <w:r w:rsidR="0064173D" w:rsidRPr="0064173D">
        <w:t>w 2030 r.</w:t>
      </w:r>
      <w:r w:rsidR="0064173D">
        <w:rPr>
          <w:b/>
          <w:bCs/>
        </w:rPr>
        <w:t xml:space="preserve"> </w:t>
      </w:r>
      <w:r w:rsidR="0064173D">
        <w:t xml:space="preserve">i </w:t>
      </w:r>
      <w:r w:rsidR="0064173D" w:rsidRPr="0064173D">
        <w:rPr>
          <w:b/>
          <w:bCs/>
        </w:rPr>
        <w:t>17,9 GW</w:t>
      </w:r>
      <w:r w:rsidR="0064173D">
        <w:t xml:space="preserve"> w 2040 r.</w:t>
      </w:r>
      <w:r>
        <w:t>), które</w:t>
      </w:r>
      <w:r w:rsidR="006D2C23">
        <w:t> funkcjonować będą</w:t>
      </w:r>
      <w:r>
        <w:t xml:space="preserve"> w KSE </w:t>
      </w:r>
      <w:r w:rsidR="006D2C23">
        <w:t>od ok.</w:t>
      </w:r>
      <w:r>
        <w:t xml:space="preserve"> 2026 r.</w:t>
      </w:r>
      <w:bookmarkEnd w:id="44"/>
      <w:r>
        <w:t xml:space="preserve"> W dalszej kolejności zwiększenie przyrostu nastąpi dzięki elektrowniom na biomasę oraz na biogaz i</w:t>
      </w:r>
      <w:r w:rsidR="001F1F27">
        <w:t xml:space="preserve"> biometan oraz</w:t>
      </w:r>
      <w:r>
        <w:t xml:space="preserve"> hydroelektrowniom. Rosnąca rola redukcji śladu węglowego, popularyzacja rozporoszonej produkcji energii w instalacjach prosumenckich, w klastrach energii, </w:t>
      </w:r>
      <w:r w:rsidR="00DC4FBF">
        <w:t xml:space="preserve">społecznościach energetycznych, </w:t>
      </w:r>
      <w:r>
        <w:t>czy w pobliżu zakładów przemysłowych będzie powodować, że</w:t>
      </w:r>
      <w:r w:rsidR="00DC4FBF">
        <w:t> </w:t>
      </w:r>
      <w:r>
        <w:t>źródła te będą rozwijać się w</w:t>
      </w:r>
      <w:r w:rsidR="006D2C23">
        <w:t> </w:t>
      </w:r>
      <w:r>
        <w:t>dużej mierze niezależnie od pomocy publicznej.</w:t>
      </w:r>
      <w:r w:rsidR="007E3187">
        <w:t xml:space="preserve"> Rysunek</w:t>
      </w:r>
      <w:r w:rsidR="004F6992">
        <w:t xml:space="preserve"> poniżej </w:t>
      </w:r>
      <w:r w:rsidR="0008327E">
        <w:t>przedstawia</w:t>
      </w:r>
      <w:r w:rsidR="004F6992">
        <w:t xml:space="preserve"> trajektorię przyrostu </w:t>
      </w:r>
      <w:r w:rsidR="007E3187">
        <w:t xml:space="preserve">udziału </w:t>
      </w:r>
      <w:r w:rsidR="004F6992">
        <w:t>OZE w finalnym zużyciu energii brutto w</w:t>
      </w:r>
      <w:r w:rsidR="007E3187">
        <w:t> </w:t>
      </w:r>
      <w:r w:rsidR="0008327E">
        <w:t>elektroenergetyce</w:t>
      </w:r>
      <w:r w:rsidR="00D0254C">
        <w:t>, a zestawienie po prawej stronie prezentuje moc zainstalowaną oraz produkcję z poszczególnych rodzajów OZE</w:t>
      </w:r>
      <w:r w:rsidR="00103729">
        <w:t xml:space="preserve">. Warto podkreślić, że w perspektywie 2030 i 2040 r. </w:t>
      </w:r>
      <w:r w:rsidR="00EB2A06">
        <w:t xml:space="preserve">poziom moc zainstalowanej OZE uwzględnia to, że część instalacji </w:t>
      </w:r>
      <w:r w:rsidR="00103729">
        <w:t xml:space="preserve">OZE </w:t>
      </w:r>
      <w:r w:rsidR="00EB2A06">
        <w:t>ulegnie wyeksploatowaniu, a ich miejsce zajmą nowe</w:t>
      </w:r>
      <w:r w:rsidR="0008327E">
        <w:t>.</w:t>
      </w:r>
    </w:p>
    <w:p w14:paraId="6908BCAA" w14:textId="1EA7EE61" w:rsidR="00B348E1" w:rsidRDefault="00B348E1" w:rsidP="00CD32A0"/>
    <w:p w14:paraId="73122D72" w14:textId="77777777" w:rsidR="001555EB" w:rsidRDefault="001555EB" w:rsidP="00D5040C">
      <w:pPr>
        <w:pStyle w:val="tyturys"/>
      </w:pPr>
    </w:p>
    <w:p w14:paraId="0D1F40C9" w14:textId="77777777" w:rsidR="001555EB" w:rsidRDefault="001555EB" w:rsidP="00D5040C">
      <w:pPr>
        <w:pStyle w:val="tyturys"/>
      </w:pPr>
    </w:p>
    <w:p w14:paraId="78C48D93" w14:textId="77777777" w:rsidR="001555EB" w:rsidRDefault="001555EB" w:rsidP="00D5040C">
      <w:pPr>
        <w:pStyle w:val="tyturys"/>
      </w:pPr>
    </w:p>
    <w:p w14:paraId="371ED4C4" w14:textId="77777777" w:rsidR="001555EB" w:rsidRDefault="001555EB" w:rsidP="00D5040C">
      <w:pPr>
        <w:pStyle w:val="tyturys"/>
      </w:pPr>
    </w:p>
    <w:p w14:paraId="1729EE3F" w14:textId="77777777" w:rsidR="001555EB" w:rsidRDefault="001555EB" w:rsidP="00D5040C">
      <w:pPr>
        <w:pStyle w:val="tyturys"/>
      </w:pPr>
    </w:p>
    <w:p w14:paraId="03376A2E" w14:textId="77777777" w:rsidR="001555EB" w:rsidRDefault="001555EB" w:rsidP="00D5040C">
      <w:pPr>
        <w:pStyle w:val="tyturys"/>
      </w:pPr>
    </w:p>
    <w:p w14:paraId="13367F94" w14:textId="692BDE37" w:rsidR="0008327E" w:rsidRDefault="0008327E" w:rsidP="00D5040C">
      <w:pPr>
        <w:pStyle w:val="tyturys"/>
      </w:pPr>
      <w:r w:rsidRPr="0008327E">
        <w:lastRenderedPageBreak/>
        <w:t xml:space="preserve">Udział OZE </w:t>
      </w:r>
      <w:r w:rsidR="00C03379">
        <w:t xml:space="preserve">w </w:t>
      </w:r>
      <w:r w:rsidR="007E3187">
        <w:t xml:space="preserve">zużyciu energii </w:t>
      </w:r>
      <w:r w:rsidRPr="0008327E">
        <w:t>w elektroenergetyce</w:t>
      </w:r>
      <w:r>
        <w:t xml:space="preserve"> do 2030 r. </w:t>
      </w:r>
    </w:p>
    <w:p w14:paraId="707698FD" w14:textId="7272DE89" w:rsidR="00FC1A29" w:rsidRDefault="00FC1A29" w:rsidP="00D5040C">
      <w:pPr>
        <w:pStyle w:val="tyturys"/>
      </w:pPr>
      <w:r>
        <w:rPr>
          <w:noProof/>
        </w:rPr>
        <w:drawing>
          <wp:anchor distT="0" distB="0" distL="114300" distR="114300" simplePos="0" relativeHeight="251819008" behindDoc="0" locked="0" layoutInCell="1" allowOverlap="1" wp14:anchorId="3BD02F79" wp14:editId="3B5E681D">
            <wp:simplePos x="0" y="0"/>
            <wp:positionH relativeFrom="margin">
              <wp:align>right</wp:align>
            </wp:positionH>
            <wp:positionV relativeFrom="paragraph">
              <wp:posOffset>229235</wp:posOffset>
            </wp:positionV>
            <wp:extent cx="5760720" cy="2148840"/>
            <wp:effectExtent l="0" t="0" r="0" b="3810"/>
            <wp:wrapTight wrapText="bothSides">
              <wp:wrapPolygon edited="0">
                <wp:start x="0" y="0"/>
                <wp:lineTo x="0" y="21447"/>
                <wp:lineTo x="21500" y="21447"/>
                <wp:lineTo x="21500" y="0"/>
                <wp:lineTo x="0" y="0"/>
              </wp:wrapPolygon>
            </wp:wrapTight>
            <wp:docPr id="804349406" name="Wykres 1">
              <a:extLst xmlns:a="http://schemas.openxmlformats.org/drawingml/2006/main">
                <a:ext uri="{FF2B5EF4-FFF2-40B4-BE49-F238E27FC236}">
                  <a16:creationId xmlns:a16="http://schemas.microsoft.com/office/drawing/2014/main" id="{35CB75FE-959C-494D-8641-9B25FDFAEA5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14:sizeRelH relativeFrom="margin">
              <wp14:pctWidth>0</wp14:pctWidth>
            </wp14:sizeRelH>
            <wp14:sizeRelV relativeFrom="margin">
              <wp14:pctHeight>0</wp14:pctHeight>
            </wp14:sizeRelV>
          </wp:anchor>
        </w:drawing>
      </w:r>
    </w:p>
    <w:p w14:paraId="53C9CE53" w14:textId="77777777" w:rsidR="00080BA7" w:rsidRDefault="00080BA7" w:rsidP="00D5646D">
      <w:pPr>
        <w:pStyle w:val="Polityka"/>
        <w:spacing w:before="160"/>
      </w:pPr>
      <w:r w:rsidRPr="00C46DAA">
        <w:t>POLITYKA</w:t>
      </w:r>
    </w:p>
    <w:p w14:paraId="28B58D1E" w14:textId="55DE6387" w:rsidR="005F09C1" w:rsidRDefault="00B47E04" w:rsidP="00080BA7">
      <w:r>
        <w:t>W kolejnych latach sukcesywnie odstawiane będą bloki oparte o węgiel kamienny i brunatny. Tempo i kolejność odstawień zależn</w:t>
      </w:r>
      <w:r w:rsidR="001F1F27">
        <w:t>e</w:t>
      </w:r>
      <w:r>
        <w:t xml:space="preserve"> będ</w:t>
      </w:r>
      <w:r w:rsidR="001F1F27">
        <w:t>ą</w:t>
      </w:r>
      <w:r>
        <w:t xml:space="preserve"> zarówno od </w:t>
      </w:r>
      <w:r w:rsidR="005F09C1" w:rsidRPr="001F1F27">
        <w:rPr>
          <w:b/>
          <w:bCs/>
        </w:rPr>
        <w:t>wystarczalności mocy</w:t>
      </w:r>
      <w:r w:rsidR="005F09C1">
        <w:t xml:space="preserve"> </w:t>
      </w:r>
      <w:r w:rsidR="001F1F27">
        <w:t xml:space="preserve">w </w:t>
      </w:r>
      <w:r w:rsidR="005F09C1">
        <w:t xml:space="preserve">systemie </w:t>
      </w:r>
      <w:r w:rsidR="003036B9">
        <w:t>elektro</w:t>
      </w:r>
      <w:r w:rsidR="005F09C1">
        <w:t>energetycznym</w:t>
      </w:r>
      <w:r w:rsidR="001F1F27">
        <w:t xml:space="preserve"> </w:t>
      </w:r>
      <w:r w:rsidR="00190C0F">
        <w:t>jak i</w:t>
      </w:r>
      <w:r w:rsidR="00474177">
        <w:t xml:space="preserve"> </w:t>
      </w:r>
      <w:r w:rsidR="001F1F27">
        <w:t>zapewnienia stabilnych dostaw energii elektrycznej do obiorców końcowych</w:t>
      </w:r>
      <w:r w:rsidR="005F09C1">
        <w:t>. Uwzględniana powinna być użytecznoś</w:t>
      </w:r>
      <w:r w:rsidR="003036B9">
        <w:t>ć</w:t>
      </w:r>
      <w:r w:rsidR="005F09C1">
        <w:t xml:space="preserve"> poszczególnych elektrowni w danej lokalizacji (pod kątem bilansowania), jak również ich stan techniczny i spełnianie norm emisyjności.</w:t>
      </w:r>
      <w:r w:rsidR="00F24EAA">
        <w:t xml:space="preserve"> </w:t>
      </w:r>
    </w:p>
    <w:p w14:paraId="0DD0D2E5" w14:textId="5C75B4FF" w:rsidR="00B47E04" w:rsidRDefault="00AF4DD4" w:rsidP="00080BA7">
      <w:r w:rsidRPr="00AF4DD4">
        <w:rPr>
          <w:b/>
          <w:bCs/>
        </w:rPr>
        <w:t>W przejściowym okresie</w:t>
      </w:r>
      <w:r>
        <w:t xml:space="preserve"> emisyjność sektora elektroenergetycznego będzie </w:t>
      </w:r>
      <w:r w:rsidR="003036B9">
        <w:t xml:space="preserve">również </w:t>
      </w:r>
      <w:r>
        <w:t xml:space="preserve">obniżana przez częściowe zastępowanie jednostek węglowych przez </w:t>
      </w:r>
      <w:r w:rsidRPr="00AF4DD4">
        <w:rPr>
          <w:b/>
          <w:bCs/>
        </w:rPr>
        <w:t>jednostki gazowe</w:t>
      </w:r>
      <w:r>
        <w:t>, cechujące się niższą emisyjnością. Przewiduje się, że szczyt ich wykorzystania nastąpi ok. 2030 r., a następnie będzie spadać na skutek przyrostu mocy zeroemisyjnych. Szczególn</w:t>
      </w:r>
      <w:r w:rsidR="00423AAF">
        <w:t>e</w:t>
      </w:r>
      <w:r>
        <w:t xml:space="preserve"> znaczenie w zastępowaniu jednostek gazowych </w:t>
      </w:r>
      <w:r w:rsidR="007068DC">
        <w:t>na potrzeby</w:t>
      </w:r>
      <w:r>
        <w:t xml:space="preserve"> zapewniania wystarczalności mocy będzie mieć </w:t>
      </w:r>
      <w:r w:rsidR="00B62763" w:rsidRPr="00AF4DD4">
        <w:rPr>
          <w:b/>
          <w:bCs/>
        </w:rPr>
        <w:t xml:space="preserve">energetyka jądrowa </w:t>
      </w:r>
      <w:r w:rsidR="00B62763" w:rsidRPr="00B62763">
        <w:t>–</w:t>
      </w:r>
      <w:r w:rsidR="00B62763">
        <w:rPr>
          <w:b/>
          <w:bCs/>
        </w:rPr>
        <w:t xml:space="preserve"> </w:t>
      </w:r>
      <w:r w:rsidR="00B62763">
        <w:t xml:space="preserve">przewidziana </w:t>
      </w:r>
      <w:r w:rsidRPr="00AF4DD4">
        <w:rPr>
          <w:b/>
          <w:bCs/>
        </w:rPr>
        <w:t xml:space="preserve">do wdrożenia </w:t>
      </w:r>
      <w:r w:rsidR="00B62763">
        <w:rPr>
          <w:b/>
          <w:bCs/>
        </w:rPr>
        <w:t>w okresie 2030–2035</w:t>
      </w:r>
      <w:r>
        <w:t xml:space="preserve">. </w:t>
      </w:r>
    </w:p>
    <w:p w14:paraId="759DE4B6" w14:textId="559A2E80" w:rsidR="00AF4DD4" w:rsidRDefault="00AF4DD4" w:rsidP="00080BA7">
      <w:r>
        <w:t xml:space="preserve">W 2030 r. za około połowę produkcji energii elektrycznej odpowiadać będą </w:t>
      </w:r>
      <w:r w:rsidRPr="00385BC9">
        <w:rPr>
          <w:b/>
          <w:bCs/>
        </w:rPr>
        <w:t>odnawialne źródła energii</w:t>
      </w:r>
      <w:r w:rsidR="00343262">
        <w:t>, a</w:t>
      </w:r>
      <w:r w:rsidR="000748F8">
        <w:t> </w:t>
      </w:r>
      <w:r w:rsidR="00343262">
        <w:t>w 2040 r. już za blisko 70%</w:t>
      </w:r>
      <w:r>
        <w:t xml:space="preserve">. </w:t>
      </w:r>
      <w:r w:rsidR="00CD32A0">
        <w:t>Oczekuje się, że s</w:t>
      </w:r>
      <w:r w:rsidR="00385BC9">
        <w:t xml:space="preserve">zczególną rolę </w:t>
      </w:r>
      <w:r w:rsidR="00343262">
        <w:t xml:space="preserve">spośród OZE </w:t>
      </w:r>
      <w:r w:rsidR="00385BC9">
        <w:t>będą mieć elektrownie wiatrowe na lądzie, fotowoltaika i morskie elektrownie wiatrowe</w:t>
      </w:r>
      <w:r w:rsidR="00DC4FBF">
        <w:t>, jak również instalacje wykorzystujące biogaz i biomasę</w:t>
      </w:r>
      <w:r w:rsidR="00343262">
        <w:t>, choć w mniejszym stopniu</w:t>
      </w:r>
      <w:r w:rsidR="001F1F27">
        <w:t>.</w:t>
      </w:r>
      <w:r w:rsidR="00385BC9">
        <w:t xml:space="preserve"> </w:t>
      </w:r>
      <w:r>
        <w:t>W</w:t>
      </w:r>
      <w:r w:rsidR="001F1F27">
        <w:t xml:space="preserve"> </w:t>
      </w:r>
      <w:r>
        <w:t>ujęciu długookresowym OZE i energetyka jądrowa będą stanowić główne narzędzia redukcji emisji w tym podsektorze</w:t>
      </w:r>
      <w:r w:rsidR="002E13F1">
        <w:t>, gdyż</w:t>
      </w:r>
      <w:r w:rsidR="00343262">
        <w:t xml:space="preserve"> w 2040 r. mogą odpowiadać za łączną produkcję </w:t>
      </w:r>
      <w:r w:rsidR="002E13F1">
        <w:t>84% energii elektrycznej w kraju</w:t>
      </w:r>
      <w:r>
        <w:t xml:space="preserve">. </w:t>
      </w:r>
    </w:p>
    <w:p w14:paraId="28E27783" w14:textId="77777777" w:rsidR="001E6751" w:rsidRDefault="00CD32A0" w:rsidP="005457D4">
      <w:pPr>
        <w:spacing w:before="120" w:after="120" w:line="276" w:lineRule="auto"/>
      </w:pPr>
      <w:r>
        <w:t>W kolejnych latach utrzymane zostaną dotychczasowe systemy bezpośredniego w</w:t>
      </w:r>
      <w:r w:rsidRPr="00103729">
        <w:rPr>
          <w:b/>
          <w:bCs/>
        </w:rPr>
        <w:t>sparcia rozwoju OZE w elektroenergetyce</w:t>
      </w:r>
      <w:r w:rsidR="00DA333E">
        <w:t xml:space="preserve"> (świadectwa pochodzenia – zielone certyfikaty, aukcyjny system OZE, taryfy gwarantowane</w:t>
      </w:r>
      <w:r w:rsidR="00103729">
        <w:t>)</w:t>
      </w:r>
      <w:r w:rsidR="00703451">
        <w:t xml:space="preserve">. </w:t>
      </w:r>
      <w:r w:rsidR="005255BE">
        <w:t>Od połowy 2025 r. p</w:t>
      </w:r>
      <w:r w:rsidR="00703451">
        <w:t xml:space="preserve">lanuje się również </w:t>
      </w:r>
      <w:r w:rsidR="005255BE">
        <w:t xml:space="preserve">uruchomienie dodatkowego </w:t>
      </w:r>
      <w:r w:rsidR="00703451">
        <w:t xml:space="preserve">wsparcia </w:t>
      </w:r>
      <w:r w:rsidR="005255BE">
        <w:t>operacyjnego dla istniejących elektrowni wodnych</w:t>
      </w:r>
      <w:r w:rsidR="008B2371">
        <w:t>,</w:t>
      </w:r>
      <w:r w:rsidR="005255BE">
        <w:t xml:space="preserve"> biomasowych i wykorzystujących odpady</w:t>
      </w:r>
      <w:r w:rsidR="00DE0CED">
        <w:t>, dla których dotychczasowe wsparcie zostało zakończon</w:t>
      </w:r>
      <w:r w:rsidR="00660495">
        <w:t>e – ich użyteczność dla systemu jest duża, ale koszty wciąż przewyższają przychody</w:t>
      </w:r>
      <w:r w:rsidR="005255BE">
        <w:t>.</w:t>
      </w:r>
      <w:r w:rsidR="001F1F27">
        <w:t xml:space="preserve"> </w:t>
      </w:r>
      <w:r w:rsidR="005255BE">
        <w:t>J</w:t>
      </w:r>
      <w:r w:rsidR="001F1F27">
        <w:t xml:space="preserve">ednocześnie zakładany jest </w:t>
      </w:r>
      <w:r w:rsidR="006934E2">
        <w:rPr>
          <w:rStyle w:val="ui-provider"/>
        </w:rPr>
        <w:t xml:space="preserve">znaczący </w:t>
      </w:r>
      <w:r w:rsidR="001F1F27">
        <w:rPr>
          <w:rStyle w:val="ui-provider"/>
        </w:rPr>
        <w:t>wzrost liczby instalacji budowanych poza systemami wsparcia, w</w:t>
      </w:r>
      <w:r w:rsidR="005255BE">
        <w:rPr>
          <w:rStyle w:val="ui-provider"/>
        </w:rPr>
        <w:t> </w:t>
      </w:r>
      <w:r w:rsidR="001F1F27">
        <w:rPr>
          <w:rStyle w:val="ui-provider"/>
        </w:rPr>
        <w:t xml:space="preserve">tym przyłączanych bezpośrednio </w:t>
      </w:r>
      <w:r w:rsidR="001F1F27">
        <w:t xml:space="preserve">do odbiorcy. </w:t>
      </w:r>
      <w:r w:rsidR="00103729">
        <w:t>W</w:t>
      </w:r>
      <w:r w:rsidR="001E6751">
        <w:t xml:space="preserve"> celu rozwoju poszczególnych technologii OZE obok rozwiązań wskazanych powyżej:</w:t>
      </w:r>
    </w:p>
    <w:p w14:paraId="52F184F5" w14:textId="77777777" w:rsidR="00B34B5F" w:rsidRDefault="00B34B5F" w:rsidP="00612B5D">
      <w:pPr>
        <w:pStyle w:val="Akapitzlist"/>
        <w:numPr>
          <w:ilvl w:val="0"/>
          <w:numId w:val="62"/>
        </w:numPr>
        <w:spacing w:before="120" w:after="120" w:line="276" w:lineRule="auto"/>
      </w:pPr>
      <w:r w:rsidRPr="005C608A">
        <w:t xml:space="preserve">wdrożony zostanie pakiet rozwiązań skutkujących dalszym efektywnym i zrównoważonym rozwojem </w:t>
      </w:r>
      <w:r w:rsidRPr="00B34B5F">
        <w:rPr>
          <w:b/>
          <w:bCs/>
        </w:rPr>
        <w:t>morskiej energetyki wiatrowej</w:t>
      </w:r>
      <w:r w:rsidRPr="005C608A">
        <w:t xml:space="preserve"> (dostosowanie ram prawnych do zmieniających się realiów rynkowych, usprawnienie procedur, w tym w zakresie kształcenia kadr czy krajowego łańcucha dostaw materiałów i usług);</w:t>
      </w:r>
    </w:p>
    <w:p w14:paraId="59AE58A1" w14:textId="2C584F93" w:rsidR="00B34B5F" w:rsidRDefault="00B34B5F" w:rsidP="00612B5D">
      <w:pPr>
        <w:pStyle w:val="Akapitzlist"/>
        <w:numPr>
          <w:ilvl w:val="0"/>
          <w:numId w:val="62"/>
        </w:numPr>
        <w:spacing w:before="120" w:after="120" w:line="276" w:lineRule="auto"/>
      </w:pPr>
      <w:r>
        <w:lastRenderedPageBreak/>
        <w:t xml:space="preserve">wykorzystanie potencjału rozwoju energetyki wiatrowej na lądzie zostanie wzmocnione przez modyfikację zasad lokowania </w:t>
      </w:r>
      <w:r w:rsidRPr="005C608A">
        <w:rPr>
          <w:b/>
          <w:bCs/>
        </w:rPr>
        <w:t>turbin wiatrowych na lądzie</w:t>
      </w:r>
      <w:r w:rsidRPr="006D7CAC">
        <w:t>;</w:t>
      </w:r>
      <w:r>
        <w:t xml:space="preserve"> </w:t>
      </w:r>
    </w:p>
    <w:p w14:paraId="108B0FB4" w14:textId="77777777" w:rsidR="00B34B5F" w:rsidRPr="003E0650" w:rsidRDefault="00B34B5F" w:rsidP="00612B5D">
      <w:pPr>
        <w:pStyle w:val="Akapitzlist"/>
        <w:numPr>
          <w:ilvl w:val="0"/>
          <w:numId w:val="62"/>
        </w:numPr>
      </w:pPr>
      <w:r w:rsidRPr="003E0650">
        <w:t xml:space="preserve">wdrożony zostanie pakiet rozwiązań wspierających rozwój wykorzystania </w:t>
      </w:r>
      <w:r w:rsidRPr="00B96BF4">
        <w:rPr>
          <w:b/>
          <w:bCs/>
        </w:rPr>
        <w:t xml:space="preserve">biometanu </w:t>
      </w:r>
      <w:r w:rsidRPr="003E0650">
        <w:t>(dodatkowy system wsparcia finansowego dla instalacji powyżej 1 MW, gazociąg bezpośredni dla biogazu, poprawa warunków współpracy z operatorami systemu przesyłowego elektroenergetycznego i gazowego);</w:t>
      </w:r>
    </w:p>
    <w:p w14:paraId="7F0FE0E8" w14:textId="091932F6" w:rsidR="006D7CAC" w:rsidRDefault="00B34B5F" w:rsidP="00612B5D">
      <w:pPr>
        <w:pStyle w:val="Akapitzlist"/>
        <w:numPr>
          <w:ilvl w:val="0"/>
          <w:numId w:val="62"/>
        </w:numPr>
        <w:spacing w:before="120" w:after="120" w:line="276" w:lineRule="auto"/>
      </w:pPr>
      <w:r>
        <w:t xml:space="preserve">wdrażanie obowiązków stosowania </w:t>
      </w:r>
      <w:r w:rsidRPr="006D7CAC">
        <w:rPr>
          <w:b/>
          <w:bCs/>
        </w:rPr>
        <w:t>instalacji fotowoltaicznych na budynkach</w:t>
      </w:r>
      <w:r>
        <w:t>, sukcesywnie dla poszczególnych typów budynków nowych i istniejących</w:t>
      </w:r>
      <w:r>
        <w:rPr>
          <w:rStyle w:val="Odwoanieprzypisudolnego"/>
        </w:rPr>
        <w:footnoteReference w:id="18"/>
      </w:r>
      <w:r>
        <w:t>.</w:t>
      </w:r>
    </w:p>
    <w:p w14:paraId="0E166B5E" w14:textId="77777777" w:rsidR="0030550B" w:rsidRDefault="006934E2" w:rsidP="001E6751">
      <w:pPr>
        <w:spacing w:before="120" w:after="120" w:line="276" w:lineRule="auto"/>
      </w:pPr>
      <w:r>
        <w:rPr>
          <w:rStyle w:val="ui-provider"/>
        </w:rPr>
        <w:t xml:space="preserve">Dodatkowo, podobnie jak w innych państwach UE, zakłada się wzrost udziału instalacji OZE, których finansowanie zapewnią umowy </w:t>
      </w:r>
      <w:r>
        <w:t>na dostawy energii elektrycznej między dwiema stronami</w:t>
      </w:r>
      <w:r>
        <w:rPr>
          <w:rStyle w:val="ui-provider"/>
        </w:rPr>
        <w:t xml:space="preserve"> tzw. umowy typu PPA (ang. </w:t>
      </w:r>
      <w:r w:rsidRPr="006934E2">
        <w:rPr>
          <w:rStyle w:val="ui-provider"/>
          <w:i/>
          <w:iCs/>
        </w:rPr>
        <w:t>power purchas</w:t>
      </w:r>
      <w:r>
        <w:rPr>
          <w:rStyle w:val="ui-provider"/>
          <w:i/>
          <w:iCs/>
        </w:rPr>
        <w:t>e</w:t>
      </w:r>
      <w:r w:rsidRPr="006934E2">
        <w:rPr>
          <w:rStyle w:val="ui-provider"/>
          <w:i/>
          <w:iCs/>
        </w:rPr>
        <w:t xml:space="preserve"> agreement</w:t>
      </w:r>
      <w:r>
        <w:rPr>
          <w:rStyle w:val="ui-provider"/>
        </w:rPr>
        <w:t>).</w:t>
      </w:r>
      <w:r>
        <w:t xml:space="preserve"> </w:t>
      </w:r>
    </w:p>
    <w:p w14:paraId="0304973F" w14:textId="79D5D757" w:rsidR="0030550B" w:rsidRDefault="0030550B" w:rsidP="0030550B">
      <w:pPr>
        <w:spacing w:before="120" w:after="120" w:line="276" w:lineRule="auto"/>
      </w:pPr>
      <w:r>
        <w:t xml:space="preserve">Działania mające na celu dalszy rozwój OZE będą skupione także wokół </w:t>
      </w:r>
      <w:r w:rsidRPr="0030550B">
        <w:rPr>
          <w:b/>
          <w:bCs/>
        </w:rPr>
        <w:t>wsparcia informacyjnego</w:t>
      </w:r>
      <w:r w:rsidR="00755335" w:rsidRPr="00755335">
        <w:t>,</w:t>
      </w:r>
      <w:r w:rsidR="00755335">
        <w:t xml:space="preserve"> czemu służyć </w:t>
      </w:r>
      <w:r w:rsidR="00D45013">
        <w:t xml:space="preserve">będzie w szczególności </w:t>
      </w:r>
      <w:r>
        <w:t>Krajowy Punkt Kontaktowy ds. OZE</w:t>
      </w:r>
      <w:r w:rsidR="00755335">
        <w:t xml:space="preserve"> (KPK OZE).</w:t>
      </w:r>
      <w:r>
        <w:t xml:space="preserve"> </w:t>
      </w:r>
      <w:r w:rsidR="00D45013">
        <w:t xml:space="preserve">Będzie to </w:t>
      </w:r>
      <w:r>
        <w:t xml:space="preserve">narzędzie informacyjne dla inwestorów i wszystkich osób zainteresowanych inwestycjami w OZE. Wśród planowanych rozwiązań </w:t>
      </w:r>
      <w:r w:rsidR="00755335">
        <w:t xml:space="preserve">systemowych </w:t>
      </w:r>
      <w:r w:rsidR="00D45013">
        <w:t xml:space="preserve">dotyczących </w:t>
      </w:r>
      <w:r w:rsidR="00D45013" w:rsidRPr="0030550B">
        <w:rPr>
          <w:b/>
          <w:bCs/>
        </w:rPr>
        <w:t>wdrażania innowacyjnych rozwiązań służących przyspieszaniu inwestycji w energetyce odnawialnej</w:t>
      </w:r>
      <w:r w:rsidR="00D45013">
        <w:t xml:space="preserve"> </w:t>
      </w:r>
      <w:r>
        <w:t xml:space="preserve">wyróżnić należy przeprowadzenie mapowania potencjału OZE (zgodnie z art. 15b dyrektywy RED III), a także </w:t>
      </w:r>
      <w:r w:rsidRPr="00B868A7">
        <w:rPr>
          <w:b/>
          <w:bCs/>
        </w:rPr>
        <w:t>w</w:t>
      </w:r>
      <w:r w:rsidRPr="0030550B">
        <w:rPr>
          <w:b/>
          <w:bCs/>
        </w:rPr>
        <w:t>drożenie obszarów przyspieszonego rozwoju energii ze źródeł odnawialnych</w:t>
      </w:r>
      <w:r w:rsidRPr="00DB7E12">
        <w:t>. Obszary te mają zostać wyznaczone na powierzchniach i terenach niebudzących wątpliwości z punktu widzenia ochrony środowiska, dzięki czemu czas wydawani</w:t>
      </w:r>
      <w:r>
        <w:t>e</w:t>
      </w:r>
      <w:r w:rsidRPr="00DB7E12">
        <w:t xml:space="preserve"> zezwoleń potrzebnych do rozpoczęcia inwestycji ma zostać znacząco skrócony (nie może przekroczyć 12 miesięcy, z wyjątkiem morskich elektrowni wiatrowych</w:t>
      </w:r>
      <w:r>
        <w:t>, w przypadku których mają być to 24 miesiące</w:t>
      </w:r>
      <w:r w:rsidRPr="00DB7E12">
        <w:t>).</w:t>
      </w:r>
    </w:p>
    <w:p w14:paraId="1AC09F8D" w14:textId="77777777" w:rsidR="0030550B" w:rsidRPr="00D45013" w:rsidRDefault="0030550B" w:rsidP="00D45013">
      <w:pPr>
        <w:pStyle w:val="Bezodstpw"/>
      </w:pPr>
    </w:p>
    <w:p w14:paraId="58FF2107" w14:textId="2AAD89AF" w:rsidR="00586D95" w:rsidRDefault="00CD32A0" w:rsidP="001E6751">
      <w:pPr>
        <w:spacing w:before="120" w:after="120" w:line="276" w:lineRule="auto"/>
      </w:pPr>
      <w:r>
        <w:t>Rozwój OZE jest zależny nie tylko od</w:t>
      </w:r>
      <w:r w:rsidR="003036B9">
        <w:t> </w:t>
      </w:r>
      <w:r>
        <w:t>inwestycji w nowe moce</w:t>
      </w:r>
      <w:r w:rsidR="006934E2">
        <w:t xml:space="preserve"> wytwórcze</w:t>
      </w:r>
      <w:r>
        <w:t>, ale w coraz większym stopniu od działań pośrednich</w:t>
      </w:r>
      <w:r w:rsidR="006D2C23">
        <w:t>, umożliwiających funkcjo</w:t>
      </w:r>
      <w:r w:rsidR="0021070C">
        <w:t>nowanie</w:t>
      </w:r>
      <w:r w:rsidR="006D2C23">
        <w:t xml:space="preserve"> OZE w</w:t>
      </w:r>
      <w:r w:rsidR="001E6751">
        <w:t> </w:t>
      </w:r>
      <w:r w:rsidR="006D2C23">
        <w:t>KSE</w:t>
      </w:r>
      <w:r>
        <w:t xml:space="preserve">. </w:t>
      </w:r>
      <w:r w:rsidR="005A74D5">
        <w:t>W</w:t>
      </w:r>
      <w:r w:rsidR="006934E2">
        <w:t>sparci</w:t>
      </w:r>
      <w:r w:rsidR="005A74D5">
        <w:t>e</w:t>
      </w:r>
      <w:r w:rsidR="006934E2">
        <w:t xml:space="preserve"> będzie</w:t>
      </w:r>
      <w:r w:rsidR="005A74D5">
        <w:t xml:space="preserve"> intensywniej adresowane dla</w:t>
      </w:r>
      <w:r w:rsidR="006934E2">
        <w:t xml:space="preserve"> technologii </w:t>
      </w:r>
      <w:r w:rsidR="006934E2" w:rsidRPr="00824620">
        <w:rPr>
          <w:b/>
          <w:bCs/>
        </w:rPr>
        <w:t>zapewniani</w:t>
      </w:r>
      <w:r w:rsidR="006934E2">
        <w:rPr>
          <w:b/>
          <w:bCs/>
        </w:rPr>
        <w:t>ających</w:t>
      </w:r>
      <w:r w:rsidR="006934E2">
        <w:t xml:space="preserve"> </w:t>
      </w:r>
      <w:r w:rsidR="00DD62B7" w:rsidRPr="00DD62B7">
        <w:rPr>
          <w:b/>
          <w:bCs/>
        </w:rPr>
        <w:t>integrację i</w:t>
      </w:r>
      <w:r w:rsidR="001E6751">
        <w:t> </w:t>
      </w:r>
      <w:r w:rsidR="006934E2" w:rsidRPr="00824620">
        <w:rPr>
          <w:b/>
          <w:bCs/>
        </w:rPr>
        <w:t>bezpieczn</w:t>
      </w:r>
      <w:r w:rsidR="006934E2">
        <w:rPr>
          <w:b/>
          <w:bCs/>
        </w:rPr>
        <w:t>y</w:t>
      </w:r>
      <w:r w:rsidR="006934E2" w:rsidRPr="00824620">
        <w:rPr>
          <w:b/>
          <w:bCs/>
        </w:rPr>
        <w:t xml:space="preserve"> przyrost</w:t>
      </w:r>
      <w:r w:rsidR="006934E2">
        <w:t xml:space="preserve"> najtańszych OZ</w:t>
      </w:r>
      <w:r w:rsidR="00DD62B7">
        <w:t>E (</w:t>
      </w:r>
      <w:r w:rsidR="005A74D5">
        <w:t xml:space="preserve">tj. innych niż te, które </w:t>
      </w:r>
      <w:r w:rsidR="00DD62B7">
        <w:t>osiągają dojrzałość ekonomiczną)</w:t>
      </w:r>
      <w:r w:rsidR="006934E2">
        <w:t xml:space="preserve">. </w:t>
      </w:r>
      <w:r>
        <w:t>Priorytetem jest wsparcie modernizacji i rozbudowy sieci dystrybucyjnych i przesyłowych</w:t>
      </w:r>
      <w:r w:rsidR="003036B9">
        <w:t xml:space="preserve"> (</w:t>
      </w:r>
      <w:r>
        <w:t>w tym inteligentnych rozwiązań</w:t>
      </w:r>
      <w:r w:rsidR="003036B9">
        <w:t>)</w:t>
      </w:r>
      <w:r w:rsidR="00F24EAA">
        <w:t>,</w:t>
      </w:r>
      <w:r>
        <w:t xml:space="preserve"> różnych sposobów magazynowania energii, mechanizmów zarządzania popytem oraz zapewnienie wystarczalności mocy i elastyczności systemu</w:t>
      </w:r>
      <w:r w:rsidR="006D2C23">
        <w:t>, m.in.</w:t>
      </w:r>
      <w:r>
        <w:t xml:space="preserve"> poprzez rozwój dyspozycyjnych elektrowni opartych o gazy </w:t>
      </w:r>
      <w:r w:rsidR="007068DC">
        <w:t xml:space="preserve">zdekarbonizowane (odnawialne i niskoemisyjne) </w:t>
      </w:r>
      <w:r>
        <w:t xml:space="preserve"> tj. wodór, biogaz, biometan, amoniak. </w:t>
      </w:r>
      <w:r w:rsidR="00741069" w:rsidRPr="00F47689">
        <w:t>Ze względu na niedostateczn</w:t>
      </w:r>
      <w:r w:rsidR="006D2C23">
        <w:t>y</w:t>
      </w:r>
      <w:r w:rsidR="00741069" w:rsidRPr="00F47689">
        <w:t xml:space="preserve"> rozw</w:t>
      </w:r>
      <w:r w:rsidR="006D2C23">
        <w:t>ój</w:t>
      </w:r>
      <w:r w:rsidR="00741069">
        <w:t xml:space="preserve"> tych rozwiązań,</w:t>
      </w:r>
      <w:r w:rsidR="00741069" w:rsidRPr="006934E2">
        <w:rPr>
          <w:b/>
          <w:bCs/>
        </w:rPr>
        <w:t xml:space="preserve"> </w:t>
      </w:r>
      <w:r w:rsidR="00741069">
        <w:rPr>
          <w:b/>
          <w:bCs/>
        </w:rPr>
        <w:t>w</w:t>
      </w:r>
      <w:r w:rsidRPr="006934E2">
        <w:rPr>
          <w:b/>
          <w:bCs/>
        </w:rPr>
        <w:t xml:space="preserve"> przejściowym okresie transformacji </w:t>
      </w:r>
      <w:r>
        <w:t>ważną rolę w</w:t>
      </w:r>
      <w:r w:rsidR="00660495">
        <w:t> </w:t>
      </w:r>
      <w:r>
        <w:t xml:space="preserve">uzupełnianiu bilansu elektroenergetycznego będą mieć </w:t>
      </w:r>
      <w:r w:rsidR="00741069">
        <w:t>j</w:t>
      </w:r>
      <w:r>
        <w:t>ednostki oparte o</w:t>
      </w:r>
      <w:r w:rsidR="00867D4A">
        <w:t> </w:t>
      </w:r>
      <w:r>
        <w:t>gaz ziemny i </w:t>
      </w:r>
      <w:r w:rsidR="006934E2">
        <w:t>–</w:t>
      </w:r>
      <w:r w:rsidR="003036B9">
        <w:t xml:space="preserve"> </w:t>
      </w:r>
      <w:r>
        <w:t>w coraz mniejszym stopniu</w:t>
      </w:r>
      <w:r w:rsidR="003036B9">
        <w:t xml:space="preserve"> </w:t>
      </w:r>
      <w:r w:rsidR="006934E2">
        <w:t>–</w:t>
      </w:r>
      <w:r>
        <w:t xml:space="preserve"> elektrownie węglowe.</w:t>
      </w:r>
      <w:r w:rsidR="00741069">
        <w:t xml:space="preserve"> </w:t>
      </w:r>
    </w:p>
    <w:p w14:paraId="7C562471" w14:textId="6C1E3948" w:rsidR="006D7CAC" w:rsidRPr="001E6751" w:rsidRDefault="00586D95" w:rsidP="001E6751">
      <w:pPr>
        <w:spacing w:before="120" w:after="120" w:line="276" w:lineRule="auto"/>
        <w:rPr>
          <w:szCs w:val="20"/>
        </w:rPr>
      </w:pPr>
      <w:r w:rsidRPr="00A546C1">
        <w:rPr>
          <w:szCs w:val="20"/>
        </w:rPr>
        <w:t>W celu przeprowadzenia głębokiej dekarbonizacji wdrażana będzie również technologia wychwyt</w:t>
      </w:r>
      <w:r>
        <w:rPr>
          <w:szCs w:val="20"/>
        </w:rPr>
        <w:t>u</w:t>
      </w:r>
      <w:r w:rsidRPr="00A546C1">
        <w:rPr>
          <w:szCs w:val="20"/>
        </w:rPr>
        <w:t>, składowani</w:t>
      </w:r>
      <w:r>
        <w:rPr>
          <w:szCs w:val="20"/>
        </w:rPr>
        <w:t>a</w:t>
      </w:r>
      <w:r w:rsidRPr="00A546C1">
        <w:rPr>
          <w:szCs w:val="20"/>
        </w:rPr>
        <w:t xml:space="preserve"> CO</w:t>
      </w:r>
      <w:r w:rsidRPr="003C02F1">
        <w:rPr>
          <w:szCs w:val="20"/>
          <w:vertAlign w:val="subscript"/>
        </w:rPr>
        <w:t>2</w:t>
      </w:r>
      <w:r>
        <w:rPr>
          <w:szCs w:val="20"/>
        </w:rPr>
        <w:t xml:space="preserve"> – CCS</w:t>
      </w:r>
      <w:r w:rsidRPr="00A546C1">
        <w:rPr>
          <w:szCs w:val="20"/>
        </w:rPr>
        <w:t xml:space="preserve"> oraz wychwyt</w:t>
      </w:r>
      <w:r>
        <w:rPr>
          <w:szCs w:val="20"/>
        </w:rPr>
        <w:t>u</w:t>
      </w:r>
      <w:r w:rsidRPr="00A546C1">
        <w:rPr>
          <w:szCs w:val="20"/>
        </w:rPr>
        <w:t xml:space="preserve"> i wykorzystani</w:t>
      </w:r>
      <w:r>
        <w:rPr>
          <w:szCs w:val="20"/>
        </w:rPr>
        <w:t>a</w:t>
      </w:r>
      <w:r w:rsidRPr="00A546C1">
        <w:rPr>
          <w:szCs w:val="20"/>
        </w:rPr>
        <w:t xml:space="preserve"> CO</w:t>
      </w:r>
      <w:r w:rsidRPr="00A546C1">
        <w:rPr>
          <w:szCs w:val="20"/>
          <w:vertAlign w:val="subscript"/>
        </w:rPr>
        <w:t>2</w:t>
      </w:r>
      <w:r>
        <w:rPr>
          <w:szCs w:val="20"/>
        </w:rPr>
        <w:t xml:space="preserve"> – CCU</w:t>
      </w:r>
      <w:r w:rsidRPr="00A546C1">
        <w:rPr>
          <w:szCs w:val="20"/>
        </w:rPr>
        <w:t>. Zastosowanie tych technologii będzie nakierowane na wychwytywanie CO</w:t>
      </w:r>
      <w:r w:rsidRPr="00A546C1">
        <w:rPr>
          <w:szCs w:val="20"/>
          <w:vertAlign w:val="subscript"/>
        </w:rPr>
        <w:t>2</w:t>
      </w:r>
      <w:r w:rsidRPr="00A546C1">
        <w:rPr>
          <w:szCs w:val="20"/>
        </w:rPr>
        <w:t xml:space="preserve"> z innych źródeł niż paliwa kopalne (bio-CCS). W wypadku opłacalności i bezpieczeństwa systemu zasadne może być zastosowanie CCS w nowych jednostkach gazowych</w:t>
      </w:r>
      <w:r w:rsidR="000748F8">
        <w:rPr>
          <w:rStyle w:val="Odwoanieprzypisudolnego"/>
          <w:szCs w:val="20"/>
        </w:rPr>
        <w:footnoteReference w:id="19"/>
      </w:r>
      <w:r w:rsidR="005457D4">
        <w:rPr>
          <w:szCs w:val="20"/>
        </w:rPr>
        <w:t>.</w:t>
      </w:r>
    </w:p>
    <w:p w14:paraId="2A013F65" w14:textId="143BC01B" w:rsidR="00080BA7" w:rsidRPr="00C46DAA" w:rsidRDefault="00080BA7" w:rsidP="00F6387B">
      <w:pPr>
        <w:pStyle w:val="Polityka"/>
      </w:pPr>
      <w:r w:rsidRPr="00C46DAA">
        <w:t>DZIAŁANIA</w:t>
      </w:r>
    </w:p>
    <w:p w14:paraId="39C05F30" w14:textId="28385629" w:rsidR="000C5A30" w:rsidRDefault="009E640D" w:rsidP="001D4BA5">
      <w:pPr>
        <w:pStyle w:val="Akapitzlist"/>
        <w:numPr>
          <w:ilvl w:val="0"/>
          <w:numId w:val="23"/>
        </w:numPr>
        <w:rPr>
          <w:szCs w:val="20"/>
        </w:rPr>
      </w:pPr>
      <w:r>
        <w:rPr>
          <w:szCs w:val="20"/>
        </w:rPr>
        <w:fldChar w:fldCharType="begin"/>
      </w:r>
      <w:r>
        <w:rPr>
          <w:szCs w:val="20"/>
        </w:rPr>
        <w:instrText xml:space="preserve"> REF _Ref157417713 \h </w:instrText>
      </w:r>
      <w:r>
        <w:rPr>
          <w:szCs w:val="20"/>
        </w:rPr>
      </w:r>
      <w:r>
        <w:rPr>
          <w:szCs w:val="20"/>
        </w:rPr>
        <w:fldChar w:fldCharType="separate"/>
      </w:r>
      <w:r w:rsidR="00DD3929" w:rsidRPr="00F12C9E">
        <w:t xml:space="preserve">Działanie </w:t>
      </w:r>
      <w:r w:rsidR="00DD3929">
        <w:rPr>
          <w:noProof/>
        </w:rPr>
        <w:t>1</w:t>
      </w:r>
      <w:r w:rsidR="00DD3929" w:rsidRPr="00F12C9E">
        <w:t>. Uczestnictwo w systemie handlu emisjami EU-ETS.</w:t>
      </w:r>
      <w:r>
        <w:rPr>
          <w:szCs w:val="20"/>
        </w:rPr>
        <w:fldChar w:fldCharType="end"/>
      </w:r>
    </w:p>
    <w:p w14:paraId="70DB791C" w14:textId="5BD7C6AB" w:rsidR="009E640D" w:rsidRDefault="009E640D" w:rsidP="001D4BA5">
      <w:pPr>
        <w:pStyle w:val="Akapitzlist"/>
        <w:numPr>
          <w:ilvl w:val="0"/>
          <w:numId w:val="23"/>
        </w:numPr>
        <w:rPr>
          <w:szCs w:val="20"/>
        </w:rPr>
      </w:pPr>
      <w:r>
        <w:rPr>
          <w:szCs w:val="20"/>
        </w:rPr>
        <w:fldChar w:fldCharType="begin"/>
      </w:r>
      <w:r>
        <w:rPr>
          <w:szCs w:val="20"/>
        </w:rPr>
        <w:instrText xml:space="preserve"> REF _Ref159078277 \h </w:instrText>
      </w:r>
      <w:r>
        <w:rPr>
          <w:szCs w:val="20"/>
        </w:rPr>
      </w:r>
      <w:r>
        <w:rPr>
          <w:szCs w:val="20"/>
        </w:rPr>
        <w:fldChar w:fldCharType="separate"/>
      </w:r>
      <w:r w:rsidR="00DD3929" w:rsidRPr="00F12C9E">
        <w:t xml:space="preserve">Działanie </w:t>
      </w:r>
      <w:r w:rsidR="00DD3929">
        <w:rPr>
          <w:noProof/>
        </w:rPr>
        <w:t>2</w:t>
      </w:r>
      <w:r w:rsidR="00DD3929" w:rsidRPr="00F12C9E">
        <w:t>.</w:t>
      </w:r>
      <w:r w:rsidR="00DD3929" w:rsidRPr="003248FD">
        <w:t xml:space="preserve"> </w:t>
      </w:r>
      <w:r w:rsidR="00DD3929" w:rsidRPr="00F12C9E">
        <w:t>Instrument finansowy – obowiązek zakupu energii elektrycznej wytwarzanej w</w:t>
      </w:r>
      <w:r w:rsidR="00DD3929">
        <w:t> </w:t>
      </w:r>
      <w:r w:rsidR="00DD3929" w:rsidRPr="00F12C9E">
        <w:t>instalacjach OZE</w:t>
      </w:r>
      <w:r w:rsidR="00DD3929">
        <w:t xml:space="preserve"> (z określonym progiem mocy)</w:t>
      </w:r>
      <w:r w:rsidR="00DD3929" w:rsidRPr="00F12C9E">
        <w:t>.</w:t>
      </w:r>
      <w:r>
        <w:rPr>
          <w:szCs w:val="20"/>
        </w:rPr>
        <w:fldChar w:fldCharType="end"/>
      </w:r>
    </w:p>
    <w:p w14:paraId="335F87A6" w14:textId="0E121551" w:rsidR="009E640D" w:rsidRDefault="009E640D" w:rsidP="001D4BA5">
      <w:pPr>
        <w:pStyle w:val="Akapitzlist"/>
        <w:numPr>
          <w:ilvl w:val="0"/>
          <w:numId w:val="23"/>
        </w:numPr>
        <w:rPr>
          <w:szCs w:val="20"/>
        </w:rPr>
      </w:pPr>
      <w:r>
        <w:rPr>
          <w:szCs w:val="20"/>
        </w:rPr>
        <w:fldChar w:fldCharType="begin"/>
      </w:r>
      <w:r>
        <w:rPr>
          <w:szCs w:val="20"/>
        </w:rPr>
        <w:instrText xml:space="preserve"> REF _Ref157418135 \h </w:instrText>
      </w:r>
      <w:r>
        <w:rPr>
          <w:szCs w:val="20"/>
        </w:rPr>
      </w:r>
      <w:r>
        <w:rPr>
          <w:szCs w:val="20"/>
        </w:rPr>
        <w:fldChar w:fldCharType="separate"/>
      </w:r>
      <w:r w:rsidR="00DD3929" w:rsidRPr="00F12C9E">
        <w:t xml:space="preserve">Działanie </w:t>
      </w:r>
      <w:r w:rsidR="00DD3929">
        <w:rPr>
          <w:noProof/>
        </w:rPr>
        <w:t>3</w:t>
      </w:r>
      <w:r w:rsidR="00DD3929" w:rsidRPr="00F12C9E">
        <w:t>. Instrument finansowy – system świadectw pochodzenia OZE.</w:t>
      </w:r>
      <w:r>
        <w:rPr>
          <w:szCs w:val="20"/>
        </w:rPr>
        <w:fldChar w:fldCharType="end"/>
      </w:r>
    </w:p>
    <w:p w14:paraId="4BB0B162" w14:textId="4C2B35E9" w:rsidR="009E640D" w:rsidRDefault="009E640D" w:rsidP="001D4BA5">
      <w:pPr>
        <w:pStyle w:val="Akapitzlist"/>
        <w:numPr>
          <w:ilvl w:val="0"/>
          <w:numId w:val="23"/>
        </w:numPr>
        <w:rPr>
          <w:szCs w:val="20"/>
        </w:rPr>
      </w:pPr>
      <w:r>
        <w:rPr>
          <w:szCs w:val="20"/>
        </w:rPr>
        <w:lastRenderedPageBreak/>
        <w:fldChar w:fldCharType="begin"/>
      </w:r>
      <w:r>
        <w:rPr>
          <w:szCs w:val="20"/>
        </w:rPr>
        <w:instrText xml:space="preserve"> REF _Ref157418247 \h </w:instrText>
      </w:r>
      <w:r>
        <w:rPr>
          <w:szCs w:val="20"/>
        </w:rPr>
      </w:r>
      <w:r>
        <w:rPr>
          <w:szCs w:val="20"/>
        </w:rPr>
        <w:fldChar w:fldCharType="separate"/>
      </w:r>
      <w:r w:rsidR="00DD3929" w:rsidRPr="00F12C9E">
        <w:t xml:space="preserve">Działanie </w:t>
      </w:r>
      <w:r w:rsidR="00DD3929">
        <w:rPr>
          <w:noProof/>
        </w:rPr>
        <w:t>4</w:t>
      </w:r>
      <w:r w:rsidR="00DD3929" w:rsidRPr="00F12C9E">
        <w:t>. Instrument finansowy – aukcyjny system OZE.</w:t>
      </w:r>
      <w:r>
        <w:rPr>
          <w:szCs w:val="20"/>
        </w:rPr>
        <w:fldChar w:fldCharType="end"/>
      </w:r>
    </w:p>
    <w:p w14:paraId="42F8D514" w14:textId="70B024BD" w:rsidR="009E640D" w:rsidRDefault="009E640D" w:rsidP="001D4BA5">
      <w:pPr>
        <w:pStyle w:val="Akapitzlist"/>
        <w:numPr>
          <w:ilvl w:val="0"/>
          <w:numId w:val="23"/>
        </w:numPr>
        <w:rPr>
          <w:szCs w:val="20"/>
        </w:rPr>
      </w:pPr>
      <w:r>
        <w:rPr>
          <w:szCs w:val="20"/>
        </w:rPr>
        <w:fldChar w:fldCharType="begin"/>
      </w:r>
      <w:r>
        <w:rPr>
          <w:szCs w:val="20"/>
        </w:rPr>
        <w:instrText xml:space="preserve"> REF _Ref157418226 \h </w:instrText>
      </w:r>
      <w:r>
        <w:rPr>
          <w:szCs w:val="20"/>
        </w:rPr>
      </w:r>
      <w:r>
        <w:rPr>
          <w:szCs w:val="20"/>
        </w:rPr>
        <w:fldChar w:fldCharType="separate"/>
      </w:r>
      <w:r w:rsidR="00DD3929" w:rsidRPr="00F12C9E">
        <w:t xml:space="preserve">Działanie </w:t>
      </w:r>
      <w:r w:rsidR="00DD3929">
        <w:rPr>
          <w:noProof/>
        </w:rPr>
        <w:t>5</w:t>
      </w:r>
      <w:r w:rsidR="00DD3929" w:rsidRPr="00F12C9E">
        <w:t>. Instrument finansowy – system taryf gwarantowanych i dopłat do OZE.</w:t>
      </w:r>
      <w:r>
        <w:rPr>
          <w:szCs w:val="20"/>
        </w:rPr>
        <w:fldChar w:fldCharType="end"/>
      </w:r>
    </w:p>
    <w:p w14:paraId="4463B039" w14:textId="5F738DC1" w:rsidR="009E640D" w:rsidRDefault="009E640D" w:rsidP="001D4BA5">
      <w:pPr>
        <w:pStyle w:val="Akapitzlist"/>
        <w:numPr>
          <w:ilvl w:val="0"/>
          <w:numId w:val="23"/>
        </w:numPr>
        <w:rPr>
          <w:szCs w:val="20"/>
        </w:rPr>
      </w:pPr>
      <w:r>
        <w:rPr>
          <w:szCs w:val="20"/>
        </w:rPr>
        <w:fldChar w:fldCharType="begin"/>
      </w:r>
      <w:r>
        <w:rPr>
          <w:szCs w:val="20"/>
        </w:rPr>
        <w:instrText xml:space="preserve"> REF _Ref159928248 \h </w:instrText>
      </w:r>
      <w:r>
        <w:rPr>
          <w:szCs w:val="20"/>
        </w:rPr>
      </w:r>
      <w:r>
        <w:rPr>
          <w:szCs w:val="20"/>
        </w:rPr>
        <w:fldChar w:fldCharType="separate"/>
      </w:r>
      <w:r w:rsidR="00DD3929" w:rsidRPr="00F12C9E">
        <w:t xml:space="preserve">Działanie </w:t>
      </w:r>
      <w:r w:rsidR="00DD3929">
        <w:rPr>
          <w:noProof/>
        </w:rPr>
        <w:t>6</w:t>
      </w:r>
      <w:r w:rsidR="00DD3929" w:rsidRPr="00F12C9E">
        <w:t>.</w:t>
      </w:r>
      <w:r w:rsidR="00DD3929" w:rsidRPr="004406B7">
        <w:t xml:space="preserve"> </w:t>
      </w:r>
      <w:r w:rsidR="00DD3929" w:rsidRPr="00F12C9E">
        <w:t xml:space="preserve">Instrument finansowy – </w:t>
      </w:r>
      <w:r w:rsidR="00DD3929">
        <w:t>dodatkowe wsparcie operacyjne dla dyspozycyjnych OZE.</w:t>
      </w:r>
      <w:r>
        <w:rPr>
          <w:szCs w:val="20"/>
        </w:rPr>
        <w:fldChar w:fldCharType="end"/>
      </w:r>
    </w:p>
    <w:p w14:paraId="3D952BBC" w14:textId="65F18ACC" w:rsidR="009E640D" w:rsidRDefault="009E640D" w:rsidP="001D4BA5">
      <w:pPr>
        <w:pStyle w:val="Akapitzlist"/>
        <w:numPr>
          <w:ilvl w:val="0"/>
          <w:numId w:val="23"/>
        </w:numPr>
        <w:rPr>
          <w:szCs w:val="20"/>
        </w:rPr>
      </w:pPr>
      <w:r>
        <w:rPr>
          <w:szCs w:val="20"/>
        </w:rPr>
        <w:fldChar w:fldCharType="begin"/>
      </w:r>
      <w:r>
        <w:rPr>
          <w:szCs w:val="20"/>
        </w:rPr>
        <w:instrText xml:space="preserve"> REF _Ref157420055 \h </w:instrText>
      </w:r>
      <w:r>
        <w:rPr>
          <w:szCs w:val="20"/>
        </w:rPr>
      </w:r>
      <w:r>
        <w:rPr>
          <w:szCs w:val="20"/>
        </w:rPr>
        <w:fldChar w:fldCharType="separate"/>
      </w:r>
      <w:r w:rsidR="00DD3929" w:rsidRPr="00F12C9E">
        <w:t xml:space="preserve">Działanie </w:t>
      </w:r>
      <w:r w:rsidR="00DD3929">
        <w:rPr>
          <w:noProof/>
        </w:rPr>
        <w:t>7</w:t>
      </w:r>
      <w:r w:rsidR="00DD3929" w:rsidRPr="00F12C9E">
        <w:t>. Instrument finansowy – kontrakty różnicowe dla wytwarzania energii elektrycznej w morskich farmach wiatrowych.</w:t>
      </w:r>
      <w:r>
        <w:rPr>
          <w:szCs w:val="20"/>
        </w:rPr>
        <w:fldChar w:fldCharType="end"/>
      </w:r>
    </w:p>
    <w:p w14:paraId="6F61BAF8" w14:textId="28B4E8C4" w:rsidR="00845CDE" w:rsidRDefault="009E640D" w:rsidP="00845CDE">
      <w:pPr>
        <w:pStyle w:val="Akapitzlist"/>
        <w:numPr>
          <w:ilvl w:val="0"/>
          <w:numId w:val="23"/>
        </w:numPr>
        <w:rPr>
          <w:szCs w:val="20"/>
        </w:rPr>
      </w:pPr>
      <w:r>
        <w:rPr>
          <w:szCs w:val="20"/>
        </w:rPr>
        <w:fldChar w:fldCharType="begin"/>
      </w:r>
      <w:r>
        <w:rPr>
          <w:szCs w:val="20"/>
        </w:rPr>
        <w:instrText xml:space="preserve"> REF _Ref157420066 \h </w:instrText>
      </w:r>
      <w:r>
        <w:rPr>
          <w:szCs w:val="20"/>
        </w:rPr>
      </w:r>
      <w:r>
        <w:rPr>
          <w:szCs w:val="20"/>
        </w:rPr>
        <w:fldChar w:fldCharType="separate"/>
      </w:r>
      <w:r w:rsidR="00DD3929" w:rsidRPr="00F12C9E">
        <w:t xml:space="preserve">Działanie </w:t>
      </w:r>
      <w:r w:rsidR="00DD3929">
        <w:rPr>
          <w:noProof/>
        </w:rPr>
        <w:t>8</w:t>
      </w:r>
      <w:r w:rsidR="00DD3929" w:rsidRPr="00F12C9E">
        <w:t xml:space="preserve">. </w:t>
      </w:r>
      <w:r w:rsidR="00DD3929">
        <w:t>Pakiet wsparcia</w:t>
      </w:r>
      <w:r w:rsidR="00DD3929" w:rsidRPr="00F12C9E">
        <w:t xml:space="preserve"> rozwoju </w:t>
      </w:r>
      <w:r w:rsidR="00DD3929">
        <w:t xml:space="preserve">morskiej </w:t>
      </w:r>
      <w:r w:rsidR="00DD3929" w:rsidRPr="00F12C9E">
        <w:t>energetyki wiatrowej.</w:t>
      </w:r>
      <w:r>
        <w:rPr>
          <w:szCs w:val="20"/>
        </w:rPr>
        <w:fldChar w:fldCharType="end"/>
      </w:r>
    </w:p>
    <w:p w14:paraId="082F2DE2" w14:textId="165562E8" w:rsidR="00845CDE" w:rsidRDefault="00845CDE" w:rsidP="00845CDE">
      <w:pPr>
        <w:pStyle w:val="Akapitzlist"/>
        <w:numPr>
          <w:ilvl w:val="0"/>
          <w:numId w:val="23"/>
        </w:numPr>
        <w:rPr>
          <w:szCs w:val="20"/>
        </w:rPr>
      </w:pPr>
      <w:r>
        <w:rPr>
          <w:szCs w:val="20"/>
        </w:rPr>
        <w:fldChar w:fldCharType="begin"/>
      </w:r>
      <w:r>
        <w:rPr>
          <w:szCs w:val="20"/>
        </w:rPr>
        <w:instrText xml:space="preserve"> REF _Ref174104352 \h </w:instrText>
      </w:r>
      <w:r>
        <w:rPr>
          <w:szCs w:val="20"/>
        </w:rPr>
      </w:r>
      <w:r>
        <w:rPr>
          <w:szCs w:val="20"/>
        </w:rPr>
        <w:fldChar w:fldCharType="separate"/>
      </w:r>
      <w:r w:rsidR="00DD3929">
        <w:t xml:space="preserve">Działanie </w:t>
      </w:r>
      <w:r w:rsidR="00DD3929">
        <w:rPr>
          <w:noProof/>
        </w:rPr>
        <w:t>9</w:t>
      </w:r>
      <w:r w:rsidR="00DD3929">
        <w:t>.</w:t>
      </w:r>
      <w:r w:rsidR="00DD3929" w:rsidRPr="00845CDE">
        <w:t xml:space="preserve"> </w:t>
      </w:r>
      <w:r w:rsidR="00DD3929">
        <w:t>Pakiet wsparcia rozwoju rynku biogazu i biometanu.</w:t>
      </w:r>
      <w:r>
        <w:rPr>
          <w:szCs w:val="20"/>
        </w:rPr>
        <w:fldChar w:fldCharType="end"/>
      </w:r>
    </w:p>
    <w:p w14:paraId="45D3B609" w14:textId="652964BA" w:rsidR="00DA333E" w:rsidRDefault="00DA333E" w:rsidP="00845CDE">
      <w:pPr>
        <w:pStyle w:val="Akapitzlist"/>
        <w:numPr>
          <w:ilvl w:val="0"/>
          <w:numId w:val="23"/>
        </w:numPr>
        <w:rPr>
          <w:szCs w:val="20"/>
        </w:rPr>
      </w:pPr>
      <w:r>
        <w:rPr>
          <w:szCs w:val="20"/>
        </w:rPr>
        <w:fldChar w:fldCharType="begin"/>
      </w:r>
      <w:r>
        <w:rPr>
          <w:szCs w:val="20"/>
        </w:rPr>
        <w:instrText xml:space="preserve"> REF _Ref175481244 \h </w:instrText>
      </w:r>
      <w:r>
        <w:rPr>
          <w:szCs w:val="20"/>
        </w:rPr>
      </w:r>
      <w:r>
        <w:rPr>
          <w:szCs w:val="20"/>
        </w:rPr>
        <w:fldChar w:fldCharType="separate"/>
      </w:r>
      <w:r w:rsidR="00DD3929">
        <w:t xml:space="preserve">Działanie </w:t>
      </w:r>
      <w:r w:rsidR="00DD3929">
        <w:rPr>
          <w:noProof/>
        </w:rPr>
        <w:t>10</w:t>
      </w:r>
      <w:r w:rsidR="00DD3929">
        <w:t xml:space="preserve">. </w:t>
      </w:r>
      <w:r w:rsidR="00DD3929" w:rsidRPr="00F26E84">
        <w:t>Wprowadzenie wymogów w zakresie stosowania energii słonecznej</w:t>
      </w:r>
      <w:r w:rsidR="00DD3929">
        <w:t xml:space="preserve"> w budynkach.</w:t>
      </w:r>
      <w:r>
        <w:rPr>
          <w:szCs w:val="20"/>
        </w:rPr>
        <w:fldChar w:fldCharType="end"/>
      </w:r>
    </w:p>
    <w:p w14:paraId="081D9C9C" w14:textId="0F72FD9E" w:rsidR="009E640D" w:rsidRPr="00845CDE" w:rsidRDefault="009E640D" w:rsidP="00845CDE">
      <w:pPr>
        <w:pStyle w:val="Akapitzlist"/>
        <w:numPr>
          <w:ilvl w:val="0"/>
          <w:numId w:val="23"/>
        </w:numPr>
        <w:rPr>
          <w:szCs w:val="20"/>
        </w:rPr>
      </w:pPr>
      <w:r w:rsidRPr="00845CDE">
        <w:rPr>
          <w:szCs w:val="20"/>
        </w:rPr>
        <w:fldChar w:fldCharType="begin"/>
      </w:r>
      <w:r w:rsidRPr="00845CDE">
        <w:rPr>
          <w:szCs w:val="20"/>
        </w:rPr>
        <w:instrText xml:space="preserve"> REF _Ref157420175 \h </w:instrText>
      </w:r>
      <w:r w:rsidRPr="00845CDE">
        <w:rPr>
          <w:szCs w:val="20"/>
        </w:rPr>
      </w:r>
      <w:r w:rsidRPr="00845CDE">
        <w:rPr>
          <w:szCs w:val="20"/>
        </w:rPr>
        <w:fldChar w:fldCharType="separate"/>
      </w:r>
      <w:r w:rsidR="00DD3929" w:rsidRPr="00F12C9E">
        <w:t xml:space="preserve">Działanie </w:t>
      </w:r>
      <w:r w:rsidR="00DD3929">
        <w:rPr>
          <w:noProof/>
        </w:rPr>
        <w:t>11</w:t>
      </w:r>
      <w:r w:rsidR="00DD3929" w:rsidRPr="00F12C9E">
        <w:t xml:space="preserve">. Instrument finansowy – Program Priorytetowy NFOŚiGW – </w:t>
      </w:r>
      <w:r w:rsidR="00DD3929">
        <w:t>„</w:t>
      </w:r>
      <w:r w:rsidR="00DD3929" w:rsidRPr="00F12C9E">
        <w:t>Mój Prąd</w:t>
      </w:r>
      <w:r w:rsidR="00DD3929">
        <w:t>”</w:t>
      </w:r>
      <w:r w:rsidR="00DD3929" w:rsidRPr="00F12C9E">
        <w:t>.</w:t>
      </w:r>
      <w:r w:rsidRPr="00845CDE">
        <w:rPr>
          <w:szCs w:val="20"/>
        </w:rPr>
        <w:fldChar w:fldCharType="end"/>
      </w:r>
    </w:p>
    <w:p w14:paraId="218D6818" w14:textId="4CCE7200" w:rsidR="009E640D" w:rsidRDefault="009E640D" w:rsidP="001D4BA5">
      <w:pPr>
        <w:pStyle w:val="Akapitzlist"/>
        <w:numPr>
          <w:ilvl w:val="0"/>
          <w:numId w:val="23"/>
        </w:numPr>
        <w:rPr>
          <w:szCs w:val="20"/>
        </w:rPr>
      </w:pPr>
      <w:r>
        <w:rPr>
          <w:szCs w:val="20"/>
        </w:rPr>
        <w:fldChar w:fldCharType="begin"/>
      </w:r>
      <w:r>
        <w:rPr>
          <w:szCs w:val="20"/>
        </w:rPr>
        <w:instrText xml:space="preserve"> REF _Ref157420182 \h </w:instrText>
      </w:r>
      <w:r>
        <w:rPr>
          <w:szCs w:val="20"/>
        </w:rPr>
      </w:r>
      <w:r>
        <w:rPr>
          <w:szCs w:val="20"/>
        </w:rPr>
        <w:fldChar w:fldCharType="separate"/>
      </w:r>
      <w:r w:rsidR="00DD3929" w:rsidRPr="00F12C9E">
        <w:t xml:space="preserve">Działanie </w:t>
      </w:r>
      <w:r w:rsidR="00DD3929">
        <w:rPr>
          <w:noProof/>
        </w:rPr>
        <w:t>12</w:t>
      </w:r>
      <w:r w:rsidR="00DD3929" w:rsidRPr="00F12C9E">
        <w:t xml:space="preserve">. Instrument finansowy – Program Priorytetowy NFOŚiGW – </w:t>
      </w:r>
      <w:r w:rsidR="00DD3929">
        <w:t>„</w:t>
      </w:r>
      <w:r w:rsidR="00DD3929" w:rsidRPr="00F12C9E">
        <w:t>Energia Plus</w:t>
      </w:r>
      <w:r w:rsidR="00DD3929">
        <w:t>”</w:t>
      </w:r>
      <w:r w:rsidR="00DD3929" w:rsidRPr="00F12C9E">
        <w:t>.</w:t>
      </w:r>
      <w:r>
        <w:rPr>
          <w:szCs w:val="20"/>
        </w:rPr>
        <w:fldChar w:fldCharType="end"/>
      </w:r>
    </w:p>
    <w:p w14:paraId="559F5566" w14:textId="60BD2DF0" w:rsidR="009E640D" w:rsidRDefault="009E640D" w:rsidP="001D4BA5">
      <w:pPr>
        <w:pStyle w:val="Akapitzlist"/>
        <w:numPr>
          <w:ilvl w:val="0"/>
          <w:numId w:val="23"/>
        </w:numPr>
        <w:rPr>
          <w:szCs w:val="20"/>
        </w:rPr>
      </w:pPr>
      <w:r>
        <w:rPr>
          <w:szCs w:val="20"/>
        </w:rPr>
        <w:fldChar w:fldCharType="begin"/>
      </w:r>
      <w:r>
        <w:rPr>
          <w:szCs w:val="20"/>
        </w:rPr>
        <w:instrText xml:space="preserve"> REF _Ref157420357 \h </w:instrText>
      </w:r>
      <w:r>
        <w:rPr>
          <w:szCs w:val="20"/>
        </w:rPr>
      </w:r>
      <w:r>
        <w:rPr>
          <w:szCs w:val="20"/>
        </w:rPr>
        <w:fldChar w:fldCharType="separate"/>
      </w:r>
      <w:r w:rsidR="00DD3929" w:rsidRPr="00F12C9E">
        <w:t xml:space="preserve">Działanie </w:t>
      </w:r>
      <w:r w:rsidR="00DD3929">
        <w:rPr>
          <w:noProof/>
        </w:rPr>
        <w:t>16</w:t>
      </w:r>
      <w:r w:rsidR="00DD3929" w:rsidRPr="00F12C9E">
        <w:t>. Instrument finansowy – Program Priorytetowy NFOŚiGW – „Agroenergia</w:t>
      </w:r>
      <w:r w:rsidR="00DD3929">
        <w:t>”</w:t>
      </w:r>
      <w:r w:rsidR="00DD3929" w:rsidRPr="00F12C9E">
        <w:t>.</w:t>
      </w:r>
      <w:r>
        <w:rPr>
          <w:szCs w:val="20"/>
        </w:rPr>
        <w:fldChar w:fldCharType="end"/>
      </w:r>
    </w:p>
    <w:p w14:paraId="5299C8B1" w14:textId="7159D600" w:rsidR="009E640D" w:rsidRDefault="009E640D" w:rsidP="001D4BA5">
      <w:pPr>
        <w:pStyle w:val="Akapitzlist"/>
        <w:numPr>
          <w:ilvl w:val="0"/>
          <w:numId w:val="23"/>
        </w:numPr>
        <w:rPr>
          <w:szCs w:val="20"/>
        </w:rPr>
      </w:pPr>
      <w:r>
        <w:rPr>
          <w:szCs w:val="20"/>
        </w:rPr>
        <w:fldChar w:fldCharType="begin"/>
      </w:r>
      <w:r>
        <w:rPr>
          <w:szCs w:val="20"/>
        </w:rPr>
        <w:instrText xml:space="preserve"> REF _Ref157420961 \h </w:instrText>
      </w:r>
      <w:r>
        <w:rPr>
          <w:szCs w:val="20"/>
        </w:rPr>
      </w:r>
      <w:r>
        <w:rPr>
          <w:szCs w:val="20"/>
        </w:rPr>
        <w:fldChar w:fldCharType="separate"/>
      </w:r>
      <w:r w:rsidR="00DD3929" w:rsidRPr="00F12C9E">
        <w:t xml:space="preserve">Działanie </w:t>
      </w:r>
      <w:r w:rsidR="00DD3929">
        <w:rPr>
          <w:noProof/>
        </w:rPr>
        <w:t>17</w:t>
      </w:r>
      <w:r w:rsidR="00DD3929" w:rsidRPr="00F12C9E">
        <w:t>. Instrument finansowy – inne programy NFOŚiGW wspierające rozwój OZE.</w:t>
      </w:r>
      <w:r>
        <w:rPr>
          <w:szCs w:val="20"/>
        </w:rPr>
        <w:fldChar w:fldCharType="end"/>
      </w:r>
      <w:r>
        <w:rPr>
          <w:szCs w:val="20"/>
        </w:rPr>
        <w:t xml:space="preserve"> </w:t>
      </w:r>
    </w:p>
    <w:p w14:paraId="453C05B4" w14:textId="28267BBF" w:rsidR="009E640D" w:rsidRDefault="009E640D" w:rsidP="001D4BA5">
      <w:pPr>
        <w:pStyle w:val="Akapitzlist"/>
        <w:numPr>
          <w:ilvl w:val="0"/>
          <w:numId w:val="23"/>
        </w:numPr>
        <w:rPr>
          <w:szCs w:val="20"/>
        </w:rPr>
      </w:pPr>
      <w:r>
        <w:rPr>
          <w:szCs w:val="20"/>
        </w:rPr>
        <w:fldChar w:fldCharType="begin"/>
      </w:r>
      <w:r>
        <w:rPr>
          <w:szCs w:val="20"/>
        </w:rPr>
        <w:instrText xml:space="preserve"> REF _Ref157421165 \h </w:instrText>
      </w:r>
      <w:r>
        <w:rPr>
          <w:szCs w:val="20"/>
        </w:rPr>
      </w:r>
      <w:r>
        <w:rPr>
          <w:szCs w:val="20"/>
        </w:rPr>
        <w:fldChar w:fldCharType="separate"/>
      </w:r>
      <w:r w:rsidR="00DD3929" w:rsidRPr="00F12C9E">
        <w:t xml:space="preserve">Działanie </w:t>
      </w:r>
      <w:r w:rsidR="00DD3929">
        <w:rPr>
          <w:noProof/>
        </w:rPr>
        <w:t>18</w:t>
      </w:r>
      <w:r w:rsidR="00DD3929" w:rsidRPr="00F12C9E">
        <w:t xml:space="preserve">. Instrument finansowy – </w:t>
      </w:r>
      <w:r w:rsidR="00DD3929">
        <w:t>i</w:t>
      </w:r>
      <w:r w:rsidR="00DD3929" w:rsidRPr="00F12C9E">
        <w:t>nne instrumenty wspierające rozwój OZE.</w:t>
      </w:r>
      <w:r>
        <w:rPr>
          <w:szCs w:val="20"/>
        </w:rPr>
        <w:fldChar w:fldCharType="end"/>
      </w:r>
    </w:p>
    <w:p w14:paraId="69BAB03C" w14:textId="0C97EEE3" w:rsidR="002419F3" w:rsidRDefault="009E640D" w:rsidP="001D4BA5">
      <w:pPr>
        <w:pStyle w:val="Akapitzlist"/>
        <w:numPr>
          <w:ilvl w:val="0"/>
          <w:numId w:val="23"/>
        </w:numPr>
        <w:rPr>
          <w:szCs w:val="20"/>
        </w:rPr>
      </w:pPr>
      <w:r>
        <w:rPr>
          <w:szCs w:val="20"/>
        </w:rPr>
        <w:fldChar w:fldCharType="begin"/>
      </w:r>
      <w:r>
        <w:rPr>
          <w:szCs w:val="20"/>
        </w:rPr>
        <w:instrText xml:space="preserve"> REF _Ref159078615 \h </w:instrText>
      </w:r>
      <w:r>
        <w:rPr>
          <w:szCs w:val="20"/>
        </w:rPr>
      </w:r>
      <w:r>
        <w:rPr>
          <w:szCs w:val="20"/>
        </w:rPr>
        <w:fldChar w:fldCharType="separate"/>
      </w:r>
      <w:r w:rsidR="00DD3929" w:rsidRPr="00F12C9E">
        <w:t xml:space="preserve">Działanie </w:t>
      </w:r>
      <w:r w:rsidR="00DD3929">
        <w:rPr>
          <w:noProof/>
        </w:rPr>
        <w:t>19</w:t>
      </w:r>
      <w:r w:rsidR="00DD3929" w:rsidRPr="00F12C9E">
        <w:t>.</w:t>
      </w:r>
      <w:r w:rsidR="00DD3929">
        <w:t xml:space="preserve"> Krajowy Punkt Kontaktowy do spraw odnawialnych źródeł energii.</w:t>
      </w:r>
      <w:r>
        <w:rPr>
          <w:szCs w:val="20"/>
        </w:rPr>
        <w:fldChar w:fldCharType="end"/>
      </w:r>
    </w:p>
    <w:p w14:paraId="078CCF80" w14:textId="3C473B09" w:rsidR="009E640D" w:rsidRDefault="002419F3" w:rsidP="001D4BA5">
      <w:pPr>
        <w:pStyle w:val="Akapitzlist"/>
        <w:numPr>
          <w:ilvl w:val="0"/>
          <w:numId w:val="23"/>
        </w:numPr>
        <w:rPr>
          <w:szCs w:val="20"/>
        </w:rPr>
      </w:pPr>
      <w:r>
        <w:rPr>
          <w:szCs w:val="20"/>
        </w:rPr>
        <w:fldChar w:fldCharType="begin"/>
      </w:r>
      <w:r>
        <w:rPr>
          <w:szCs w:val="20"/>
        </w:rPr>
        <w:instrText xml:space="preserve"> REF _Ref175558287 </w:instrText>
      </w:r>
      <w:r>
        <w:rPr>
          <w:szCs w:val="20"/>
        </w:rPr>
        <w:fldChar w:fldCharType="separate"/>
      </w:r>
      <w:r w:rsidR="00DD3929">
        <w:t xml:space="preserve">Działanie </w:t>
      </w:r>
      <w:r w:rsidR="00DD3929">
        <w:rPr>
          <w:noProof/>
        </w:rPr>
        <w:t>20</w:t>
      </w:r>
      <w:r w:rsidR="00DD3929">
        <w:t>. Zapewnienie możliwości funkcjonowania obszarów przyspieszonego rozwoju OZE.</w:t>
      </w:r>
      <w:r>
        <w:rPr>
          <w:szCs w:val="20"/>
        </w:rPr>
        <w:fldChar w:fldCharType="end"/>
      </w:r>
      <w:r w:rsidR="009E640D">
        <w:rPr>
          <w:szCs w:val="20"/>
        </w:rPr>
        <w:t xml:space="preserve"> </w:t>
      </w:r>
    </w:p>
    <w:p w14:paraId="3882CE05" w14:textId="4B62C9D9" w:rsidR="009E640D" w:rsidRDefault="009E640D" w:rsidP="001D4BA5">
      <w:pPr>
        <w:pStyle w:val="Akapitzlist"/>
        <w:numPr>
          <w:ilvl w:val="0"/>
          <w:numId w:val="23"/>
        </w:numPr>
        <w:rPr>
          <w:szCs w:val="20"/>
        </w:rPr>
      </w:pPr>
      <w:r>
        <w:rPr>
          <w:szCs w:val="20"/>
        </w:rPr>
        <w:fldChar w:fldCharType="begin"/>
      </w:r>
      <w:r>
        <w:rPr>
          <w:szCs w:val="20"/>
        </w:rPr>
        <w:instrText xml:space="preserve"> REF _Ref157420391 \h </w:instrText>
      </w:r>
      <w:r>
        <w:rPr>
          <w:szCs w:val="20"/>
        </w:rPr>
      </w:r>
      <w:r>
        <w:rPr>
          <w:szCs w:val="20"/>
        </w:rPr>
        <w:fldChar w:fldCharType="separate"/>
      </w:r>
      <w:r w:rsidR="00DD3929" w:rsidRPr="00F12C9E">
        <w:t xml:space="preserve">Działanie </w:t>
      </w:r>
      <w:r w:rsidR="00DD3929">
        <w:rPr>
          <w:noProof/>
        </w:rPr>
        <w:t>26</w:t>
      </w:r>
      <w:r w:rsidR="00DD3929" w:rsidRPr="00F12C9E">
        <w:t>. Zapewnienie warunków rozwoju SMR.</w:t>
      </w:r>
      <w:r>
        <w:rPr>
          <w:szCs w:val="20"/>
        </w:rPr>
        <w:fldChar w:fldCharType="end"/>
      </w:r>
    </w:p>
    <w:p w14:paraId="48935EBA" w14:textId="610705AA" w:rsidR="00620EBD" w:rsidRDefault="00607584" w:rsidP="001D4BA5">
      <w:pPr>
        <w:pStyle w:val="Akapitzlist"/>
        <w:numPr>
          <w:ilvl w:val="0"/>
          <w:numId w:val="23"/>
        </w:numPr>
        <w:rPr>
          <w:szCs w:val="20"/>
        </w:rPr>
      </w:pPr>
      <w:r>
        <w:rPr>
          <w:szCs w:val="20"/>
        </w:rPr>
        <w:fldChar w:fldCharType="begin"/>
      </w:r>
      <w:r>
        <w:rPr>
          <w:szCs w:val="20"/>
        </w:rPr>
        <w:instrText xml:space="preserve"> REF _Ref157425628 \h </w:instrText>
      </w:r>
      <w:r>
        <w:rPr>
          <w:szCs w:val="20"/>
        </w:rPr>
      </w:r>
      <w:r>
        <w:rPr>
          <w:szCs w:val="20"/>
        </w:rPr>
        <w:fldChar w:fldCharType="separate"/>
      </w:r>
      <w:r w:rsidR="00DD3929" w:rsidRPr="00F12C9E">
        <w:t xml:space="preserve">Działanie </w:t>
      </w:r>
      <w:r w:rsidR="00DD3929">
        <w:rPr>
          <w:noProof/>
        </w:rPr>
        <w:t>79</w:t>
      </w:r>
      <w:r w:rsidR="00DD3929" w:rsidRPr="00F12C9E">
        <w:t xml:space="preserve">. </w:t>
      </w:r>
      <w:r w:rsidR="00DD3929" w:rsidRPr="00010DD9">
        <w:t>Kontrakty różnicowe dla redukcji CO</w:t>
      </w:r>
      <w:r w:rsidR="00DD3929" w:rsidRPr="00010DD9">
        <w:rPr>
          <w:vertAlign w:val="subscript"/>
        </w:rPr>
        <w:t>2</w:t>
      </w:r>
      <w:r w:rsidR="00DD3929" w:rsidRPr="00010DD9">
        <w:t xml:space="preserve"> oraz inne działania wspierające komercyjne projekty CCS i CCU</w:t>
      </w:r>
      <w:r w:rsidR="00DD3929" w:rsidRPr="00F12C9E">
        <w:t>.</w:t>
      </w:r>
      <w:r>
        <w:rPr>
          <w:szCs w:val="20"/>
        </w:rPr>
        <w:fldChar w:fldCharType="end"/>
      </w:r>
    </w:p>
    <w:p w14:paraId="49817C83" w14:textId="0D70C8EA" w:rsidR="009E640D" w:rsidRDefault="009E640D" w:rsidP="001D4BA5">
      <w:pPr>
        <w:pStyle w:val="Akapitzlist"/>
        <w:numPr>
          <w:ilvl w:val="0"/>
          <w:numId w:val="23"/>
        </w:numPr>
        <w:rPr>
          <w:szCs w:val="20"/>
        </w:rPr>
      </w:pPr>
      <w:r>
        <w:rPr>
          <w:szCs w:val="20"/>
        </w:rPr>
        <w:fldChar w:fldCharType="begin"/>
      </w:r>
      <w:r>
        <w:rPr>
          <w:szCs w:val="20"/>
        </w:rPr>
        <w:instrText xml:space="preserve"> REF _Ref157421134 \h </w:instrText>
      </w:r>
      <w:r>
        <w:rPr>
          <w:szCs w:val="20"/>
        </w:rPr>
      </w:r>
      <w:r>
        <w:rPr>
          <w:szCs w:val="20"/>
        </w:rPr>
        <w:fldChar w:fldCharType="separate"/>
      </w:r>
      <w:r w:rsidR="00DD3929" w:rsidRPr="00F12C9E">
        <w:t xml:space="preserve">Działanie </w:t>
      </w:r>
      <w:r w:rsidR="00DD3929">
        <w:rPr>
          <w:noProof/>
        </w:rPr>
        <w:t>78</w:t>
      </w:r>
      <w:r w:rsidR="00DD3929" w:rsidRPr="00F12C9E">
        <w:t xml:space="preserve">. Instrument finansowy – Program NFOŚiGW </w:t>
      </w:r>
      <w:r w:rsidR="00DD3929">
        <w:t>„</w:t>
      </w:r>
      <w:r w:rsidR="00DD3929" w:rsidRPr="00F12C9E">
        <w:t>Energia dla wsi</w:t>
      </w:r>
      <w:r w:rsidR="00DD3929">
        <w:t>”</w:t>
      </w:r>
      <w:r w:rsidR="00DD3929" w:rsidRPr="00F12C9E">
        <w:t>.</w:t>
      </w:r>
      <w:r>
        <w:rPr>
          <w:szCs w:val="20"/>
        </w:rPr>
        <w:fldChar w:fldCharType="end"/>
      </w:r>
    </w:p>
    <w:p w14:paraId="7E5B6904" w14:textId="77777777" w:rsidR="00BE71C9" w:rsidRPr="00BE71C9" w:rsidRDefault="009E640D" w:rsidP="00BE71C9">
      <w:pPr>
        <w:pStyle w:val="Akapitzlist"/>
        <w:numPr>
          <w:ilvl w:val="0"/>
          <w:numId w:val="23"/>
        </w:numPr>
      </w:pPr>
      <w:r w:rsidRPr="00845A87">
        <w:rPr>
          <w:szCs w:val="20"/>
        </w:rPr>
        <w:fldChar w:fldCharType="begin"/>
      </w:r>
      <w:r w:rsidRPr="00845A87">
        <w:rPr>
          <w:szCs w:val="20"/>
        </w:rPr>
        <w:instrText xml:space="preserve"> REF _Ref157425628 \h </w:instrText>
      </w:r>
      <w:r w:rsidRPr="00845A87">
        <w:rPr>
          <w:szCs w:val="20"/>
        </w:rPr>
      </w:r>
      <w:r w:rsidRPr="00845A87">
        <w:rPr>
          <w:szCs w:val="20"/>
        </w:rPr>
        <w:fldChar w:fldCharType="separate"/>
      </w:r>
      <w:r w:rsidR="00DD3929" w:rsidRPr="00F12C9E">
        <w:t xml:space="preserve">Działanie </w:t>
      </w:r>
      <w:r w:rsidR="00DD3929">
        <w:rPr>
          <w:noProof/>
        </w:rPr>
        <w:t>79</w:t>
      </w:r>
      <w:r w:rsidR="00DD3929" w:rsidRPr="00F12C9E">
        <w:t xml:space="preserve">. </w:t>
      </w:r>
      <w:r w:rsidR="00DD3929" w:rsidRPr="00010DD9">
        <w:t>Kontrakty różnicowe dla redukcji CO</w:t>
      </w:r>
      <w:r w:rsidR="00DD3929" w:rsidRPr="00010DD9">
        <w:rPr>
          <w:vertAlign w:val="subscript"/>
        </w:rPr>
        <w:t>2</w:t>
      </w:r>
      <w:r w:rsidR="00DD3929" w:rsidRPr="00010DD9">
        <w:t xml:space="preserve"> oraz inne działania wspierające komercyjne projekty CCS i CCU</w:t>
      </w:r>
      <w:r w:rsidR="00DD3929" w:rsidRPr="00F12C9E">
        <w:t>.</w:t>
      </w:r>
      <w:r w:rsidRPr="00845A87">
        <w:rPr>
          <w:szCs w:val="20"/>
        </w:rPr>
        <w:fldChar w:fldCharType="end"/>
      </w:r>
    </w:p>
    <w:p w14:paraId="1279E0BF" w14:textId="26E37064" w:rsidR="00DD3929" w:rsidRDefault="009E640D" w:rsidP="00BE71C9">
      <w:pPr>
        <w:pStyle w:val="Akapitzlist"/>
        <w:numPr>
          <w:ilvl w:val="0"/>
          <w:numId w:val="23"/>
        </w:numPr>
      </w:pPr>
      <w:r w:rsidRPr="00BE71C9">
        <w:rPr>
          <w:szCs w:val="20"/>
        </w:rPr>
        <w:fldChar w:fldCharType="begin"/>
      </w:r>
      <w:r w:rsidRPr="00BE71C9">
        <w:rPr>
          <w:szCs w:val="20"/>
        </w:rPr>
        <w:instrText xml:space="preserve"> REF _Ref157421151 \h </w:instrText>
      </w:r>
      <w:r w:rsidRPr="00BE71C9">
        <w:rPr>
          <w:szCs w:val="20"/>
        </w:rPr>
      </w:r>
      <w:r w:rsidRPr="00BE71C9">
        <w:rPr>
          <w:szCs w:val="20"/>
        </w:rPr>
        <w:fldChar w:fldCharType="separate"/>
      </w:r>
      <w:r w:rsidR="00DD3929" w:rsidRPr="00F12C9E">
        <w:t xml:space="preserve">Działanie </w:t>
      </w:r>
      <w:r w:rsidR="00DD3929">
        <w:rPr>
          <w:noProof/>
        </w:rPr>
        <w:t>80</w:t>
      </w:r>
      <w:r w:rsidR="00DD3929" w:rsidRPr="00F12C9E">
        <w:t xml:space="preserve">. Instrument </w:t>
      </w:r>
      <w:r w:rsidR="00DD3929" w:rsidRPr="00586D95">
        <w:t>finansowy</w:t>
      </w:r>
      <w:r w:rsidR="00DD3929" w:rsidRPr="00F12C9E">
        <w:t xml:space="preserve"> – Fundusz Modernizacyjny.</w:t>
      </w:r>
      <w:r w:rsidRPr="00BE71C9">
        <w:rPr>
          <w:szCs w:val="20"/>
        </w:rPr>
        <w:fldChar w:fldCharType="end"/>
      </w:r>
      <w:r>
        <w:rPr>
          <w:rFonts w:cs="Calibri"/>
          <w:kern w:val="0"/>
          <w:sz w:val="22"/>
          <w:szCs w:val="20"/>
        </w:rPr>
        <w:fldChar w:fldCharType="begin"/>
      </w:r>
      <w:r w:rsidRPr="00BE71C9">
        <w:rPr>
          <w:szCs w:val="20"/>
        </w:rPr>
        <w:instrText xml:space="preserve"> REF _Ref157423173 \h </w:instrText>
      </w:r>
      <w:r>
        <w:rPr>
          <w:rFonts w:cs="Calibri"/>
          <w:kern w:val="0"/>
          <w:sz w:val="22"/>
          <w:szCs w:val="20"/>
        </w:rPr>
      </w:r>
      <w:r>
        <w:rPr>
          <w:rFonts w:cs="Calibri"/>
          <w:kern w:val="0"/>
          <w:sz w:val="22"/>
          <w:szCs w:val="20"/>
        </w:rPr>
        <w:fldChar w:fldCharType="separate"/>
      </w:r>
    </w:p>
    <w:p w14:paraId="610D5E3E" w14:textId="38CC4A2E" w:rsidR="009E640D" w:rsidRDefault="00DD3929" w:rsidP="001D4BA5">
      <w:pPr>
        <w:pStyle w:val="Akapitzlist"/>
        <w:numPr>
          <w:ilvl w:val="0"/>
          <w:numId w:val="23"/>
        </w:numPr>
        <w:rPr>
          <w:szCs w:val="20"/>
        </w:rPr>
      </w:pPr>
      <w:r w:rsidRPr="00751886">
        <w:t xml:space="preserve">Działanie </w:t>
      </w:r>
      <w:r>
        <w:rPr>
          <w:noProof/>
        </w:rPr>
        <w:t>91</w:t>
      </w:r>
      <w:r w:rsidRPr="00751886">
        <w:t>. Instrument finansowy – Preferencje dla wytwórców energii elektrycznej w wysokosprawnej kogeneracji.</w:t>
      </w:r>
      <w:r w:rsidR="009E640D">
        <w:rPr>
          <w:szCs w:val="20"/>
        </w:rPr>
        <w:fldChar w:fldCharType="end"/>
      </w:r>
    </w:p>
    <w:p w14:paraId="5ACEE0EF" w14:textId="2755766F" w:rsidR="009E640D" w:rsidRPr="00607584" w:rsidRDefault="009E640D" w:rsidP="001D4BA5">
      <w:pPr>
        <w:pStyle w:val="Akapitzlist"/>
        <w:numPr>
          <w:ilvl w:val="0"/>
          <w:numId w:val="23"/>
        </w:numPr>
        <w:rPr>
          <w:szCs w:val="20"/>
        </w:rPr>
      </w:pPr>
      <w:r w:rsidRPr="00607584">
        <w:rPr>
          <w:szCs w:val="20"/>
        </w:rPr>
        <w:fldChar w:fldCharType="begin"/>
      </w:r>
      <w:r w:rsidRPr="00607584">
        <w:rPr>
          <w:szCs w:val="20"/>
        </w:rPr>
        <w:instrText xml:space="preserve"> REF _Ref157423178 \h </w:instrText>
      </w:r>
      <w:r w:rsidR="00607584">
        <w:rPr>
          <w:szCs w:val="20"/>
        </w:rPr>
        <w:instrText xml:space="preserve"> \* MERGEFORMAT </w:instrText>
      </w:r>
      <w:r w:rsidRPr="00607584">
        <w:rPr>
          <w:szCs w:val="20"/>
        </w:rPr>
      </w:r>
      <w:r w:rsidRPr="00607584">
        <w:rPr>
          <w:szCs w:val="20"/>
        </w:rPr>
        <w:fldChar w:fldCharType="separate"/>
      </w:r>
      <w:r w:rsidR="00DD3929" w:rsidRPr="00DD3929">
        <w:rPr>
          <w:szCs w:val="20"/>
        </w:rPr>
        <w:t xml:space="preserve">Działanie </w:t>
      </w:r>
      <w:r w:rsidR="00DD3929" w:rsidRPr="00DD3929">
        <w:rPr>
          <w:noProof/>
          <w:szCs w:val="20"/>
        </w:rPr>
        <w:t>92</w:t>
      </w:r>
      <w:r w:rsidR="00DD3929" w:rsidRPr="00DD3929">
        <w:rPr>
          <w:szCs w:val="20"/>
        </w:rPr>
        <w:t>. Instrument finansowy – Premia kogeneracyjna.</w:t>
      </w:r>
      <w:r w:rsidRPr="00607584">
        <w:rPr>
          <w:szCs w:val="20"/>
        </w:rPr>
        <w:fldChar w:fldCharType="end"/>
      </w:r>
    </w:p>
    <w:p w14:paraId="56570BB8" w14:textId="50AC3548" w:rsidR="007B2658" w:rsidRPr="00607584" w:rsidRDefault="009E640D" w:rsidP="001D4BA5">
      <w:pPr>
        <w:pStyle w:val="Akapitzlist"/>
        <w:numPr>
          <w:ilvl w:val="0"/>
          <w:numId w:val="23"/>
        </w:numPr>
        <w:rPr>
          <w:szCs w:val="20"/>
        </w:rPr>
      </w:pPr>
      <w:r w:rsidRPr="00607584">
        <w:rPr>
          <w:szCs w:val="20"/>
        </w:rPr>
        <w:fldChar w:fldCharType="begin"/>
      </w:r>
      <w:r w:rsidRPr="00607584">
        <w:rPr>
          <w:szCs w:val="20"/>
        </w:rPr>
        <w:instrText xml:space="preserve"> REF _Ref157423248 \h </w:instrText>
      </w:r>
      <w:r w:rsidR="00607584">
        <w:rPr>
          <w:szCs w:val="20"/>
        </w:rPr>
        <w:instrText xml:space="preserve"> \* MERGEFORMAT </w:instrText>
      </w:r>
      <w:r w:rsidRPr="00607584">
        <w:rPr>
          <w:szCs w:val="20"/>
        </w:rPr>
      </w:r>
      <w:r w:rsidRPr="00607584">
        <w:rPr>
          <w:szCs w:val="20"/>
        </w:rPr>
        <w:fldChar w:fldCharType="separate"/>
      </w:r>
      <w:r w:rsidR="00DD3929" w:rsidRPr="00DD3929">
        <w:rPr>
          <w:szCs w:val="20"/>
        </w:rPr>
        <w:t xml:space="preserve">Działanie </w:t>
      </w:r>
      <w:r w:rsidR="00DD3929" w:rsidRPr="00DD3929">
        <w:rPr>
          <w:noProof/>
          <w:szCs w:val="20"/>
        </w:rPr>
        <w:t>93</w:t>
      </w:r>
      <w:r w:rsidR="00DD3929" w:rsidRPr="00DD3929">
        <w:rPr>
          <w:szCs w:val="20"/>
        </w:rPr>
        <w:t>. Instrument finansowy – Inne programy NFOŚiGW wspierające rozwój kogeneracji.</w:t>
      </w:r>
      <w:r w:rsidRPr="00607584">
        <w:rPr>
          <w:szCs w:val="20"/>
        </w:rPr>
        <w:fldChar w:fldCharType="end"/>
      </w:r>
    </w:p>
    <w:p w14:paraId="0DA4A739" w14:textId="21CC6886" w:rsidR="00607584" w:rsidRPr="00607584" w:rsidRDefault="00607584" w:rsidP="001D4BA5">
      <w:pPr>
        <w:pStyle w:val="Akapitzlist"/>
        <w:numPr>
          <w:ilvl w:val="0"/>
          <w:numId w:val="23"/>
        </w:numPr>
        <w:rPr>
          <w:szCs w:val="20"/>
        </w:rPr>
      </w:pPr>
      <w:r w:rsidRPr="00607584">
        <w:rPr>
          <w:szCs w:val="20"/>
        </w:rPr>
        <w:fldChar w:fldCharType="begin"/>
      </w:r>
      <w:r w:rsidRPr="00607584">
        <w:rPr>
          <w:szCs w:val="20"/>
        </w:rPr>
        <w:instrText xml:space="preserve"> REF _Ref157436208 \h </w:instrText>
      </w:r>
      <w:r>
        <w:rPr>
          <w:szCs w:val="20"/>
        </w:rPr>
        <w:instrText xml:space="preserve"> \* MERGEFORMAT </w:instrText>
      </w:r>
      <w:r w:rsidRPr="00607584">
        <w:rPr>
          <w:szCs w:val="20"/>
        </w:rPr>
      </w:r>
      <w:r w:rsidRPr="00607584">
        <w:rPr>
          <w:szCs w:val="20"/>
        </w:rPr>
        <w:fldChar w:fldCharType="separate"/>
      </w:r>
      <w:r w:rsidR="00DD3929" w:rsidRPr="00DD3929">
        <w:rPr>
          <w:szCs w:val="20"/>
        </w:rPr>
        <w:t xml:space="preserve">Działanie </w:t>
      </w:r>
      <w:r w:rsidR="00DD3929" w:rsidRPr="00DD3929">
        <w:rPr>
          <w:noProof/>
          <w:szCs w:val="20"/>
        </w:rPr>
        <w:t>101</w:t>
      </w:r>
      <w:r w:rsidR="00DD3929" w:rsidRPr="00DD3929">
        <w:rPr>
          <w:szCs w:val="20"/>
        </w:rPr>
        <w:t>. Instrument finansowy – Program NFOŚiGW „Elektroenergetyka – Inteligentna infrastruktura energetyczna”.</w:t>
      </w:r>
      <w:r w:rsidRPr="00607584">
        <w:rPr>
          <w:szCs w:val="20"/>
        </w:rPr>
        <w:fldChar w:fldCharType="end"/>
      </w:r>
    </w:p>
    <w:p w14:paraId="6FA4272D" w14:textId="1F768D8C" w:rsidR="00194F9A" w:rsidRDefault="00194F9A" w:rsidP="001D4BA5">
      <w:pPr>
        <w:pStyle w:val="Akapitzlist"/>
        <w:numPr>
          <w:ilvl w:val="0"/>
          <w:numId w:val="23"/>
        </w:numPr>
        <w:rPr>
          <w:szCs w:val="20"/>
        </w:rPr>
      </w:pPr>
      <w:r>
        <w:rPr>
          <w:szCs w:val="20"/>
        </w:rPr>
        <w:fldChar w:fldCharType="begin"/>
      </w:r>
      <w:r>
        <w:rPr>
          <w:szCs w:val="20"/>
        </w:rPr>
        <w:instrText xml:space="preserve"> REF _Ref157429352 \h </w:instrText>
      </w:r>
      <w:r>
        <w:rPr>
          <w:szCs w:val="20"/>
        </w:rPr>
      </w:r>
      <w:r>
        <w:rPr>
          <w:szCs w:val="20"/>
        </w:rPr>
        <w:fldChar w:fldCharType="separate"/>
      </w:r>
      <w:r w:rsidR="00DD3929" w:rsidRPr="00F12C9E">
        <w:t xml:space="preserve">Działanie </w:t>
      </w:r>
      <w:r w:rsidR="00DD3929">
        <w:rPr>
          <w:noProof/>
        </w:rPr>
        <w:t>112</w:t>
      </w:r>
      <w:r w:rsidR="00DD3929" w:rsidRPr="00F12C9E">
        <w:t>. Rozwój infrastruktury wodorowej.</w:t>
      </w:r>
      <w:r>
        <w:rPr>
          <w:szCs w:val="20"/>
        </w:rPr>
        <w:fldChar w:fldCharType="end"/>
      </w:r>
    </w:p>
    <w:p w14:paraId="773DAEC7" w14:textId="45715B4A" w:rsidR="00194F9A" w:rsidRDefault="00194F9A" w:rsidP="001D4BA5">
      <w:pPr>
        <w:pStyle w:val="Akapitzlist"/>
        <w:numPr>
          <w:ilvl w:val="0"/>
          <w:numId w:val="23"/>
        </w:numPr>
        <w:rPr>
          <w:szCs w:val="20"/>
        </w:rPr>
      </w:pPr>
      <w:r>
        <w:rPr>
          <w:szCs w:val="20"/>
        </w:rPr>
        <w:fldChar w:fldCharType="begin"/>
      </w:r>
      <w:r>
        <w:rPr>
          <w:szCs w:val="20"/>
        </w:rPr>
        <w:instrText xml:space="preserve"> REF _Ref159310020 \h </w:instrText>
      </w:r>
      <w:r>
        <w:rPr>
          <w:szCs w:val="20"/>
        </w:rPr>
      </w:r>
      <w:r>
        <w:rPr>
          <w:szCs w:val="20"/>
        </w:rPr>
        <w:fldChar w:fldCharType="separate"/>
      </w:r>
      <w:r w:rsidR="00DD3929" w:rsidRPr="00BA3E0C">
        <w:t xml:space="preserve">Działanie </w:t>
      </w:r>
      <w:r w:rsidR="00DD3929">
        <w:rPr>
          <w:noProof/>
        </w:rPr>
        <w:t>119</w:t>
      </w:r>
      <w:r w:rsidR="00DD3929" w:rsidRPr="00BA3E0C">
        <w:t>.</w:t>
      </w:r>
      <w:r w:rsidR="00DD3929">
        <w:t xml:space="preserve"> Wdrażanie wielkoskalowej energetyki jądrowej.</w:t>
      </w:r>
      <w:r>
        <w:rPr>
          <w:szCs w:val="20"/>
        </w:rPr>
        <w:fldChar w:fldCharType="end"/>
      </w:r>
    </w:p>
    <w:p w14:paraId="4B1396CB" w14:textId="7EA0D97C" w:rsidR="004A3E80" w:rsidRPr="00C21079" w:rsidRDefault="001039C9" w:rsidP="005A0EA7">
      <w:pPr>
        <w:pStyle w:val="Nagwek4"/>
        <w:rPr>
          <w:color w:val="70AD47" w:themeColor="accent6"/>
        </w:rPr>
      </w:pPr>
      <w:bookmarkStart w:id="45" w:name="_Toc159598290"/>
      <w:bookmarkStart w:id="46" w:name="_Toc179536938"/>
      <w:r>
        <w:rPr>
          <w:color w:val="70AD47" w:themeColor="accent6"/>
        </w:rPr>
        <w:t>R</w:t>
      </w:r>
      <w:r w:rsidR="00014C8E">
        <w:rPr>
          <w:color w:val="70AD47" w:themeColor="accent6"/>
        </w:rPr>
        <w:t>edukcj</w:t>
      </w:r>
      <w:r>
        <w:rPr>
          <w:color w:val="70AD47" w:themeColor="accent6"/>
        </w:rPr>
        <w:t xml:space="preserve">a </w:t>
      </w:r>
      <w:r w:rsidR="00014C8E">
        <w:rPr>
          <w:color w:val="70AD47" w:themeColor="accent6"/>
        </w:rPr>
        <w:t xml:space="preserve">emisji GC </w:t>
      </w:r>
      <w:r w:rsidR="00270892">
        <w:rPr>
          <w:color w:val="70AD47" w:themeColor="accent6"/>
        </w:rPr>
        <w:t>z</w:t>
      </w:r>
      <w:r w:rsidR="00014C8E">
        <w:rPr>
          <w:color w:val="70AD47" w:themeColor="accent6"/>
        </w:rPr>
        <w:t xml:space="preserve"> ciepłownictw</w:t>
      </w:r>
      <w:r w:rsidR="00270892">
        <w:rPr>
          <w:color w:val="70AD47" w:themeColor="accent6"/>
        </w:rPr>
        <w:t>a</w:t>
      </w:r>
      <w:r w:rsidR="00B6570B">
        <w:rPr>
          <w:color w:val="70AD47" w:themeColor="accent6"/>
        </w:rPr>
        <w:t>, w tym rozwój</w:t>
      </w:r>
      <w:r>
        <w:rPr>
          <w:color w:val="70AD47" w:themeColor="accent6"/>
        </w:rPr>
        <w:t> </w:t>
      </w:r>
      <w:r w:rsidR="00B6570B">
        <w:rPr>
          <w:color w:val="70AD47" w:themeColor="accent6"/>
        </w:rPr>
        <w:t>OZE</w:t>
      </w:r>
      <w:bookmarkEnd w:id="45"/>
      <w:bookmarkEnd w:id="46"/>
    </w:p>
    <w:p w14:paraId="551AEF98" w14:textId="5E87B964" w:rsidR="00EF61BE" w:rsidRDefault="00EF61BE" w:rsidP="00EF61BE">
      <w:r>
        <w:t>Ogrzewanie i chłodzenie odpowiada</w:t>
      </w:r>
      <w:r w:rsidR="00D5040C">
        <w:t>ją</w:t>
      </w:r>
      <w:r>
        <w:t xml:space="preserve"> za około połowę zużycia energii zarówno </w:t>
      </w:r>
      <w:r w:rsidR="00952815">
        <w:t>w UE</w:t>
      </w:r>
      <w:r>
        <w:t>, jak i w Polsce. Obejmuje szeroki zakres zastosowań końcowych i technologii w budynkach, przemyśle i</w:t>
      </w:r>
      <w:r w:rsidR="00425F8E">
        <w:t> </w:t>
      </w:r>
      <w:r>
        <w:t>systemach ciepłowniczych lub chłodniczych, dlatego stało się ważnym obszarem określania celów.</w:t>
      </w:r>
    </w:p>
    <w:p w14:paraId="58FBA1A6" w14:textId="17E021B9" w:rsidR="005F43D4" w:rsidRDefault="00EF61BE" w:rsidP="00EF61BE">
      <w:r>
        <w:t xml:space="preserve">Potrzeby cieplne w Polsce pokrywane są w dużej mierze przez systemy ciepłownicze, ale także przez instalacje indywidualne. Głównym źródłem energii pierwotnej w obu przypadkach jest węgiel kamienny. </w:t>
      </w:r>
      <w:r w:rsidR="005F43D4">
        <w:t xml:space="preserve">W 2021 r. Polska określiła cel wycofania węgla z </w:t>
      </w:r>
      <w:r w:rsidR="00FC4631">
        <w:t xml:space="preserve">ogrzewnictwa indywidualnego </w:t>
      </w:r>
      <w:r w:rsidR="005F43D4">
        <w:t>gospodarstw domowych do 2040 r., a na obszarach miejskich nawet do 2030 r.</w:t>
      </w:r>
      <w:r w:rsidR="005F43D4">
        <w:rPr>
          <w:rStyle w:val="Odwoanieprzypisudolnego"/>
          <w:b/>
          <w:bCs/>
        </w:rPr>
        <w:footnoteReference w:id="20"/>
      </w:r>
      <w:r w:rsidR="008F731E">
        <w:t xml:space="preserve"> Aktualne prognozy wskazują, że w 2040 r. popyt gospodarstw domowych na węgiel kamienny będzie wynosił </w:t>
      </w:r>
      <w:r w:rsidR="000D2EC4">
        <w:t>nie</w:t>
      </w:r>
      <w:r w:rsidR="002419F3">
        <w:t>spełna</w:t>
      </w:r>
      <w:r w:rsidR="000D2EC4">
        <w:t xml:space="preserve"> 0,8</w:t>
      </w:r>
      <w:r w:rsidR="008F731E">
        <w:t xml:space="preserve"> mln t, lecz należy się </w:t>
      </w:r>
      <w:r w:rsidR="002C4B5C">
        <w:t>s</w:t>
      </w:r>
      <w:r w:rsidR="008F731E">
        <w:t>podziewać</w:t>
      </w:r>
      <w:r w:rsidR="002C4B5C">
        <w:t>,</w:t>
      </w:r>
      <w:r w:rsidR="008F731E">
        <w:t xml:space="preserve"> że</w:t>
      </w:r>
      <w:r w:rsidR="006D2C23">
        <w:t> </w:t>
      </w:r>
      <w:r w:rsidR="008F731E">
        <w:t xml:space="preserve">nie będzie to popyt generowany przez </w:t>
      </w:r>
      <w:r w:rsidR="003B164D">
        <w:t xml:space="preserve">tzw. </w:t>
      </w:r>
      <w:r w:rsidR="008F731E">
        <w:t>kopciuchy, ale przez najpóźniej zamontowane kotły najwyższych klas</w:t>
      </w:r>
      <w:r w:rsidR="00FC4631">
        <w:t xml:space="preserve"> o wysokiej sprawności i niskiej emisyjności</w:t>
      </w:r>
      <w:r w:rsidR="006D2C23">
        <w:t>, spalające węgiel i węglowe paliwo bezdymne</w:t>
      </w:r>
      <w:r w:rsidR="008F731E">
        <w:t xml:space="preserve">.  </w:t>
      </w:r>
    </w:p>
    <w:p w14:paraId="5C6440D7" w14:textId="192DB8C1" w:rsidR="00EF61BE" w:rsidRDefault="00EF61BE" w:rsidP="00EF61BE">
      <w:r w:rsidRPr="006065DE">
        <w:rPr>
          <w:b/>
          <w:bCs/>
        </w:rPr>
        <w:t>W ciepłownictwie indywidualnym</w:t>
      </w:r>
      <w:r>
        <w:t xml:space="preserve"> trudność w </w:t>
      </w:r>
      <w:r w:rsidR="005F43D4">
        <w:t>odchodzeniu od węgla i</w:t>
      </w:r>
      <w:r w:rsidR="008F731E">
        <w:t xml:space="preserve"> </w:t>
      </w:r>
      <w:r>
        <w:t xml:space="preserve">przyroście OZE stanowi </w:t>
      </w:r>
      <w:r w:rsidRPr="00735102">
        <w:t xml:space="preserve">zastępowanie </w:t>
      </w:r>
      <w:r w:rsidRPr="00735102">
        <w:rPr>
          <w:u w:val="single"/>
        </w:rPr>
        <w:t>istniejących</w:t>
      </w:r>
      <w:r w:rsidRPr="00735102">
        <w:t xml:space="preserve"> instalacji</w:t>
      </w:r>
      <w:r>
        <w:t xml:space="preserve"> węglowych alternatywnymi rozwiązaniami, takimi jak pompy ciepła. Często niezbędna jest głęboka termomodernizacja </w:t>
      </w:r>
      <w:r w:rsidR="00FC4631">
        <w:t xml:space="preserve">starych </w:t>
      </w:r>
      <w:r>
        <w:t>budynk</w:t>
      </w:r>
      <w:r w:rsidR="00351BA1">
        <w:t>ów</w:t>
      </w:r>
      <w:r>
        <w:t xml:space="preserve"> – jej koszt może przewyższać </w:t>
      </w:r>
      <w:r>
        <w:lastRenderedPageBreak/>
        <w:t>oczekiwane efekty lub stan budynku w ogóle ją uniemożliwia.</w:t>
      </w:r>
      <w:r w:rsidR="0070047A">
        <w:t xml:space="preserve"> Jednocześnie od 2025 r. nie jest możliwe dofinasowanie </w:t>
      </w:r>
      <w:r w:rsidR="0063646F">
        <w:t xml:space="preserve">nowych </w:t>
      </w:r>
      <w:r w:rsidR="0070047A">
        <w:t>indywidualnych instalacji opartych o paliwa kopalne, w tym gaz ziemny</w:t>
      </w:r>
      <w:r w:rsidR="0063646F">
        <w:rPr>
          <w:rStyle w:val="Odwoanieprzypisudolnego"/>
        </w:rPr>
        <w:footnoteReference w:id="21"/>
      </w:r>
      <w:r w:rsidR="0070047A">
        <w:t xml:space="preserve">. </w:t>
      </w:r>
      <w:r>
        <w:t xml:space="preserve"> </w:t>
      </w:r>
      <w:r w:rsidR="006D2C23">
        <w:t>Dodatkowo, warunki klimatyczne w Polsce cechują się okresami występowania niskich temperatur w okresach zimowych, przy których rozwiązania oparte wyłącznie o ogrzewanie elektryczne w niedostosowanych termoizolacyjnie budynkach rodzić może wyzwania zarówno w zakresie komfortu cieplnego, jak i ponoszonych kosztów. Nowe budynki, cechują się wyższą efektywnością energetyczną, dlatego takie rozwiązania są korzystne ekonomicznie i</w:t>
      </w:r>
      <w:r w:rsidR="006D7CAC">
        <w:t> </w:t>
      </w:r>
      <w:r w:rsidR="006D2C23">
        <w:t>środowiskowo.</w:t>
      </w:r>
    </w:p>
    <w:p w14:paraId="0D186BA6" w14:textId="378B439D" w:rsidR="00EF61BE" w:rsidRPr="003B164D" w:rsidRDefault="00EF61BE" w:rsidP="00EF61BE">
      <w:pPr>
        <w:rPr>
          <w:u w:val="words"/>
        </w:rPr>
      </w:pPr>
      <w:r>
        <w:t xml:space="preserve">Kluczowym wyzwaniem jest jednak </w:t>
      </w:r>
      <w:r w:rsidR="00486632">
        <w:t>dekarbonizacja</w:t>
      </w:r>
      <w:r>
        <w:t xml:space="preserve"> </w:t>
      </w:r>
      <w:r w:rsidRPr="005F43D4">
        <w:rPr>
          <w:b/>
          <w:bCs/>
        </w:rPr>
        <w:t>systemów ciepłowniczych</w:t>
      </w:r>
      <w:r>
        <w:t xml:space="preserve">, </w:t>
      </w:r>
      <w:r w:rsidR="00A87281">
        <w:t xml:space="preserve">zarówno w dużych </w:t>
      </w:r>
      <w:r>
        <w:t>miastach</w:t>
      </w:r>
      <w:r w:rsidR="00A87281">
        <w:t>, jak i w mniejszych miastach, w których dostępność środków i możliwość ich pozyskania często bywa bardzo ograniczona</w:t>
      </w:r>
      <w:r w:rsidR="003266CE">
        <w:t xml:space="preserve"> ze względu na strukturę </w:t>
      </w:r>
      <w:r w:rsidR="000D2EC4">
        <w:t>własnościową</w:t>
      </w:r>
      <w:r>
        <w:t>. Trudno znaleźć realną alternatywę dla jednostek kogeneracyjnych, które pozwolą na zapewnienie odpowiedniej temperatury nośnika ciepła, a</w:t>
      </w:r>
      <w:r w:rsidR="008B2371">
        <w:t> </w:t>
      </w:r>
      <w:r>
        <w:t>przy tym nie spowodowują wzrostu cen do poziomów nieakceptowalnych przez odbiorców. Możliwe jest wykorzystanie</w:t>
      </w:r>
      <w:r w:rsidR="00486632">
        <w:t xml:space="preserve"> </w:t>
      </w:r>
      <w:r w:rsidR="00486632" w:rsidRPr="00486632">
        <w:t>wysokosprawn</w:t>
      </w:r>
      <w:r w:rsidR="00C67C7A">
        <w:t>ych</w:t>
      </w:r>
      <w:r w:rsidR="00486632" w:rsidRPr="00486632">
        <w:t xml:space="preserve"> pompy ciepła, </w:t>
      </w:r>
      <w:r w:rsidR="00486632">
        <w:t xml:space="preserve">zasilanych np. </w:t>
      </w:r>
      <w:r w:rsidR="00486632" w:rsidRPr="00486632">
        <w:t>panel</w:t>
      </w:r>
      <w:r w:rsidR="00486632">
        <w:t>ami</w:t>
      </w:r>
      <w:r w:rsidR="00486632" w:rsidRPr="00486632">
        <w:t xml:space="preserve"> fotowoltaicz</w:t>
      </w:r>
      <w:r w:rsidR="00486632">
        <w:t>nymi lub energią wiatrową,</w:t>
      </w:r>
      <w:r w:rsidR="00486632" w:rsidRPr="00486632">
        <w:t xml:space="preserve"> </w:t>
      </w:r>
      <w:r w:rsidR="00C67C7A">
        <w:t xml:space="preserve">połączonych z </w:t>
      </w:r>
      <w:r w:rsidR="00486632" w:rsidRPr="00486632">
        <w:t>system</w:t>
      </w:r>
      <w:r w:rsidR="00850D9B">
        <w:t>em</w:t>
      </w:r>
      <w:r w:rsidR="00486632" w:rsidRPr="00486632">
        <w:t xml:space="preserve"> magazynów ciepła,</w:t>
      </w:r>
      <w:r w:rsidR="00486632">
        <w:t xml:space="preserve"> choć są to rozwiązania wymagające wysokich nakładów inwestycyjnych. W</w:t>
      </w:r>
      <w:r w:rsidR="00850D9B">
        <w:t xml:space="preserve"> w</w:t>
      </w:r>
      <w:r w:rsidR="00486632">
        <w:t xml:space="preserve">iększych systemach konieczne </w:t>
      </w:r>
      <w:r w:rsidR="00C67C7A">
        <w:t>jest wówczas dodatkowe źródło stabilne oparte np. gaz ziemny lub biomasę</w:t>
      </w:r>
      <w:r>
        <w:t>. W</w:t>
      </w:r>
      <w:r w:rsidRPr="006227A1">
        <w:rPr>
          <w:b/>
          <w:bCs/>
        </w:rPr>
        <w:t>ykorzystanie geotermii, biomasy i biometanu, czy ciepła odpadowego</w:t>
      </w:r>
      <w:r>
        <w:t xml:space="preserve"> zależne jest od lokalnej dostępności. </w:t>
      </w:r>
      <w:r w:rsidR="003B164D">
        <w:t>W</w:t>
      </w:r>
      <w:r w:rsidR="008B2371">
        <w:t> </w:t>
      </w:r>
      <w:r w:rsidR="003B164D">
        <w:t>przyszłości wsparcie</w:t>
      </w:r>
      <w:r w:rsidR="006227A1">
        <w:t>m</w:t>
      </w:r>
      <w:r w:rsidR="003B164D">
        <w:t xml:space="preserve"> dla systemów ciepłowniczych mogą być także </w:t>
      </w:r>
      <w:r w:rsidR="003B164D" w:rsidRPr="006227A1">
        <w:rPr>
          <w:b/>
          <w:bCs/>
        </w:rPr>
        <w:t>technologie wykorzystujące mieszaninę gazu ziemnego z wodorem</w:t>
      </w:r>
      <w:r w:rsidR="003B164D">
        <w:t>, jak również rozwiązania oparte na wykorzystaniu czystego wodoru jako źród</w:t>
      </w:r>
      <w:r w:rsidR="006D2C23">
        <w:t>ła</w:t>
      </w:r>
      <w:r w:rsidR="003B164D">
        <w:t xml:space="preserve"> energii, </w:t>
      </w:r>
      <w:r w:rsidR="00C67C7A">
        <w:t xml:space="preserve">wykorzystanie biometanu, </w:t>
      </w:r>
      <w:r w:rsidR="003B164D">
        <w:t xml:space="preserve">a także </w:t>
      </w:r>
      <w:r w:rsidR="003B164D" w:rsidRPr="003B164D">
        <w:t>inne rozwiązania pozwalające na współspalanie surowców kopanych z odnawialnymi związkami chemicznymi (np. amoniak)</w:t>
      </w:r>
      <w:r w:rsidR="006227A1">
        <w:t>.</w:t>
      </w:r>
    </w:p>
    <w:p w14:paraId="62451124" w14:textId="46AC1E74" w:rsidR="00EF61BE" w:rsidRDefault="005E16E5" w:rsidP="00EF61BE">
      <w:pPr>
        <w:pStyle w:val="Cele"/>
        <w:spacing w:after="160"/>
        <w:rPr>
          <w:b/>
          <w:bCs/>
        </w:rPr>
      </w:pPr>
      <w:r>
        <w:rPr>
          <w:b/>
          <w:bCs/>
        </w:rPr>
        <w:t xml:space="preserve">Celem jest zapewnienie, aby do </w:t>
      </w:r>
      <w:r w:rsidR="006D2C23">
        <w:rPr>
          <w:b/>
          <w:bCs/>
        </w:rPr>
        <w:t xml:space="preserve">ok. </w:t>
      </w:r>
      <w:r>
        <w:rPr>
          <w:b/>
          <w:bCs/>
        </w:rPr>
        <w:t xml:space="preserve">2040 r. wszystkie potrzeby cieplne w gospodarce byłby pokrywane przez ciepło systemowe </w:t>
      </w:r>
      <w:r w:rsidR="00DD62B7">
        <w:rPr>
          <w:b/>
          <w:bCs/>
        </w:rPr>
        <w:t>oraz</w:t>
      </w:r>
      <w:r>
        <w:rPr>
          <w:b/>
          <w:bCs/>
        </w:rPr>
        <w:t xml:space="preserve"> </w:t>
      </w:r>
      <w:r w:rsidR="00DD62B7">
        <w:rPr>
          <w:b/>
          <w:bCs/>
        </w:rPr>
        <w:t xml:space="preserve">nisko- i </w:t>
      </w:r>
      <w:r>
        <w:rPr>
          <w:b/>
          <w:bCs/>
        </w:rPr>
        <w:t>zeroemisyjne źródła indywidualne.</w:t>
      </w:r>
    </w:p>
    <w:p w14:paraId="055DA56B" w14:textId="0E222FC4" w:rsidR="00EF61BE" w:rsidRDefault="00EF61BE" w:rsidP="005E16E5">
      <w:pPr>
        <w:spacing w:before="360"/>
      </w:pPr>
      <w:r>
        <w:t xml:space="preserve">Dyrektywa RED III </w:t>
      </w:r>
      <w:r w:rsidR="00351BA1">
        <w:t xml:space="preserve">dokonała nieznacznej </w:t>
      </w:r>
      <w:r>
        <w:t>modyfik</w:t>
      </w:r>
      <w:r w:rsidR="00351BA1">
        <w:t>acji</w:t>
      </w:r>
      <w:r>
        <w:t xml:space="preserve"> </w:t>
      </w:r>
      <w:r w:rsidR="00351BA1">
        <w:t>dotychczasowych</w:t>
      </w:r>
      <w:r>
        <w:t xml:space="preserve"> cel</w:t>
      </w:r>
      <w:r w:rsidR="00351BA1">
        <w:t>ów</w:t>
      </w:r>
      <w:r>
        <w:t xml:space="preserve"> w zakresie wykorzystania OZE w ciepłownictwie i chłodnictwie. Każde państwo członkowskie jest zobowiązane</w:t>
      </w:r>
      <w:r w:rsidR="00351BA1">
        <w:t xml:space="preserve"> do</w:t>
      </w:r>
      <w:r>
        <w:t xml:space="preserve"> zwiększania udział</w:t>
      </w:r>
      <w:r w:rsidR="00FC4631">
        <w:t>u</w:t>
      </w:r>
      <w:r>
        <w:t xml:space="preserve"> OZE w tym sektorze </w:t>
      </w:r>
      <w:r w:rsidRPr="00A55065">
        <w:rPr>
          <w:b/>
          <w:bCs/>
        </w:rPr>
        <w:t>o co najmniej 0,8 pkt proc. średniorocznie w okresie 2021–2025 i 1,1 pkt proc. średniorocznie w okresie 2026–2030</w:t>
      </w:r>
      <w:r>
        <w:t>. Państwa UE powinny zadeklarować taki dodatkowy wzrost, aby łącznie UE osiągnęła średni wzrost o 1,8 pkt proc. na poziomie Unii</w:t>
      </w:r>
      <w:r>
        <w:rPr>
          <w:rStyle w:val="Odwoanieprzypisudolnego"/>
        </w:rPr>
        <w:footnoteReference w:id="22"/>
      </w:r>
      <w:r>
        <w:t xml:space="preserve">. </w:t>
      </w:r>
    </w:p>
    <w:p w14:paraId="749FAB2C" w14:textId="4CFF5C52" w:rsidR="00EF61BE" w:rsidRDefault="00EF61BE" w:rsidP="00EF61BE">
      <w:r>
        <w:t>W 2020 r. udział OZE w ciepłownictwie i chłodnictwie w Polsce wyniósł 22,1%, co oznacza, że Polska powinna osiągnąć orientacyjn</w:t>
      </w:r>
      <w:r w:rsidR="006D2C23">
        <w:t>e poziomy:</w:t>
      </w:r>
      <w:r>
        <w:t xml:space="preserve"> 26,1% w 2025 r. i 31,6% w 2030 r. Z analiz wynika, że cel na 2030</w:t>
      </w:r>
      <w:r w:rsidR="00D64602">
        <w:t> </w:t>
      </w:r>
      <w:r>
        <w:t xml:space="preserve">r. zostanie przekroczony.  </w:t>
      </w:r>
    </w:p>
    <w:p w14:paraId="2C76A4C1" w14:textId="304C0BAF" w:rsidR="00EF61BE" w:rsidRDefault="00EF61BE" w:rsidP="00EF61BE">
      <w:pPr>
        <w:pStyle w:val="Cele"/>
      </w:pPr>
      <w:r w:rsidRPr="00B377B2">
        <w:rPr>
          <w:rStyle w:val="CeleZnak"/>
          <w:b/>
        </w:rPr>
        <w:t xml:space="preserve">Polska wyznacza na 2030 r. cel </w:t>
      </w:r>
      <w:r>
        <w:rPr>
          <w:rStyle w:val="CeleZnak"/>
          <w:b/>
        </w:rPr>
        <w:t xml:space="preserve">osiągnięcia </w:t>
      </w:r>
      <w:r w:rsidR="004B162F">
        <w:rPr>
          <w:rStyle w:val="CeleZnak"/>
          <w:b/>
        </w:rPr>
        <w:t>35,4</w:t>
      </w:r>
      <w:r w:rsidRPr="00351BA1">
        <w:rPr>
          <w:b/>
          <w:bCs/>
          <w:szCs w:val="24"/>
        </w:rPr>
        <w:t>%</w:t>
      </w:r>
      <w:r w:rsidRPr="00EE60D1">
        <w:rPr>
          <w:b/>
          <w:bCs/>
        </w:rPr>
        <w:t xml:space="preserve"> udziału OZE w finalnym zużyciu energii w</w:t>
      </w:r>
      <w:r>
        <w:rPr>
          <w:b/>
          <w:bCs/>
        </w:rPr>
        <w:t xml:space="preserve"> ciepłownictwie i chłodnictwie. </w:t>
      </w:r>
      <w:r w:rsidR="004B162F">
        <w:rPr>
          <w:b/>
          <w:bCs/>
        </w:rPr>
        <w:br/>
        <w:t>W perspektywie 2040 r. udział ten może wynieść 62,6%</w:t>
      </w:r>
    </w:p>
    <w:p w14:paraId="15797879" w14:textId="7FCCB9AC" w:rsidR="00E6262E" w:rsidRDefault="005E16E5" w:rsidP="005E16E5">
      <w:r>
        <w:t xml:space="preserve">Dyrektywa RED III określiła także zobowiązania do </w:t>
      </w:r>
      <w:r w:rsidRPr="00735102">
        <w:rPr>
          <w:b/>
          <w:bCs/>
        </w:rPr>
        <w:t>zwiększenia udziału OZE oraz z ciepła odpadowego i chłodu odpadowego w systemach ciepłowniczych i chłodniczych o około 2,2 pkt proc. średniorocznie</w:t>
      </w:r>
      <w:r w:rsidRPr="00735102">
        <w:t xml:space="preserve"> w</w:t>
      </w:r>
      <w:r>
        <w:t> </w:t>
      </w:r>
      <w:r w:rsidRPr="00735102">
        <w:t xml:space="preserve">okresie </w:t>
      </w:r>
      <w:r>
        <w:t>2021–2030</w:t>
      </w:r>
      <w:r>
        <w:rPr>
          <w:rStyle w:val="Odwoanieprzypisudolnego"/>
        </w:rPr>
        <w:footnoteReference w:id="23"/>
      </w:r>
      <w:r>
        <w:t>. Biorąc pod uwagę krajowe uwarunkowania cel ten będzie bardzo trudny do</w:t>
      </w:r>
      <w:r w:rsidR="006D2C23">
        <w:t> </w:t>
      </w:r>
      <w:r>
        <w:t>zrealizowania</w:t>
      </w:r>
      <w:r w:rsidR="00E6262E">
        <w:t>, gdyż przewiduje się, że w szybszym tempie przyrost OZE może następować w ogrzewnictwie indywidualnym</w:t>
      </w:r>
      <w:r>
        <w:t xml:space="preserve">. </w:t>
      </w:r>
    </w:p>
    <w:p w14:paraId="72D74AE0" w14:textId="2A7FC8BE" w:rsidR="00963A02" w:rsidRDefault="00963A02" w:rsidP="005E16E5">
      <w:r>
        <w:t xml:space="preserve">Na rysunku poniżej przedstawiono </w:t>
      </w:r>
      <w:r w:rsidR="007D57DE">
        <w:t>strukturę produkcji ciepła systemowego w perspektywie 2040 r.</w:t>
      </w:r>
    </w:p>
    <w:p w14:paraId="03B8A8CD" w14:textId="7125A59B" w:rsidR="00963A02" w:rsidRPr="00380A7E" w:rsidRDefault="00963A02" w:rsidP="00380A7E">
      <w:pPr>
        <w:pStyle w:val="tyturys"/>
      </w:pPr>
      <w:r>
        <w:rPr>
          <w:noProof/>
        </w:rPr>
        <w:lastRenderedPageBreak/>
        <w:drawing>
          <wp:anchor distT="0" distB="0" distL="114300" distR="114300" simplePos="0" relativeHeight="251879424" behindDoc="0" locked="0" layoutInCell="1" allowOverlap="1" wp14:anchorId="6435E19F" wp14:editId="2FCCFC19">
            <wp:simplePos x="0" y="0"/>
            <wp:positionH relativeFrom="margin">
              <wp:align>left</wp:align>
            </wp:positionH>
            <wp:positionV relativeFrom="paragraph">
              <wp:posOffset>353001</wp:posOffset>
            </wp:positionV>
            <wp:extent cx="5760720" cy="3071495"/>
            <wp:effectExtent l="0" t="0" r="0" b="0"/>
            <wp:wrapTight wrapText="bothSides">
              <wp:wrapPolygon edited="0">
                <wp:start x="0" y="0"/>
                <wp:lineTo x="0" y="21435"/>
                <wp:lineTo x="21500" y="21435"/>
                <wp:lineTo x="21500" y="0"/>
                <wp:lineTo x="0" y="0"/>
              </wp:wrapPolygon>
            </wp:wrapTight>
            <wp:docPr id="1185649770" name="Wykres 1">
              <a:extLst xmlns:a="http://schemas.openxmlformats.org/drawingml/2006/main">
                <a:ext uri="{FF2B5EF4-FFF2-40B4-BE49-F238E27FC236}">
                  <a16:creationId xmlns:a16="http://schemas.microsoft.com/office/drawing/2014/main" id="{BC022FB4-E6E4-9021-4DA6-FE472FF0F75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14:sizeRelH relativeFrom="margin">
              <wp14:pctWidth>0</wp14:pctWidth>
            </wp14:sizeRelH>
            <wp14:sizeRelV relativeFrom="margin">
              <wp14:pctHeight>0</wp14:pctHeight>
            </wp14:sizeRelV>
          </wp:anchor>
        </w:drawing>
      </w:r>
      <w:r w:rsidRPr="00963A02">
        <w:t xml:space="preserve"> </w:t>
      </w:r>
      <w:r>
        <w:t>Produkcja ciepła s</w:t>
      </w:r>
      <w:r w:rsidR="007D57DE">
        <w:t>ystemowego</w:t>
      </w:r>
      <w:r>
        <w:t xml:space="preserve"> w podziale na paliwa</w:t>
      </w:r>
    </w:p>
    <w:p w14:paraId="6D75F965" w14:textId="4B08B3E4" w:rsidR="00AF1EFD" w:rsidRDefault="00E6262E" w:rsidP="00AF1EFD">
      <w:pPr>
        <w:spacing w:before="360"/>
      </w:pPr>
      <w:r>
        <w:t xml:space="preserve">Dyrektywa RED III wskazuje również na konieczność </w:t>
      </w:r>
      <w:r w:rsidR="00291A48">
        <w:t xml:space="preserve">określenia orientacyjnego celu w zakresie udziału OZE </w:t>
      </w:r>
      <w:r w:rsidR="00291A48" w:rsidRPr="00291A48">
        <w:t>w</w:t>
      </w:r>
      <w:r w:rsidR="00AF1EFD">
        <w:t xml:space="preserve"> </w:t>
      </w:r>
      <w:r w:rsidR="00291A48" w:rsidRPr="00291A48">
        <w:t>zużyciu energii końcowej w budynkach w</w:t>
      </w:r>
      <w:r w:rsidR="00AF1EFD">
        <w:t xml:space="preserve"> </w:t>
      </w:r>
      <w:r w:rsidR="00291A48" w:rsidRPr="00291A48">
        <w:t>2030 r</w:t>
      </w:r>
      <w:r w:rsidR="00AF1EFD">
        <w:t>., przy czym na poziomie UE wyznaczono 49%</w:t>
      </w:r>
      <w:r w:rsidR="00291A48">
        <w:rPr>
          <w:rStyle w:val="Odwoanieprzypisudolnego"/>
        </w:rPr>
        <w:footnoteReference w:id="24"/>
      </w:r>
      <w:r w:rsidR="00AF1EFD">
        <w:t>.</w:t>
      </w:r>
      <w:r w:rsidR="00291A48" w:rsidRPr="00291A48">
        <w:t xml:space="preserve"> </w:t>
      </w:r>
    </w:p>
    <w:p w14:paraId="08CF633B" w14:textId="4D6BB3FB" w:rsidR="00D351D9" w:rsidRDefault="00AF1EFD" w:rsidP="00AF1EFD">
      <w:pPr>
        <w:pStyle w:val="Cele"/>
      </w:pPr>
      <w:r>
        <w:t xml:space="preserve">Polska wskazuje orientacyjny cel </w:t>
      </w:r>
      <w:r w:rsidRPr="00AF1EFD">
        <w:rPr>
          <w:b/>
          <w:bCs/>
        </w:rPr>
        <w:t>45% udziału OZE w zużyciu energii w budynkach</w:t>
      </w:r>
      <w:r>
        <w:t xml:space="preserve"> w 2030 r. Prognozy wskazują, że wartość może sięgnąć 72,5% w 2040 r.  </w:t>
      </w:r>
      <w:r w:rsidR="00291A48">
        <w:rPr>
          <w:rStyle w:val="Odwoanieprzypisudolnego"/>
        </w:rPr>
        <w:footnoteReference w:id="25"/>
      </w:r>
    </w:p>
    <w:p w14:paraId="4C25CD5E" w14:textId="2DD1D869" w:rsidR="003535CB" w:rsidRDefault="003535CB" w:rsidP="003535CB">
      <w:r>
        <w:t>Najwięcej energii w budynkach wykorzystywane jest na cele cieplne i chłodnicze (oprócz tego energia elektryczna), dlatego właśnie w tym podrozdziale wskazany został powyższy cel. Kluczową rolę odgrywać będzie biomasa, lecz jej wykorzystanie będzie spadać, a wzrastać będzie energia z pomp ciepła, energia elektryczna z sieci (OZE) oraz wykorzystanie energii słonecznej. Wzrośnie także wykorzystanie w budyniach OZE z sieci, szczególnie ze względu na zazielenianie systemów ciepłowniczych.</w:t>
      </w:r>
    </w:p>
    <w:p w14:paraId="115F055E" w14:textId="3084DA30" w:rsidR="00EF61BE" w:rsidRDefault="009B290D" w:rsidP="00E769EB">
      <w:pPr>
        <w:pStyle w:val="tyturys"/>
        <w:spacing w:before="360"/>
      </w:pPr>
      <w:r>
        <w:rPr>
          <w:noProof/>
        </w:rPr>
        <w:drawing>
          <wp:anchor distT="0" distB="0" distL="114300" distR="114300" simplePos="0" relativeHeight="251833344" behindDoc="0" locked="0" layoutInCell="1" allowOverlap="1" wp14:anchorId="46457ED9" wp14:editId="65F02392">
            <wp:simplePos x="0" y="0"/>
            <wp:positionH relativeFrom="margin">
              <wp:align>left</wp:align>
            </wp:positionH>
            <wp:positionV relativeFrom="paragraph">
              <wp:posOffset>438150</wp:posOffset>
            </wp:positionV>
            <wp:extent cx="5760720" cy="1714500"/>
            <wp:effectExtent l="0" t="0" r="0" b="0"/>
            <wp:wrapTight wrapText="bothSides">
              <wp:wrapPolygon edited="0">
                <wp:start x="0" y="0"/>
                <wp:lineTo x="0" y="21360"/>
                <wp:lineTo x="21500" y="21360"/>
                <wp:lineTo x="21500" y="0"/>
                <wp:lineTo x="0" y="0"/>
              </wp:wrapPolygon>
            </wp:wrapTight>
            <wp:docPr id="828564797" name="Wykres 1">
              <a:extLst xmlns:a="http://schemas.openxmlformats.org/drawingml/2006/main">
                <a:ext uri="{FF2B5EF4-FFF2-40B4-BE49-F238E27FC236}">
                  <a16:creationId xmlns:a16="http://schemas.microsoft.com/office/drawing/2014/main" id="{43F965EC-0516-4D01-A44E-A262172CAD5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14:sizeRelH relativeFrom="margin">
              <wp14:pctWidth>0</wp14:pctWidth>
            </wp14:sizeRelH>
            <wp14:sizeRelV relativeFrom="margin">
              <wp14:pctHeight>0</wp14:pctHeight>
            </wp14:sizeRelV>
          </wp:anchor>
        </w:drawing>
      </w:r>
      <w:r w:rsidR="007E3187" w:rsidRPr="0008327E">
        <w:t xml:space="preserve">Udział OZE </w:t>
      </w:r>
      <w:r w:rsidR="00C03379">
        <w:t xml:space="preserve">w </w:t>
      </w:r>
      <w:r w:rsidR="007E3187">
        <w:t xml:space="preserve">zużyciu energii </w:t>
      </w:r>
      <w:r w:rsidR="007E3187" w:rsidRPr="0008327E">
        <w:t xml:space="preserve">w </w:t>
      </w:r>
      <w:r w:rsidR="007E3187">
        <w:t>ciepłownictwie i chłodnictwie do 2030 r.</w:t>
      </w:r>
    </w:p>
    <w:p w14:paraId="2FD0AB3E" w14:textId="77777777" w:rsidR="00014C8E" w:rsidRDefault="00014C8E" w:rsidP="00F34A58">
      <w:pPr>
        <w:pStyle w:val="Polityka"/>
      </w:pPr>
      <w:r w:rsidRPr="00C46DAA">
        <w:lastRenderedPageBreak/>
        <w:t>POLITYKA</w:t>
      </w:r>
    </w:p>
    <w:p w14:paraId="28C3C937" w14:textId="021FFB76" w:rsidR="003266CE" w:rsidRDefault="005E16E5" w:rsidP="00F25183">
      <w:r>
        <w:t xml:space="preserve">Działania podejmowane w celu zwiększania udziału OZE w ciepłownictwie i chłodnictwie </w:t>
      </w:r>
      <w:r w:rsidRPr="00044D05">
        <w:rPr>
          <w:b/>
          <w:bCs/>
        </w:rPr>
        <w:t>ciepłownictw</w:t>
      </w:r>
      <w:r w:rsidR="000313B4">
        <w:rPr>
          <w:b/>
          <w:bCs/>
        </w:rPr>
        <w:t>ie</w:t>
      </w:r>
      <w:r w:rsidRPr="00044D05">
        <w:rPr>
          <w:b/>
          <w:bCs/>
        </w:rPr>
        <w:t xml:space="preserve"> systemow</w:t>
      </w:r>
      <w:r w:rsidR="000313B4">
        <w:rPr>
          <w:b/>
          <w:bCs/>
        </w:rPr>
        <w:t>ym</w:t>
      </w:r>
      <w:r>
        <w:t xml:space="preserve"> będ</w:t>
      </w:r>
      <w:r w:rsidR="004533E0">
        <w:t>ą</w:t>
      </w:r>
      <w:r>
        <w:t xml:space="preserve"> ukierunkowane na popularyzację wykorzystania </w:t>
      </w:r>
      <w:r w:rsidR="00B609FB" w:rsidRPr="0003047F">
        <w:t>wielkoskalow</w:t>
      </w:r>
      <w:r w:rsidR="00B609FB">
        <w:t>ych</w:t>
      </w:r>
      <w:r w:rsidR="00B609FB" w:rsidRPr="0003047F">
        <w:t xml:space="preserve"> pomp ciepła</w:t>
      </w:r>
      <w:r w:rsidR="00B609FB">
        <w:t xml:space="preserve"> </w:t>
      </w:r>
      <w:r w:rsidR="000313B4">
        <w:t>czy </w:t>
      </w:r>
      <w:r w:rsidR="00B609FB" w:rsidRPr="0003047F">
        <w:t>kotł</w:t>
      </w:r>
      <w:r w:rsidR="00B609FB">
        <w:t>ów</w:t>
      </w:r>
      <w:r w:rsidR="00B609FB" w:rsidRPr="0003047F">
        <w:t xml:space="preserve"> elektrodow</w:t>
      </w:r>
      <w:r w:rsidR="00B609FB">
        <w:t>ych</w:t>
      </w:r>
      <w:r w:rsidR="00B609FB" w:rsidRPr="0003047F">
        <w:t xml:space="preserve"> zasilan</w:t>
      </w:r>
      <w:r w:rsidR="00B609FB">
        <w:t>ych</w:t>
      </w:r>
      <w:r w:rsidR="00B609FB" w:rsidRPr="0003047F">
        <w:t xml:space="preserve"> energią elektryczną z OZE</w:t>
      </w:r>
      <w:r w:rsidR="00B609FB">
        <w:t xml:space="preserve"> – koniecznie </w:t>
      </w:r>
      <w:bookmarkStart w:id="47" w:name="_Hlk175067020"/>
      <w:r w:rsidR="00B609FB">
        <w:t>sprzężonych z różnego rodzaju magazynami ciepła</w:t>
      </w:r>
      <w:r w:rsidR="000313B4">
        <w:t>, jak również</w:t>
      </w:r>
      <w:r w:rsidR="00B609FB">
        <w:t xml:space="preserve"> </w:t>
      </w:r>
      <w:r w:rsidR="000313B4">
        <w:t>wykorzystanie</w:t>
      </w:r>
      <w:r w:rsidR="00B609FB">
        <w:t xml:space="preserve"> </w:t>
      </w:r>
      <w:r w:rsidRPr="0003047F">
        <w:t>ciepł</w:t>
      </w:r>
      <w:r w:rsidR="00044D05">
        <w:t>a</w:t>
      </w:r>
      <w:r w:rsidRPr="0003047F">
        <w:t xml:space="preserve"> odpadowe</w:t>
      </w:r>
      <w:r>
        <w:t>go</w:t>
      </w:r>
      <w:r w:rsidR="000313B4">
        <w:t>,</w:t>
      </w:r>
      <w:r w:rsidRPr="0003047F">
        <w:t xml:space="preserve"> geotermi</w:t>
      </w:r>
      <w:r w:rsidR="004533E0">
        <w:t>i</w:t>
      </w:r>
      <w:r w:rsidR="000313B4">
        <w:t xml:space="preserve"> i</w:t>
      </w:r>
      <w:r w:rsidRPr="0003047F">
        <w:t xml:space="preserve"> </w:t>
      </w:r>
      <w:r>
        <w:t>instalacj</w:t>
      </w:r>
      <w:r w:rsidR="00FC4631">
        <w:t>i</w:t>
      </w:r>
      <w:r>
        <w:t xml:space="preserve"> termicznego przekształcania odpadów</w:t>
      </w:r>
      <w:r w:rsidR="006227A1">
        <w:t xml:space="preserve"> </w:t>
      </w:r>
      <w:bookmarkEnd w:id="47"/>
      <w:r w:rsidR="006227A1">
        <w:t>(również z wychwytem CO</w:t>
      </w:r>
      <w:r w:rsidR="006227A1" w:rsidRPr="006227A1">
        <w:rPr>
          <w:vertAlign w:val="subscript"/>
        </w:rPr>
        <w:t>2</w:t>
      </w:r>
      <w:r w:rsidR="006227A1">
        <w:t>)</w:t>
      </w:r>
      <w:r>
        <w:t xml:space="preserve">. </w:t>
      </w:r>
      <w:r w:rsidR="000313B4">
        <w:t>W najbliższej perspektywie</w:t>
      </w:r>
      <w:r w:rsidR="009042F9">
        <w:t xml:space="preserve"> wciąż ważne pozostaną źródła ciepła oparte o gaz ziemny i biomasę. </w:t>
      </w:r>
      <w:r>
        <w:t>Trzeba podkreślić, że w</w:t>
      </w:r>
      <w:r w:rsidR="004533E0">
        <w:t> </w:t>
      </w:r>
      <w:r>
        <w:t xml:space="preserve">okresie przejściowym, zwłaszcza </w:t>
      </w:r>
      <w:r w:rsidR="004533E0">
        <w:t>w</w:t>
      </w:r>
      <w:r>
        <w:t xml:space="preserve"> dużych miastach</w:t>
      </w:r>
      <w:r w:rsidR="004533E0">
        <w:t>,</w:t>
      </w:r>
      <w:r>
        <w:t xml:space="preserve"> wciąż niezbędne są inwestycje w</w:t>
      </w:r>
      <w:r w:rsidR="004533E0">
        <w:t> </w:t>
      </w:r>
      <w:r>
        <w:t>elektrociepłownie gazowe</w:t>
      </w:r>
      <w:r w:rsidR="003266CE">
        <w:t xml:space="preserve">, choć progresywne wymagania dyrektywy EED w zakresie definicji </w:t>
      </w:r>
      <w:r w:rsidR="003266CE" w:rsidRPr="0026311B">
        <w:rPr>
          <w:i/>
          <w:iCs/>
        </w:rPr>
        <w:t>efektywnego energetyczn</w:t>
      </w:r>
      <w:r w:rsidR="006D2C23">
        <w:rPr>
          <w:i/>
          <w:iCs/>
        </w:rPr>
        <w:t>i</w:t>
      </w:r>
      <w:r w:rsidR="003266CE" w:rsidRPr="0026311B">
        <w:rPr>
          <w:i/>
          <w:iCs/>
        </w:rPr>
        <w:t>e systemu ciepłowniczego</w:t>
      </w:r>
      <w:r w:rsidR="003266CE">
        <w:t xml:space="preserve"> będą wymuszać </w:t>
      </w:r>
      <w:r w:rsidR="003266CE" w:rsidRPr="00787C65">
        <w:t>zaplanowan</w:t>
      </w:r>
      <w:r w:rsidR="003266CE">
        <w:t>ie</w:t>
      </w:r>
      <w:r w:rsidR="003266CE" w:rsidRPr="00787C65">
        <w:t xml:space="preserve"> proces</w:t>
      </w:r>
      <w:r w:rsidR="003266CE">
        <w:t>u ich</w:t>
      </w:r>
      <w:r w:rsidR="003266CE" w:rsidRPr="00787C65">
        <w:t xml:space="preserve"> dekarbonizacji przez wprowadzenie paliw odnawialnych w odpowiedniej proporcji i</w:t>
      </w:r>
      <w:r w:rsidR="00C65C18">
        <w:t xml:space="preserve"> </w:t>
      </w:r>
      <w:r w:rsidR="003266CE" w:rsidRPr="00787C65">
        <w:t>czasie</w:t>
      </w:r>
      <w:r w:rsidR="003266CE">
        <w:t>.</w:t>
      </w:r>
      <w:r w:rsidR="00DF6545" w:rsidRPr="00DF6545">
        <w:t xml:space="preserve"> </w:t>
      </w:r>
      <w:r w:rsidR="00DF6545">
        <w:t>W </w:t>
      </w:r>
      <w:r w:rsidR="00DF6545" w:rsidRPr="0003047F">
        <w:t xml:space="preserve">przyszłości </w:t>
      </w:r>
      <w:r w:rsidR="00DF6545">
        <w:t xml:space="preserve">w ciepłownictwie systemowym </w:t>
      </w:r>
      <w:r w:rsidR="00DF6545" w:rsidRPr="00DF6545">
        <w:t>znaczenie</w:t>
      </w:r>
      <w:r w:rsidR="00DF6545">
        <w:t xml:space="preserve"> może mieć </w:t>
      </w:r>
      <w:r w:rsidR="00DF6545" w:rsidRPr="0003047F">
        <w:t>również wodór</w:t>
      </w:r>
      <w:r w:rsidR="00DF6545">
        <w:t xml:space="preserve"> i jego pochodne</w:t>
      </w:r>
      <w:r w:rsidR="00C65C18">
        <w:t xml:space="preserve"> chemiczne</w:t>
      </w:r>
      <w:r w:rsidR="00DF6545">
        <w:t>,</w:t>
      </w:r>
      <w:r w:rsidR="00DF6545" w:rsidRPr="0003047F">
        <w:t xml:space="preserve"> czy biometan oraz technologie SMR</w:t>
      </w:r>
      <w:r w:rsidR="00DF6545">
        <w:t xml:space="preserve"> pozwalające również na wykorzystanie ciepła odpadowego.</w:t>
      </w:r>
    </w:p>
    <w:p w14:paraId="24FD3A78" w14:textId="1E6A6E32" w:rsidR="00B868A7" w:rsidRDefault="00B868A7" w:rsidP="00F25183">
      <w:r>
        <w:t xml:space="preserve">Wsparcie dla rozwoju wykorzystania ciepła z OZE stanowić mogą także obszary przyspieszonego rozwoju OZE, na których docelowo w krótszych terminach administracyjnych będą mogły powstawać instalacje </w:t>
      </w:r>
      <w:r w:rsidR="007D57DE">
        <w:t xml:space="preserve">OZE </w:t>
      </w:r>
      <w:r>
        <w:t xml:space="preserve">wraz z infrastrukturą towarzyszącą (sieciową i magazynową) – szerzej opisane w </w:t>
      </w:r>
      <w:r w:rsidR="007D57DE">
        <w:t>części</w:t>
      </w:r>
      <w:r>
        <w:t xml:space="preserve"> dotyczącej przyrostu OZE w elektroenergetyce – </w:t>
      </w:r>
      <w:r w:rsidR="005C2642">
        <w:fldChar w:fldCharType="begin"/>
      </w:r>
      <w:r w:rsidR="005C2642">
        <w:instrText xml:space="preserve"> REF _Ref158105628 \n </w:instrText>
      </w:r>
      <w:r w:rsidR="005C2642">
        <w:fldChar w:fldCharType="separate"/>
      </w:r>
      <w:r w:rsidR="00DD3929">
        <w:t>Cel. 1.2.1</w:t>
      </w:r>
      <w:r w:rsidR="005C2642">
        <w:fldChar w:fldCharType="end"/>
      </w:r>
    </w:p>
    <w:p w14:paraId="354A2188" w14:textId="7C61E943" w:rsidR="005E16E5" w:rsidRDefault="00F25183" w:rsidP="00F25183">
      <w:r>
        <w:t>Ważne są także inwestycje w modernizację i rozbudowę systemu dystrybucji ciepła i chłodu, jak również popularyzacja magazynów ciepła i inteligentnych sieci</w:t>
      </w:r>
      <w:r w:rsidR="006D2C23">
        <w:t xml:space="preserve"> ciepłowniczych</w:t>
      </w:r>
      <w:r>
        <w:t xml:space="preserve">. </w:t>
      </w:r>
      <w:r w:rsidR="005E16E5">
        <w:t>Istotne znaczenie w</w:t>
      </w:r>
      <w:r w:rsidR="00FC4631">
        <w:t> </w:t>
      </w:r>
      <w:r w:rsidR="005E16E5">
        <w:t xml:space="preserve">realizacji celu może mieć również szersze zastosowanie łączenia sektora elektroenergetycznego i ciepłowniczych (ang. </w:t>
      </w:r>
      <w:r w:rsidR="005E16E5" w:rsidRPr="00EF1228">
        <w:rPr>
          <w:i/>
          <w:iCs/>
        </w:rPr>
        <w:t>sector coupling</w:t>
      </w:r>
      <w:r w:rsidR="005E16E5">
        <w:t xml:space="preserve">). </w:t>
      </w:r>
    </w:p>
    <w:p w14:paraId="77F53B9D" w14:textId="77F6B4BE" w:rsidR="005E16E5" w:rsidRDefault="006065DE" w:rsidP="005E16E5">
      <w:r>
        <w:t xml:space="preserve">Polska jako priorytet stawia </w:t>
      </w:r>
      <w:r w:rsidRPr="006065DE">
        <w:rPr>
          <w:b/>
          <w:bCs/>
        </w:rPr>
        <w:t>wycofani</w:t>
      </w:r>
      <w:r>
        <w:rPr>
          <w:b/>
          <w:bCs/>
        </w:rPr>
        <w:t>e</w:t>
      </w:r>
      <w:r w:rsidRPr="006065DE">
        <w:rPr>
          <w:b/>
          <w:bCs/>
        </w:rPr>
        <w:t xml:space="preserve"> węgla z </w:t>
      </w:r>
      <w:r w:rsidR="00FC4631">
        <w:rPr>
          <w:b/>
          <w:bCs/>
        </w:rPr>
        <w:t xml:space="preserve">ogrzewnictwa indywidualnego </w:t>
      </w:r>
      <w:r w:rsidRPr="006065DE">
        <w:rPr>
          <w:b/>
          <w:bCs/>
        </w:rPr>
        <w:t>gospodarstw domowych</w:t>
      </w:r>
      <w:r>
        <w:t xml:space="preserve"> (wraz z </w:t>
      </w:r>
      <w:r w:rsidR="00772AFF">
        <w:t xml:space="preserve">postępującą </w:t>
      </w:r>
      <w:r>
        <w:t>termomodernizacją</w:t>
      </w:r>
      <w:r w:rsidR="00772AFF">
        <w:t xml:space="preserve"> budynków</w:t>
      </w:r>
      <w:r>
        <w:t>) do 2040 r.</w:t>
      </w:r>
      <w:r w:rsidR="008F731E">
        <w:t xml:space="preserve">, służąc szczególnie poprawie jakości powietrza. </w:t>
      </w:r>
      <w:r w:rsidR="00044D05">
        <w:t xml:space="preserve">Dekarbonizacja i </w:t>
      </w:r>
      <w:r w:rsidR="005E16E5">
        <w:t>„</w:t>
      </w:r>
      <w:r w:rsidR="00044D05">
        <w:t>z</w:t>
      </w:r>
      <w:r w:rsidR="005E16E5">
        <w:t xml:space="preserve">azielenienie” </w:t>
      </w:r>
      <w:r w:rsidR="005E16E5" w:rsidRPr="00044D05">
        <w:rPr>
          <w:b/>
          <w:bCs/>
        </w:rPr>
        <w:t>ciepłownictwa indywidualnego</w:t>
      </w:r>
      <w:r w:rsidR="005E16E5">
        <w:t xml:space="preserve"> będzie odbywać się w dużej mierze przez popularyzację zastosowania pomp ciepła, sprzężonych z</w:t>
      </w:r>
      <w:r w:rsidR="00044D05">
        <w:t> </w:t>
      </w:r>
      <w:r w:rsidR="005E16E5">
        <w:t>instalacjami fotowoltaicznymi</w:t>
      </w:r>
      <w:r w:rsidR="00C67C7A">
        <w:t xml:space="preserve"> i</w:t>
      </w:r>
      <w:r w:rsidR="00DF6545">
        <w:t> </w:t>
      </w:r>
      <w:r w:rsidR="00C67C7A">
        <w:t>różnego rodzaju magazynami energii</w:t>
      </w:r>
      <w:r w:rsidR="005E16E5">
        <w:t>, w</w:t>
      </w:r>
      <w:r w:rsidR="00772AFF">
        <w:t> </w:t>
      </w:r>
      <w:r w:rsidR="005E16E5">
        <w:t>szczególności w nowych budynkach, ze względu na coraz wyższe wymagania w zakresie charakterystyki energetycznej budynków. Wciąż wykorzystywana będzie biomasa</w:t>
      </w:r>
      <w:r w:rsidR="00C67C7A">
        <w:t xml:space="preserve"> i gaz ziemny</w:t>
      </w:r>
      <w:r w:rsidR="00462E61">
        <w:t xml:space="preserve"> (szczególnie w starszych budynkach)</w:t>
      </w:r>
      <w:r w:rsidR="005E16E5">
        <w:t>,</w:t>
      </w:r>
      <w:r w:rsidR="00C67C7A">
        <w:t xml:space="preserve"> choć dążyć się będzie do tego, aby inne rozwiązania były bardziej atrakcyjne dla odbiorców</w:t>
      </w:r>
      <w:r w:rsidR="005E16E5">
        <w:t xml:space="preserve">. </w:t>
      </w:r>
      <w:r w:rsidR="008F731E">
        <w:t xml:space="preserve">Wzrost wykorzystania OZE w poszczególnych systemach ciepłowniczych będzie również zachętą do przyłączania do sieci nowych budynków. </w:t>
      </w:r>
    </w:p>
    <w:p w14:paraId="0CF9DE7C" w14:textId="32CD8647" w:rsidR="00883ED9" w:rsidRDefault="00883ED9" w:rsidP="00883ED9">
      <w:bookmarkStart w:id="48" w:name="_Hlk159550798"/>
      <w:r>
        <w:t>W związku z reformą systemu EU ETS, polskie ciepłownictwo uzyska dodatkowo 30% bezpłatnych uprawnień do emisji CO</w:t>
      </w:r>
      <w:r w:rsidRPr="0026311B">
        <w:rPr>
          <w:vertAlign w:val="subscript"/>
        </w:rPr>
        <w:t>2</w:t>
      </w:r>
      <w:r>
        <w:t xml:space="preserve">, co powinno zostać wykorzystane jako środki na przyspieszenie dekarbonizacji do 2030 r. W celu rozliczenia uzyskanych środków dokonane będą </w:t>
      </w:r>
      <w:r w:rsidRPr="00883ED9">
        <w:rPr>
          <w:b/>
          <w:bCs/>
        </w:rPr>
        <w:t>zmiany w przepisach określających zasady kształtowania taryf dla ciepła oraz warunki wykorzystania środków finansowych wygenerowanych wskutek przydziału bezpłatnych uprawnień na finansowanie inwestycji</w:t>
      </w:r>
      <w:r>
        <w:t xml:space="preserve"> w celu </w:t>
      </w:r>
      <w:r w:rsidR="00533F62">
        <w:t>dążenia do</w:t>
      </w:r>
      <w:r>
        <w:t xml:space="preserve"> neutralności klimatycznej.</w:t>
      </w:r>
    </w:p>
    <w:bookmarkEnd w:id="48"/>
    <w:p w14:paraId="07328C5B" w14:textId="2EA15305" w:rsidR="00883ED9" w:rsidRPr="000E240E" w:rsidRDefault="00883ED9" w:rsidP="00883ED9">
      <w:r>
        <w:t>Prowadzone będą zmiany regulacji w kierunku ograniczenia barier stosowania OZE w ciepłownictwie, preferencyjnych warunków dla rozwoju systemów ciepłowniczych stosujących OZE, a także położenie nacisku na budowę magazynów ciepła zarówno dobowych, jak i sezonowych w rożnych technologiach, celem pełnej integracji niestabilnych pogodowo źródeł energii odnawialnej w systemach ciepłowniczych.</w:t>
      </w:r>
    </w:p>
    <w:p w14:paraId="15FCF4BE" w14:textId="77777777" w:rsidR="005E16E5" w:rsidRPr="00C46DAA" w:rsidRDefault="005E16E5" w:rsidP="00F34A58">
      <w:pPr>
        <w:pStyle w:val="Polityka"/>
      </w:pPr>
      <w:r w:rsidRPr="00F34A58">
        <w:t>DZIAŁANIA</w:t>
      </w:r>
    </w:p>
    <w:p w14:paraId="2445D67F" w14:textId="3712C796" w:rsidR="005E16E5" w:rsidRPr="00837A1F" w:rsidRDefault="005E16E5" w:rsidP="005E16E5">
      <w:pPr>
        <w:rPr>
          <w:b/>
          <w:bCs/>
        </w:rPr>
      </w:pPr>
      <w:r w:rsidRPr="00837A1F">
        <w:rPr>
          <w:b/>
          <w:bCs/>
        </w:rPr>
        <w:t xml:space="preserve">W odniesieniu do </w:t>
      </w:r>
      <w:r w:rsidR="00620976" w:rsidRPr="00837A1F">
        <w:rPr>
          <w:b/>
          <w:bCs/>
        </w:rPr>
        <w:t>dekarbonizacji</w:t>
      </w:r>
      <w:r w:rsidRPr="00837A1F">
        <w:rPr>
          <w:b/>
          <w:bCs/>
        </w:rPr>
        <w:t xml:space="preserve"> w ciepłownictwie systemowym:</w:t>
      </w:r>
    </w:p>
    <w:p w14:paraId="2A7EFC25" w14:textId="2F5576D6" w:rsidR="005024CE" w:rsidRDefault="005024CE" w:rsidP="008340D5">
      <w:pPr>
        <w:pStyle w:val="Akapitzlist"/>
        <w:numPr>
          <w:ilvl w:val="0"/>
          <w:numId w:val="6"/>
        </w:numPr>
        <w:rPr>
          <w:szCs w:val="20"/>
        </w:rPr>
      </w:pPr>
      <w:r>
        <w:rPr>
          <w:szCs w:val="20"/>
        </w:rPr>
        <w:fldChar w:fldCharType="begin"/>
      </w:r>
      <w:r>
        <w:rPr>
          <w:szCs w:val="20"/>
        </w:rPr>
        <w:instrText xml:space="preserve"> REF _Ref157417713 \h </w:instrText>
      </w:r>
      <w:r>
        <w:rPr>
          <w:szCs w:val="20"/>
        </w:rPr>
      </w:r>
      <w:r>
        <w:rPr>
          <w:szCs w:val="20"/>
        </w:rPr>
        <w:fldChar w:fldCharType="separate"/>
      </w:r>
      <w:r w:rsidR="00DD3929" w:rsidRPr="00F12C9E">
        <w:t xml:space="preserve">Działanie </w:t>
      </w:r>
      <w:r w:rsidR="00DD3929">
        <w:rPr>
          <w:noProof/>
        </w:rPr>
        <w:t>1</w:t>
      </w:r>
      <w:r w:rsidR="00DD3929" w:rsidRPr="00F12C9E">
        <w:t>. Uczestnictwo w systemie handlu emisjami EU-ETS.</w:t>
      </w:r>
      <w:r>
        <w:rPr>
          <w:szCs w:val="20"/>
        </w:rPr>
        <w:fldChar w:fldCharType="end"/>
      </w:r>
    </w:p>
    <w:p w14:paraId="32B39DA2" w14:textId="7F429A3D" w:rsidR="005024CE" w:rsidRDefault="005024CE" w:rsidP="008340D5">
      <w:pPr>
        <w:pStyle w:val="Akapitzlist"/>
        <w:numPr>
          <w:ilvl w:val="0"/>
          <w:numId w:val="6"/>
        </w:numPr>
        <w:rPr>
          <w:szCs w:val="20"/>
        </w:rPr>
      </w:pPr>
      <w:r>
        <w:rPr>
          <w:szCs w:val="20"/>
        </w:rPr>
        <w:fldChar w:fldCharType="begin"/>
      </w:r>
      <w:r>
        <w:rPr>
          <w:szCs w:val="20"/>
        </w:rPr>
        <w:instrText xml:space="preserve"> REF _Ref157420182 \h </w:instrText>
      </w:r>
      <w:r>
        <w:rPr>
          <w:szCs w:val="20"/>
        </w:rPr>
      </w:r>
      <w:r>
        <w:rPr>
          <w:szCs w:val="20"/>
        </w:rPr>
        <w:fldChar w:fldCharType="separate"/>
      </w:r>
      <w:r w:rsidR="00DD3929" w:rsidRPr="00F12C9E">
        <w:t xml:space="preserve">Działanie </w:t>
      </w:r>
      <w:r w:rsidR="00DD3929">
        <w:rPr>
          <w:noProof/>
        </w:rPr>
        <w:t>12</w:t>
      </w:r>
      <w:r w:rsidR="00DD3929" w:rsidRPr="00F12C9E">
        <w:t xml:space="preserve">. Instrument finansowy – Program Priorytetowy NFOŚiGW – </w:t>
      </w:r>
      <w:r w:rsidR="00DD3929">
        <w:t>„</w:t>
      </w:r>
      <w:r w:rsidR="00DD3929" w:rsidRPr="00F12C9E">
        <w:t>Energia Plus</w:t>
      </w:r>
      <w:r w:rsidR="00DD3929">
        <w:t>”</w:t>
      </w:r>
      <w:r w:rsidR="00DD3929" w:rsidRPr="00F12C9E">
        <w:t>.</w:t>
      </w:r>
      <w:r>
        <w:rPr>
          <w:szCs w:val="20"/>
        </w:rPr>
        <w:fldChar w:fldCharType="end"/>
      </w:r>
    </w:p>
    <w:p w14:paraId="1471A165" w14:textId="26BE1661" w:rsidR="005024CE" w:rsidRDefault="005024CE" w:rsidP="008340D5">
      <w:pPr>
        <w:pStyle w:val="Akapitzlist"/>
        <w:numPr>
          <w:ilvl w:val="0"/>
          <w:numId w:val="6"/>
        </w:numPr>
        <w:rPr>
          <w:szCs w:val="20"/>
        </w:rPr>
      </w:pPr>
      <w:r>
        <w:rPr>
          <w:szCs w:val="20"/>
        </w:rPr>
        <w:fldChar w:fldCharType="begin"/>
      </w:r>
      <w:r>
        <w:rPr>
          <w:szCs w:val="20"/>
        </w:rPr>
        <w:instrText xml:space="preserve"> REF _Ref157420191 \h </w:instrText>
      </w:r>
      <w:r>
        <w:rPr>
          <w:szCs w:val="20"/>
        </w:rPr>
      </w:r>
      <w:r>
        <w:rPr>
          <w:szCs w:val="20"/>
        </w:rPr>
        <w:fldChar w:fldCharType="separate"/>
      </w:r>
      <w:r w:rsidR="00DD3929" w:rsidRPr="00F12C9E">
        <w:t xml:space="preserve">Działanie </w:t>
      </w:r>
      <w:r w:rsidR="00DD3929">
        <w:rPr>
          <w:noProof/>
        </w:rPr>
        <w:t>13</w:t>
      </w:r>
      <w:r w:rsidR="00DD3929" w:rsidRPr="00F12C9E">
        <w:t xml:space="preserve">. Instrument finansowy – Program Priorytetowy NFOŚiGW – </w:t>
      </w:r>
      <w:r w:rsidR="00DD3929">
        <w:t>„</w:t>
      </w:r>
      <w:r w:rsidR="00DD3929" w:rsidRPr="00F12C9E">
        <w:t>Polska Geotermia</w:t>
      </w:r>
      <w:r w:rsidR="00DD3929" w:rsidRPr="00BA3E0C">
        <w:rPr>
          <w:szCs w:val="24"/>
        </w:rPr>
        <w:t xml:space="preserve"> </w:t>
      </w:r>
      <w:r w:rsidR="00DD3929" w:rsidRPr="00F12C9E">
        <w:t>Plus</w:t>
      </w:r>
      <w:r w:rsidR="00DD3929">
        <w:t>”</w:t>
      </w:r>
      <w:r w:rsidR="00DD3929" w:rsidRPr="00F12C9E">
        <w:t>.</w:t>
      </w:r>
      <w:r>
        <w:rPr>
          <w:szCs w:val="20"/>
        </w:rPr>
        <w:fldChar w:fldCharType="end"/>
      </w:r>
    </w:p>
    <w:p w14:paraId="79673B00" w14:textId="59E34A0D" w:rsidR="005024CE" w:rsidRDefault="005024CE" w:rsidP="008340D5">
      <w:pPr>
        <w:pStyle w:val="Akapitzlist"/>
        <w:numPr>
          <w:ilvl w:val="0"/>
          <w:numId w:val="6"/>
        </w:numPr>
        <w:rPr>
          <w:szCs w:val="20"/>
        </w:rPr>
      </w:pPr>
      <w:r>
        <w:rPr>
          <w:szCs w:val="20"/>
        </w:rPr>
        <w:lastRenderedPageBreak/>
        <w:fldChar w:fldCharType="begin"/>
      </w:r>
      <w:r>
        <w:rPr>
          <w:szCs w:val="20"/>
        </w:rPr>
        <w:instrText xml:space="preserve"> REF _Ref157422536 \h </w:instrText>
      </w:r>
      <w:r>
        <w:rPr>
          <w:szCs w:val="20"/>
        </w:rPr>
      </w:r>
      <w:r>
        <w:rPr>
          <w:szCs w:val="20"/>
        </w:rPr>
        <w:fldChar w:fldCharType="separate"/>
      </w:r>
      <w:r w:rsidR="00DD3929" w:rsidRPr="00F12C9E">
        <w:t xml:space="preserve">Działanie </w:t>
      </w:r>
      <w:r w:rsidR="00DD3929">
        <w:rPr>
          <w:noProof/>
        </w:rPr>
        <w:t>14</w:t>
      </w:r>
      <w:r w:rsidR="00DD3929" w:rsidRPr="00F12C9E">
        <w:t>. Instrument finansowy – Program Priorytetowy NFOŚiGW – „Ciepłownictwo powiatowe</w:t>
      </w:r>
      <w:r w:rsidR="00DD3929">
        <w:t>”</w:t>
      </w:r>
      <w:r w:rsidR="00DD3929" w:rsidRPr="00F12C9E">
        <w:t>.</w:t>
      </w:r>
      <w:r>
        <w:rPr>
          <w:szCs w:val="20"/>
        </w:rPr>
        <w:fldChar w:fldCharType="end"/>
      </w:r>
    </w:p>
    <w:p w14:paraId="04876F83" w14:textId="5E5E1404" w:rsidR="00B94E2A" w:rsidRDefault="00B94E2A" w:rsidP="008340D5">
      <w:pPr>
        <w:pStyle w:val="Akapitzlist"/>
        <w:numPr>
          <w:ilvl w:val="0"/>
          <w:numId w:val="6"/>
        </w:numPr>
        <w:rPr>
          <w:szCs w:val="20"/>
        </w:rPr>
      </w:pPr>
      <w:r>
        <w:rPr>
          <w:szCs w:val="20"/>
        </w:rPr>
        <w:fldChar w:fldCharType="begin"/>
      </w:r>
      <w:r>
        <w:rPr>
          <w:szCs w:val="20"/>
        </w:rPr>
        <w:instrText xml:space="preserve"> REF _Ref175333245 \h </w:instrText>
      </w:r>
      <w:r>
        <w:rPr>
          <w:szCs w:val="20"/>
        </w:rPr>
      </w:r>
      <w:r>
        <w:rPr>
          <w:szCs w:val="20"/>
        </w:rPr>
        <w:fldChar w:fldCharType="separate"/>
      </w:r>
      <w:r w:rsidR="00DD3929">
        <w:t xml:space="preserve">Działanie </w:t>
      </w:r>
      <w:r w:rsidR="00DD3929">
        <w:rPr>
          <w:noProof/>
        </w:rPr>
        <w:t>15</w:t>
      </w:r>
      <w:r w:rsidR="00DD3929">
        <w:t>. Instrument finansowy – Program Priorytetowy NFOŚiGW – „OZE - źródło ciepła dla ciepłownictwa”.</w:t>
      </w:r>
      <w:r>
        <w:rPr>
          <w:szCs w:val="20"/>
        </w:rPr>
        <w:fldChar w:fldCharType="end"/>
      </w:r>
    </w:p>
    <w:p w14:paraId="5D8F95C4" w14:textId="76DE7C3A" w:rsidR="005024CE" w:rsidRDefault="005024CE" w:rsidP="008340D5">
      <w:pPr>
        <w:pStyle w:val="Akapitzlist"/>
        <w:numPr>
          <w:ilvl w:val="0"/>
          <w:numId w:val="6"/>
        </w:numPr>
        <w:rPr>
          <w:szCs w:val="20"/>
        </w:rPr>
      </w:pPr>
      <w:r>
        <w:rPr>
          <w:szCs w:val="20"/>
        </w:rPr>
        <w:fldChar w:fldCharType="begin"/>
      </w:r>
      <w:r>
        <w:rPr>
          <w:szCs w:val="20"/>
        </w:rPr>
        <w:instrText xml:space="preserve"> REF _Ref157420961 \h </w:instrText>
      </w:r>
      <w:r>
        <w:rPr>
          <w:szCs w:val="20"/>
        </w:rPr>
      </w:r>
      <w:r>
        <w:rPr>
          <w:szCs w:val="20"/>
        </w:rPr>
        <w:fldChar w:fldCharType="separate"/>
      </w:r>
      <w:r w:rsidR="00DD3929" w:rsidRPr="00F12C9E">
        <w:t xml:space="preserve">Działanie </w:t>
      </w:r>
      <w:r w:rsidR="00DD3929">
        <w:rPr>
          <w:noProof/>
        </w:rPr>
        <w:t>17</w:t>
      </w:r>
      <w:r w:rsidR="00DD3929" w:rsidRPr="00F12C9E">
        <w:t>. Instrument finansowy – inne programy NFOŚiGW wspierające rozwój OZE.</w:t>
      </w:r>
      <w:r>
        <w:rPr>
          <w:szCs w:val="20"/>
        </w:rPr>
        <w:fldChar w:fldCharType="end"/>
      </w:r>
    </w:p>
    <w:p w14:paraId="70859BB1" w14:textId="1717B79E" w:rsidR="005024CE" w:rsidRDefault="005024CE" w:rsidP="008340D5">
      <w:pPr>
        <w:pStyle w:val="Akapitzlist"/>
        <w:numPr>
          <w:ilvl w:val="0"/>
          <w:numId w:val="6"/>
        </w:numPr>
        <w:rPr>
          <w:szCs w:val="20"/>
        </w:rPr>
      </w:pPr>
      <w:r>
        <w:rPr>
          <w:szCs w:val="20"/>
        </w:rPr>
        <w:fldChar w:fldCharType="begin"/>
      </w:r>
      <w:r>
        <w:rPr>
          <w:szCs w:val="20"/>
        </w:rPr>
        <w:instrText xml:space="preserve"> REF _Ref157421165 \h </w:instrText>
      </w:r>
      <w:r>
        <w:rPr>
          <w:szCs w:val="20"/>
        </w:rPr>
      </w:r>
      <w:r>
        <w:rPr>
          <w:szCs w:val="20"/>
        </w:rPr>
        <w:fldChar w:fldCharType="separate"/>
      </w:r>
      <w:r w:rsidR="00DD3929" w:rsidRPr="00F12C9E">
        <w:t xml:space="preserve">Działanie </w:t>
      </w:r>
      <w:r w:rsidR="00DD3929">
        <w:rPr>
          <w:noProof/>
        </w:rPr>
        <w:t>18</w:t>
      </w:r>
      <w:r w:rsidR="00DD3929" w:rsidRPr="00F12C9E">
        <w:t xml:space="preserve">. Instrument finansowy – </w:t>
      </w:r>
      <w:r w:rsidR="00DD3929">
        <w:t>i</w:t>
      </w:r>
      <w:r w:rsidR="00DD3929" w:rsidRPr="00F12C9E">
        <w:t>nne instrumenty wspierające rozwój OZE.</w:t>
      </w:r>
      <w:r>
        <w:rPr>
          <w:szCs w:val="20"/>
        </w:rPr>
        <w:fldChar w:fldCharType="end"/>
      </w:r>
    </w:p>
    <w:p w14:paraId="07A434F0" w14:textId="5CCDA624" w:rsidR="005024CE" w:rsidRDefault="005024CE" w:rsidP="008340D5">
      <w:pPr>
        <w:pStyle w:val="Akapitzlist"/>
        <w:numPr>
          <w:ilvl w:val="0"/>
          <w:numId w:val="6"/>
        </w:numPr>
        <w:rPr>
          <w:szCs w:val="20"/>
        </w:rPr>
      </w:pPr>
      <w:r>
        <w:rPr>
          <w:szCs w:val="20"/>
        </w:rPr>
        <w:fldChar w:fldCharType="begin"/>
      </w:r>
      <w:r>
        <w:rPr>
          <w:szCs w:val="20"/>
        </w:rPr>
        <w:instrText xml:space="preserve"> REF _Ref159078615 \h </w:instrText>
      </w:r>
      <w:r>
        <w:rPr>
          <w:szCs w:val="20"/>
        </w:rPr>
      </w:r>
      <w:r>
        <w:rPr>
          <w:szCs w:val="20"/>
        </w:rPr>
        <w:fldChar w:fldCharType="separate"/>
      </w:r>
      <w:r w:rsidR="00DD3929" w:rsidRPr="00F12C9E">
        <w:t xml:space="preserve">Działanie </w:t>
      </w:r>
      <w:r w:rsidR="00DD3929">
        <w:rPr>
          <w:noProof/>
        </w:rPr>
        <w:t>19</w:t>
      </w:r>
      <w:r w:rsidR="00DD3929" w:rsidRPr="00F12C9E">
        <w:t>.</w:t>
      </w:r>
      <w:r w:rsidR="00DD3929">
        <w:t xml:space="preserve"> Krajowy Punkt Kontaktowy do spraw odnawialnych źródeł energii.</w:t>
      </w:r>
      <w:r>
        <w:rPr>
          <w:szCs w:val="20"/>
        </w:rPr>
        <w:fldChar w:fldCharType="end"/>
      </w:r>
    </w:p>
    <w:p w14:paraId="57865FD3" w14:textId="465D047E" w:rsidR="002419F3" w:rsidRDefault="002419F3" w:rsidP="008340D5">
      <w:pPr>
        <w:pStyle w:val="Akapitzlist"/>
        <w:numPr>
          <w:ilvl w:val="0"/>
          <w:numId w:val="6"/>
        </w:numPr>
        <w:rPr>
          <w:szCs w:val="20"/>
        </w:rPr>
      </w:pPr>
      <w:r>
        <w:rPr>
          <w:szCs w:val="20"/>
        </w:rPr>
        <w:fldChar w:fldCharType="begin"/>
      </w:r>
      <w:r>
        <w:rPr>
          <w:szCs w:val="20"/>
        </w:rPr>
        <w:instrText xml:space="preserve"> REF _Ref175558287 </w:instrText>
      </w:r>
      <w:r>
        <w:rPr>
          <w:szCs w:val="20"/>
        </w:rPr>
        <w:fldChar w:fldCharType="separate"/>
      </w:r>
      <w:r w:rsidR="00DD3929">
        <w:t xml:space="preserve">Działanie </w:t>
      </w:r>
      <w:r w:rsidR="00DD3929">
        <w:rPr>
          <w:noProof/>
        </w:rPr>
        <w:t>20</w:t>
      </w:r>
      <w:r w:rsidR="00DD3929">
        <w:t>. Zapewnienie możliwości funkcjonowania obszarów przyspieszonego rozwoju OZE.</w:t>
      </w:r>
      <w:r>
        <w:rPr>
          <w:szCs w:val="20"/>
        </w:rPr>
        <w:fldChar w:fldCharType="end"/>
      </w:r>
    </w:p>
    <w:p w14:paraId="270A7268" w14:textId="103BE08E" w:rsidR="005024CE" w:rsidRDefault="005024CE" w:rsidP="008340D5">
      <w:pPr>
        <w:pStyle w:val="Akapitzlist"/>
        <w:numPr>
          <w:ilvl w:val="0"/>
          <w:numId w:val="6"/>
        </w:numPr>
        <w:rPr>
          <w:szCs w:val="20"/>
        </w:rPr>
      </w:pPr>
      <w:r>
        <w:rPr>
          <w:szCs w:val="20"/>
        </w:rPr>
        <w:fldChar w:fldCharType="begin"/>
      </w:r>
      <w:r>
        <w:rPr>
          <w:szCs w:val="20"/>
        </w:rPr>
        <w:instrText xml:space="preserve"> REF _Ref159083259 \h </w:instrText>
      </w:r>
      <w:r>
        <w:rPr>
          <w:szCs w:val="20"/>
        </w:rPr>
      </w:r>
      <w:r>
        <w:rPr>
          <w:szCs w:val="20"/>
        </w:rPr>
        <w:fldChar w:fldCharType="separate"/>
      </w:r>
      <w:r w:rsidR="00DD3929" w:rsidRPr="00F12C9E">
        <w:t xml:space="preserve">Działanie </w:t>
      </w:r>
      <w:r w:rsidR="00DD3929">
        <w:rPr>
          <w:noProof/>
        </w:rPr>
        <w:t>21</w:t>
      </w:r>
      <w:r w:rsidR="00DD3929" w:rsidRPr="00F12C9E">
        <w:t>. Instrument finansowy – Program Priorytetowy NFOŚiGW – „Nowa Energia”.</w:t>
      </w:r>
      <w:r>
        <w:rPr>
          <w:szCs w:val="20"/>
        </w:rPr>
        <w:fldChar w:fldCharType="end"/>
      </w:r>
    </w:p>
    <w:p w14:paraId="1D548D59" w14:textId="2EED7A28" w:rsidR="005024CE" w:rsidRDefault="005024CE" w:rsidP="008340D5">
      <w:pPr>
        <w:pStyle w:val="Akapitzlist"/>
        <w:numPr>
          <w:ilvl w:val="0"/>
          <w:numId w:val="6"/>
        </w:numPr>
        <w:rPr>
          <w:szCs w:val="20"/>
        </w:rPr>
      </w:pPr>
      <w:r>
        <w:rPr>
          <w:szCs w:val="20"/>
        </w:rPr>
        <w:fldChar w:fldCharType="begin"/>
      </w:r>
      <w:r>
        <w:rPr>
          <w:szCs w:val="20"/>
        </w:rPr>
        <w:instrText xml:space="preserve"> REF _Ref157420391 \h </w:instrText>
      </w:r>
      <w:r>
        <w:rPr>
          <w:szCs w:val="20"/>
        </w:rPr>
      </w:r>
      <w:r>
        <w:rPr>
          <w:szCs w:val="20"/>
        </w:rPr>
        <w:fldChar w:fldCharType="separate"/>
      </w:r>
      <w:r w:rsidR="00DD3929" w:rsidRPr="00F12C9E">
        <w:t xml:space="preserve">Działanie </w:t>
      </w:r>
      <w:r w:rsidR="00DD3929">
        <w:rPr>
          <w:noProof/>
        </w:rPr>
        <w:t>26</w:t>
      </w:r>
      <w:r w:rsidR="00DD3929" w:rsidRPr="00F12C9E">
        <w:t>. Zapewnienie warunków rozwoju SMR.</w:t>
      </w:r>
      <w:r>
        <w:rPr>
          <w:szCs w:val="20"/>
        </w:rPr>
        <w:fldChar w:fldCharType="end"/>
      </w:r>
    </w:p>
    <w:p w14:paraId="2018CD17" w14:textId="35ACA888" w:rsidR="00BC214E" w:rsidRDefault="00BC214E" w:rsidP="008340D5">
      <w:pPr>
        <w:pStyle w:val="Akapitzlist"/>
        <w:numPr>
          <w:ilvl w:val="0"/>
          <w:numId w:val="6"/>
        </w:numPr>
        <w:rPr>
          <w:szCs w:val="20"/>
        </w:rPr>
      </w:pPr>
      <w:r>
        <w:rPr>
          <w:szCs w:val="20"/>
        </w:rPr>
        <w:fldChar w:fldCharType="begin"/>
      </w:r>
      <w:r>
        <w:rPr>
          <w:szCs w:val="20"/>
        </w:rPr>
        <w:instrText xml:space="preserve"> REF _Ref174104352 \h </w:instrText>
      </w:r>
      <w:r>
        <w:rPr>
          <w:szCs w:val="20"/>
        </w:rPr>
      </w:r>
      <w:r>
        <w:rPr>
          <w:szCs w:val="20"/>
        </w:rPr>
        <w:fldChar w:fldCharType="separate"/>
      </w:r>
      <w:r w:rsidR="00DD3929">
        <w:t xml:space="preserve">Działanie </w:t>
      </w:r>
      <w:r w:rsidR="00DD3929">
        <w:rPr>
          <w:noProof/>
        </w:rPr>
        <w:t>9</w:t>
      </w:r>
      <w:r w:rsidR="00DD3929">
        <w:t>.</w:t>
      </w:r>
      <w:r w:rsidR="00DD3929" w:rsidRPr="00845CDE">
        <w:t xml:space="preserve"> </w:t>
      </w:r>
      <w:r w:rsidR="00DD3929">
        <w:t>Pakiet wsparcia rozwoju rynku biogazu i biometanu.</w:t>
      </w:r>
      <w:r>
        <w:rPr>
          <w:szCs w:val="20"/>
        </w:rPr>
        <w:fldChar w:fldCharType="end"/>
      </w:r>
    </w:p>
    <w:p w14:paraId="05FE994B" w14:textId="27663792" w:rsidR="005024CE" w:rsidRDefault="005024CE" w:rsidP="008340D5">
      <w:pPr>
        <w:pStyle w:val="Akapitzlist"/>
        <w:numPr>
          <w:ilvl w:val="0"/>
          <w:numId w:val="6"/>
        </w:numPr>
        <w:rPr>
          <w:szCs w:val="20"/>
        </w:rPr>
      </w:pPr>
      <w:r>
        <w:rPr>
          <w:szCs w:val="20"/>
        </w:rPr>
        <w:fldChar w:fldCharType="begin"/>
      </w:r>
      <w:r>
        <w:rPr>
          <w:szCs w:val="20"/>
        </w:rPr>
        <w:instrText xml:space="preserve"> REF _Ref159343989 \h </w:instrText>
      </w:r>
      <w:r>
        <w:rPr>
          <w:szCs w:val="20"/>
        </w:rPr>
      </w:r>
      <w:r>
        <w:rPr>
          <w:szCs w:val="20"/>
        </w:rPr>
        <w:fldChar w:fldCharType="separate"/>
      </w:r>
      <w:r w:rsidR="00DD3929">
        <w:t xml:space="preserve">Działanie </w:t>
      </w:r>
      <w:r w:rsidR="00DD3929">
        <w:rPr>
          <w:noProof/>
        </w:rPr>
        <w:t>27</w:t>
      </w:r>
      <w:r w:rsidR="00DD3929">
        <w:t>. Wzmocnienie skuteczności wykorzystania środków z bezpłatnych uprawnień do emisji gazów cieplarnianych</w:t>
      </w:r>
      <w:r w:rsidR="00DD3929" w:rsidRPr="00D61C9C">
        <w:t xml:space="preserve"> w ciepłownictwie</w:t>
      </w:r>
      <w:r w:rsidR="00DD3929">
        <w:t>.</w:t>
      </w:r>
      <w:r>
        <w:rPr>
          <w:szCs w:val="20"/>
        </w:rPr>
        <w:fldChar w:fldCharType="end"/>
      </w:r>
    </w:p>
    <w:p w14:paraId="704023A2" w14:textId="5C3B0B10" w:rsidR="00C96C30" w:rsidRDefault="00C96C30" w:rsidP="008340D5">
      <w:pPr>
        <w:pStyle w:val="Akapitzlist"/>
        <w:numPr>
          <w:ilvl w:val="0"/>
          <w:numId w:val="6"/>
        </w:numPr>
        <w:rPr>
          <w:szCs w:val="20"/>
        </w:rPr>
      </w:pPr>
      <w:r>
        <w:rPr>
          <w:szCs w:val="20"/>
        </w:rPr>
        <w:fldChar w:fldCharType="begin"/>
      </w:r>
      <w:r>
        <w:rPr>
          <w:szCs w:val="20"/>
        </w:rPr>
        <w:instrText xml:space="preserve"> REF _Ref157422722 \h </w:instrText>
      </w:r>
      <w:r>
        <w:rPr>
          <w:szCs w:val="20"/>
        </w:rPr>
      </w:r>
      <w:r>
        <w:rPr>
          <w:szCs w:val="20"/>
        </w:rPr>
        <w:fldChar w:fldCharType="separate"/>
      </w:r>
      <w:r w:rsidR="00DD3929" w:rsidRPr="00F12C9E">
        <w:t xml:space="preserve">Działanie </w:t>
      </w:r>
      <w:r w:rsidR="00DD3929">
        <w:rPr>
          <w:noProof/>
        </w:rPr>
        <w:t>66</w:t>
      </w:r>
      <w:r w:rsidR="00DD3929" w:rsidRPr="00F12C9E">
        <w:t xml:space="preserve">. </w:t>
      </w:r>
      <w:r w:rsidR="00DD3929">
        <w:t>Instrument finansowy – Program Priorytetowy NFOŚiGW – „U</w:t>
      </w:r>
      <w:r w:rsidR="00DD3929" w:rsidRPr="00F12C9E">
        <w:t>dostępniania wód termalnych w Polsce</w:t>
      </w:r>
      <w:r w:rsidR="00DD3929">
        <w:t>”</w:t>
      </w:r>
      <w:r w:rsidR="00DD3929" w:rsidRPr="00F12C9E">
        <w:t>.</w:t>
      </w:r>
      <w:r>
        <w:rPr>
          <w:szCs w:val="20"/>
        </w:rPr>
        <w:fldChar w:fldCharType="end"/>
      </w:r>
    </w:p>
    <w:p w14:paraId="35548FFA" w14:textId="731C2FF2" w:rsidR="00C96C30" w:rsidRDefault="00C96C30" w:rsidP="008340D5">
      <w:pPr>
        <w:pStyle w:val="Akapitzlist"/>
        <w:numPr>
          <w:ilvl w:val="0"/>
          <w:numId w:val="6"/>
        </w:numPr>
        <w:rPr>
          <w:szCs w:val="20"/>
        </w:rPr>
      </w:pPr>
      <w:r>
        <w:rPr>
          <w:szCs w:val="20"/>
        </w:rPr>
        <w:fldChar w:fldCharType="begin"/>
      </w:r>
      <w:r>
        <w:rPr>
          <w:szCs w:val="20"/>
        </w:rPr>
        <w:instrText xml:space="preserve"> REF _Ref157421134 \h </w:instrText>
      </w:r>
      <w:r>
        <w:rPr>
          <w:szCs w:val="20"/>
        </w:rPr>
      </w:r>
      <w:r>
        <w:rPr>
          <w:szCs w:val="20"/>
        </w:rPr>
        <w:fldChar w:fldCharType="separate"/>
      </w:r>
      <w:r w:rsidR="00DD3929" w:rsidRPr="00F12C9E">
        <w:t xml:space="preserve">Działanie </w:t>
      </w:r>
      <w:r w:rsidR="00DD3929">
        <w:rPr>
          <w:noProof/>
        </w:rPr>
        <w:t>78</w:t>
      </w:r>
      <w:r w:rsidR="00DD3929" w:rsidRPr="00F12C9E">
        <w:t xml:space="preserve">. Instrument finansowy – Program NFOŚiGW </w:t>
      </w:r>
      <w:r w:rsidR="00DD3929">
        <w:t>„</w:t>
      </w:r>
      <w:r w:rsidR="00DD3929" w:rsidRPr="00F12C9E">
        <w:t>Energia dla wsi</w:t>
      </w:r>
      <w:r w:rsidR="00DD3929">
        <w:t>”</w:t>
      </w:r>
      <w:r w:rsidR="00DD3929" w:rsidRPr="00F12C9E">
        <w:t>.</w:t>
      </w:r>
      <w:r>
        <w:rPr>
          <w:szCs w:val="20"/>
        </w:rPr>
        <w:fldChar w:fldCharType="end"/>
      </w:r>
    </w:p>
    <w:p w14:paraId="07548A53" w14:textId="2A6F3B8F" w:rsidR="00C96C30" w:rsidRDefault="00C96C30" w:rsidP="008340D5">
      <w:pPr>
        <w:pStyle w:val="Akapitzlist"/>
        <w:numPr>
          <w:ilvl w:val="0"/>
          <w:numId w:val="6"/>
        </w:numPr>
        <w:rPr>
          <w:szCs w:val="20"/>
        </w:rPr>
      </w:pPr>
      <w:r>
        <w:rPr>
          <w:szCs w:val="20"/>
        </w:rPr>
        <w:fldChar w:fldCharType="begin"/>
      </w:r>
      <w:r>
        <w:rPr>
          <w:szCs w:val="20"/>
        </w:rPr>
        <w:instrText xml:space="preserve"> REF _Ref157425628 \h </w:instrText>
      </w:r>
      <w:r>
        <w:rPr>
          <w:szCs w:val="20"/>
        </w:rPr>
      </w:r>
      <w:r>
        <w:rPr>
          <w:szCs w:val="20"/>
        </w:rPr>
        <w:fldChar w:fldCharType="separate"/>
      </w:r>
      <w:r w:rsidR="00DD3929" w:rsidRPr="00F12C9E">
        <w:t xml:space="preserve">Działanie </w:t>
      </w:r>
      <w:r w:rsidR="00DD3929">
        <w:rPr>
          <w:noProof/>
        </w:rPr>
        <w:t>79</w:t>
      </w:r>
      <w:r w:rsidR="00DD3929" w:rsidRPr="00F12C9E">
        <w:t xml:space="preserve">. </w:t>
      </w:r>
      <w:r w:rsidR="00DD3929" w:rsidRPr="00010DD9">
        <w:t>Kontrakty różnicowe dla redukcji CO</w:t>
      </w:r>
      <w:r w:rsidR="00DD3929" w:rsidRPr="00010DD9">
        <w:rPr>
          <w:vertAlign w:val="subscript"/>
        </w:rPr>
        <w:t>2</w:t>
      </w:r>
      <w:r w:rsidR="00DD3929" w:rsidRPr="00010DD9">
        <w:t xml:space="preserve"> oraz inne działania wspierające komercyjne projekty CCS i CCU</w:t>
      </w:r>
      <w:r w:rsidR="00DD3929" w:rsidRPr="00F12C9E">
        <w:t>.</w:t>
      </w:r>
      <w:r>
        <w:rPr>
          <w:szCs w:val="20"/>
        </w:rPr>
        <w:fldChar w:fldCharType="end"/>
      </w:r>
    </w:p>
    <w:p w14:paraId="0174935A" w14:textId="77777777" w:rsidR="00BE71C9" w:rsidRPr="00BE71C9" w:rsidRDefault="00C96C30" w:rsidP="00C62AC1">
      <w:pPr>
        <w:pStyle w:val="Akapitzlist"/>
        <w:numPr>
          <w:ilvl w:val="0"/>
          <w:numId w:val="6"/>
        </w:numPr>
      </w:pPr>
      <w:r w:rsidRPr="00BE71C9">
        <w:rPr>
          <w:szCs w:val="20"/>
        </w:rPr>
        <w:fldChar w:fldCharType="begin"/>
      </w:r>
      <w:r w:rsidRPr="00BE71C9">
        <w:rPr>
          <w:szCs w:val="20"/>
        </w:rPr>
        <w:instrText xml:space="preserve"> REF _Ref157421151 \h </w:instrText>
      </w:r>
      <w:r w:rsidRPr="00BE71C9">
        <w:rPr>
          <w:szCs w:val="20"/>
        </w:rPr>
      </w:r>
      <w:r w:rsidRPr="00BE71C9">
        <w:rPr>
          <w:szCs w:val="20"/>
        </w:rPr>
        <w:fldChar w:fldCharType="separate"/>
      </w:r>
      <w:r w:rsidR="00DD3929" w:rsidRPr="00F12C9E">
        <w:t xml:space="preserve">Działanie </w:t>
      </w:r>
      <w:r w:rsidR="00DD3929">
        <w:rPr>
          <w:noProof/>
        </w:rPr>
        <w:t>80</w:t>
      </w:r>
      <w:r w:rsidR="00DD3929" w:rsidRPr="00F12C9E">
        <w:t xml:space="preserve">. Instrument </w:t>
      </w:r>
      <w:r w:rsidR="00DD3929" w:rsidRPr="00586D95">
        <w:t>finansowy</w:t>
      </w:r>
      <w:r w:rsidR="00DD3929" w:rsidRPr="00F12C9E">
        <w:t xml:space="preserve"> – Fundusz Modernizacyjny.</w:t>
      </w:r>
      <w:r w:rsidRPr="00BE71C9">
        <w:rPr>
          <w:szCs w:val="20"/>
        </w:rPr>
        <w:fldChar w:fldCharType="end"/>
      </w:r>
      <w:r w:rsidRPr="00BE71C9">
        <w:rPr>
          <w:szCs w:val="20"/>
        </w:rPr>
        <w:t xml:space="preserve"> </w:t>
      </w:r>
    </w:p>
    <w:p w14:paraId="79090EB3" w14:textId="18C966AC" w:rsidR="00DD3929" w:rsidRDefault="00C96C30" w:rsidP="00C62AC1">
      <w:pPr>
        <w:pStyle w:val="Akapitzlist"/>
        <w:numPr>
          <w:ilvl w:val="0"/>
          <w:numId w:val="6"/>
        </w:numPr>
      </w:pPr>
      <w:r w:rsidRPr="00BE71C9">
        <w:rPr>
          <w:szCs w:val="20"/>
        </w:rPr>
        <w:fldChar w:fldCharType="begin"/>
      </w:r>
      <w:r w:rsidRPr="00BE71C9">
        <w:rPr>
          <w:szCs w:val="20"/>
        </w:rPr>
        <w:instrText xml:space="preserve"> REF _Ref159929134 \h </w:instrText>
      </w:r>
      <w:r w:rsidRPr="00BE71C9">
        <w:rPr>
          <w:szCs w:val="20"/>
        </w:rPr>
      </w:r>
      <w:r w:rsidRPr="00BE71C9">
        <w:rPr>
          <w:szCs w:val="20"/>
        </w:rPr>
        <w:fldChar w:fldCharType="separate"/>
      </w:r>
      <w:r w:rsidR="00DD3929" w:rsidRPr="00F12C9E">
        <w:t xml:space="preserve">Działanie </w:t>
      </w:r>
      <w:r w:rsidR="00DD3929">
        <w:rPr>
          <w:noProof/>
        </w:rPr>
        <w:t>81</w:t>
      </w:r>
      <w:r w:rsidR="00DD3929" w:rsidRPr="00F12C9E">
        <w:t xml:space="preserve">. </w:t>
      </w:r>
      <w:r w:rsidR="00DD3929" w:rsidRPr="00CE5AEF">
        <w:t>Rozwój</w:t>
      </w:r>
      <w:r w:rsidR="00DD3929" w:rsidRPr="00F12C9E">
        <w:t xml:space="preserve"> ekologicznych i efektywnych systemów ciepłowniczych.</w:t>
      </w:r>
      <w:r w:rsidRPr="00BE71C9">
        <w:rPr>
          <w:szCs w:val="20"/>
        </w:rPr>
        <w:fldChar w:fldCharType="end"/>
      </w:r>
      <w:r>
        <w:rPr>
          <w:rFonts w:cs="Calibri"/>
          <w:kern w:val="0"/>
          <w:sz w:val="22"/>
          <w:szCs w:val="20"/>
        </w:rPr>
        <w:fldChar w:fldCharType="begin"/>
      </w:r>
      <w:r w:rsidRPr="00BE71C9">
        <w:rPr>
          <w:szCs w:val="20"/>
        </w:rPr>
        <w:instrText xml:space="preserve"> REF _Ref157423173 \h </w:instrText>
      </w:r>
      <w:r>
        <w:rPr>
          <w:rFonts w:cs="Calibri"/>
          <w:kern w:val="0"/>
          <w:sz w:val="22"/>
          <w:szCs w:val="20"/>
        </w:rPr>
      </w:r>
      <w:r>
        <w:rPr>
          <w:rFonts w:cs="Calibri"/>
          <w:kern w:val="0"/>
          <w:sz w:val="22"/>
          <w:szCs w:val="20"/>
        </w:rPr>
        <w:fldChar w:fldCharType="separate"/>
      </w:r>
    </w:p>
    <w:p w14:paraId="1C073DD9" w14:textId="0A995676" w:rsidR="00C96C30" w:rsidRDefault="00DD3929" w:rsidP="008340D5">
      <w:pPr>
        <w:pStyle w:val="Akapitzlist"/>
        <w:numPr>
          <w:ilvl w:val="0"/>
          <w:numId w:val="6"/>
        </w:numPr>
        <w:rPr>
          <w:szCs w:val="20"/>
        </w:rPr>
      </w:pPr>
      <w:r w:rsidRPr="00751886">
        <w:t xml:space="preserve">Działanie </w:t>
      </w:r>
      <w:r>
        <w:rPr>
          <w:noProof/>
        </w:rPr>
        <w:t>91</w:t>
      </w:r>
      <w:r w:rsidRPr="00751886">
        <w:t>. Instrument finansowy – Preferencje dla wytwórców energii elektrycznej w wysokosprawnej kogeneracji.</w:t>
      </w:r>
      <w:r w:rsidR="00C96C30">
        <w:rPr>
          <w:szCs w:val="20"/>
        </w:rPr>
        <w:fldChar w:fldCharType="end"/>
      </w:r>
    </w:p>
    <w:p w14:paraId="5FB68E92" w14:textId="0EF54C3B" w:rsidR="00C96C30" w:rsidRDefault="00C96C30" w:rsidP="008340D5">
      <w:pPr>
        <w:pStyle w:val="Akapitzlist"/>
        <w:numPr>
          <w:ilvl w:val="0"/>
          <w:numId w:val="6"/>
        </w:numPr>
        <w:rPr>
          <w:szCs w:val="20"/>
        </w:rPr>
      </w:pPr>
      <w:r>
        <w:rPr>
          <w:szCs w:val="20"/>
        </w:rPr>
        <w:fldChar w:fldCharType="begin"/>
      </w:r>
      <w:r>
        <w:rPr>
          <w:szCs w:val="20"/>
        </w:rPr>
        <w:instrText xml:space="preserve"> REF _Ref157423178 \h </w:instrText>
      </w:r>
      <w:r>
        <w:rPr>
          <w:szCs w:val="20"/>
        </w:rPr>
      </w:r>
      <w:r>
        <w:rPr>
          <w:szCs w:val="20"/>
        </w:rPr>
        <w:fldChar w:fldCharType="separate"/>
      </w:r>
      <w:r w:rsidR="00DD3929" w:rsidRPr="00751886">
        <w:t xml:space="preserve">Działanie </w:t>
      </w:r>
      <w:r w:rsidR="00DD3929">
        <w:rPr>
          <w:noProof/>
        </w:rPr>
        <w:t>92</w:t>
      </w:r>
      <w:r w:rsidR="00DD3929" w:rsidRPr="00751886">
        <w:t>. Instrument finansowy – Premia kogeneracyjna.</w:t>
      </w:r>
      <w:r>
        <w:rPr>
          <w:szCs w:val="20"/>
        </w:rPr>
        <w:fldChar w:fldCharType="end"/>
      </w:r>
    </w:p>
    <w:p w14:paraId="4C895532" w14:textId="51E40AF8" w:rsidR="00C96C30" w:rsidRDefault="00AC6A02" w:rsidP="008340D5">
      <w:pPr>
        <w:pStyle w:val="Akapitzlist"/>
        <w:numPr>
          <w:ilvl w:val="0"/>
          <w:numId w:val="6"/>
        </w:numPr>
        <w:rPr>
          <w:szCs w:val="20"/>
        </w:rPr>
      </w:pPr>
      <w:r>
        <w:rPr>
          <w:szCs w:val="20"/>
        </w:rPr>
        <w:fldChar w:fldCharType="begin"/>
      </w:r>
      <w:r>
        <w:rPr>
          <w:szCs w:val="20"/>
        </w:rPr>
        <w:instrText xml:space="preserve"> REF _Ref157423390 \h </w:instrText>
      </w:r>
      <w:r>
        <w:rPr>
          <w:szCs w:val="20"/>
        </w:rPr>
      </w:r>
      <w:r>
        <w:rPr>
          <w:szCs w:val="20"/>
        </w:rPr>
        <w:fldChar w:fldCharType="separate"/>
      </w:r>
      <w:r w:rsidR="00DD3929" w:rsidRPr="00DE3F08">
        <w:t xml:space="preserve">Działanie </w:t>
      </w:r>
      <w:r w:rsidR="00DD3929">
        <w:rPr>
          <w:noProof/>
        </w:rPr>
        <w:t>100</w:t>
      </w:r>
      <w:r w:rsidR="00DD3929" w:rsidRPr="00DE3F08">
        <w:t xml:space="preserve">. </w:t>
      </w:r>
      <w:r w:rsidR="00DD3929" w:rsidRPr="003A4832">
        <w:t>Działania</w:t>
      </w:r>
      <w:r w:rsidR="00DD3929" w:rsidRPr="00DE3F08">
        <w:t xml:space="preserve"> w zakresie digitalizacji sieci ciepłowniczych.</w:t>
      </w:r>
      <w:r>
        <w:rPr>
          <w:szCs w:val="20"/>
        </w:rPr>
        <w:fldChar w:fldCharType="end"/>
      </w:r>
    </w:p>
    <w:p w14:paraId="06A4D1BF" w14:textId="77777777" w:rsidR="00845CDE" w:rsidRDefault="00845CDE" w:rsidP="00845CDE">
      <w:pPr>
        <w:pStyle w:val="Bezodstpw"/>
      </w:pPr>
    </w:p>
    <w:p w14:paraId="0258C1FC" w14:textId="23F4F44F" w:rsidR="00B65E10" w:rsidRPr="00837A1F" w:rsidRDefault="005E16E5" w:rsidP="00B65E10">
      <w:pPr>
        <w:rPr>
          <w:b/>
          <w:bCs/>
          <w:szCs w:val="20"/>
        </w:rPr>
      </w:pPr>
      <w:r w:rsidRPr="00837A1F">
        <w:rPr>
          <w:b/>
          <w:bCs/>
        </w:rPr>
        <w:t xml:space="preserve">W odniesieniu </w:t>
      </w:r>
      <w:r w:rsidR="00620976" w:rsidRPr="00837A1F">
        <w:rPr>
          <w:b/>
          <w:bCs/>
        </w:rPr>
        <w:t xml:space="preserve">do </w:t>
      </w:r>
      <w:r w:rsidRPr="00837A1F">
        <w:rPr>
          <w:b/>
          <w:bCs/>
        </w:rPr>
        <w:t>dekarbonizacji w ciepłownictwie indywidulanym:</w:t>
      </w:r>
    </w:p>
    <w:p w14:paraId="5CDC7BC2" w14:textId="1D7FFF8D" w:rsidR="00AC6A02" w:rsidRDefault="00AC6A02" w:rsidP="008340D5">
      <w:pPr>
        <w:pStyle w:val="Akapitzlist"/>
        <w:numPr>
          <w:ilvl w:val="0"/>
          <w:numId w:val="6"/>
        </w:numPr>
        <w:rPr>
          <w:szCs w:val="20"/>
        </w:rPr>
      </w:pPr>
      <w:r>
        <w:fldChar w:fldCharType="begin"/>
      </w:r>
      <w:r w:rsidRPr="00845CDE">
        <w:instrText xml:space="preserve"> REF _Ref157420175 \h </w:instrText>
      </w:r>
      <w:r>
        <w:fldChar w:fldCharType="separate"/>
      </w:r>
      <w:r w:rsidR="00DD3929" w:rsidRPr="00F12C9E">
        <w:t xml:space="preserve">Działanie </w:t>
      </w:r>
      <w:r w:rsidR="00DD3929">
        <w:rPr>
          <w:noProof/>
        </w:rPr>
        <w:t>11</w:t>
      </w:r>
      <w:r w:rsidR="00DD3929" w:rsidRPr="00F12C9E">
        <w:t xml:space="preserve">. Instrument finansowy – Program Priorytetowy NFOŚiGW – </w:t>
      </w:r>
      <w:r w:rsidR="00DD3929">
        <w:t>„</w:t>
      </w:r>
      <w:r w:rsidR="00DD3929" w:rsidRPr="00F12C9E">
        <w:t>Mój Prąd</w:t>
      </w:r>
      <w:r w:rsidR="00DD3929">
        <w:t>”</w:t>
      </w:r>
      <w:r w:rsidR="00DD3929" w:rsidRPr="00F12C9E">
        <w:t>.</w:t>
      </w:r>
      <w:r>
        <w:rPr>
          <w:szCs w:val="20"/>
        </w:rPr>
        <w:fldChar w:fldCharType="end"/>
      </w:r>
    </w:p>
    <w:p w14:paraId="4A8ABC33" w14:textId="3E07243C" w:rsidR="00AC6A02" w:rsidRDefault="00AC6A02" w:rsidP="008340D5">
      <w:pPr>
        <w:pStyle w:val="Akapitzlist"/>
        <w:numPr>
          <w:ilvl w:val="0"/>
          <w:numId w:val="6"/>
        </w:numPr>
        <w:rPr>
          <w:szCs w:val="20"/>
        </w:rPr>
      </w:pPr>
      <w:r>
        <w:rPr>
          <w:szCs w:val="20"/>
        </w:rPr>
        <w:fldChar w:fldCharType="begin"/>
      </w:r>
      <w:r>
        <w:rPr>
          <w:szCs w:val="20"/>
        </w:rPr>
        <w:instrText xml:space="preserve"> REF _Ref157422636 \h </w:instrText>
      </w:r>
      <w:r>
        <w:rPr>
          <w:szCs w:val="20"/>
        </w:rPr>
      </w:r>
      <w:r>
        <w:rPr>
          <w:szCs w:val="20"/>
        </w:rPr>
        <w:fldChar w:fldCharType="separate"/>
      </w:r>
      <w:r w:rsidR="00DD3929" w:rsidRPr="00F12C9E">
        <w:t xml:space="preserve">Działanie </w:t>
      </w:r>
      <w:r w:rsidR="00DD3929">
        <w:rPr>
          <w:noProof/>
        </w:rPr>
        <w:t>22</w:t>
      </w:r>
      <w:r w:rsidR="00DD3929" w:rsidRPr="00F12C9E">
        <w:t>. Instrument finansowy – Program Priorytetowy NFOŚiGW – „Moje ciepło”.</w:t>
      </w:r>
      <w:r>
        <w:rPr>
          <w:szCs w:val="20"/>
        </w:rPr>
        <w:fldChar w:fldCharType="end"/>
      </w:r>
    </w:p>
    <w:p w14:paraId="769C73B5" w14:textId="4F8ADAFD" w:rsidR="00AC6A02" w:rsidRDefault="00AC6A02" w:rsidP="008340D5">
      <w:pPr>
        <w:pStyle w:val="Akapitzlist"/>
        <w:numPr>
          <w:ilvl w:val="0"/>
          <w:numId w:val="6"/>
        </w:numPr>
        <w:rPr>
          <w:szCs w:val="20"/>
        </w:rPr>
      </w:pPr>
      <w:r>
        <w:rPr>
          <w:szCs w:val="20"/>
        </w:rPr>
        <w:fldChar w:fldCharType="begin"/>
      </w:r>
      <w:r>
        <w:rPr>
          <w:szCs w:val="20"/>
        </w:rPr>
        <w:instrText xml:space="preserve"> REF _Ref157420374 \h </w:instrText>
      </w:r>
      <w:r>
        <w:rPr>
          <w:szCs w:val="20"/>
        </w:rPr>
      </w:r>
      <w:r>
        <w:rPr>
          <w:szCs w:val="20"/>
        </w:rPr>
        <w:fldChar w:fldCharType="separate"/>
      </w:r>
      <w:r w:rsidR="00DD3929" w:rsidRPr="00F12C9E">
        <w:t xml:space="preserve">Działanie </w:t>
      </w:r>
      <w:r w:rsidR="00DD3929">
        <w:rPr>
          <w:noProof/>
        </w:rPr>
        <w:t>23</w:t>
      </w:r>
      <w:r w:rsidR="00DD3929" w:rsidRPr="00F12C9E">
        <w:t>. Instrument finansowy – Program Priorytetowy NFOŚiGW – „Czyste Powietrze</w:t>
      </w:r>
      <w:r w:rsidR="00DD3929">
        <w:t>”</w:t>
      </w:r>
      <w:r w:rsidR="00DD3929" w:rsidRPr="00F12C9E">
        <w:t>.</w:t>
      </w:r>
      <w:r>
        <w:rPr>
          <w:szCs w:val="20"/>
        </w:rPr>
        <w:fldChar w:fldCharType="end"/>
      </w:r>
    </w:p>
    <w:p w14:paraId="3C8BC973" w14:textId="29F0A222" w:rsidR="00AC6A02" w:rsidRDefault="00AC6A02" w:rsidP="008340D5">
      <w:pPr>
        <w:pStyle w:val="Akapitzlist"/>
        <w:numPr>
          <w:ilvl w:val="0"/>
          <w:numId w:val="6"/>
        </w:numPr>
        <w:rPr>
          <w:szCs w:val="20"/>
        </w:rPr>
      </w:pPr>
      <w:r>
        <w:rPr>
          <w:szCs w:val="20"/>
        </w:rPr>
        <w:fldChar w:fldCharType="begin"/>
      </w:r>
      <w:r>
        <w:rPr>
          <w:szCs w:val="20"/>
        </w:rPr>
        <w:instrText xml:space="preserve"> REF _Ref157422650 \h </w:instrText>
      </w:r>
      <w:r>
        <w:rPr>
          <w:szCs w:val="20"/>
        </w:rPr>
      </w:r>
      <w:r>
        <w:rPr>
          <w:szCs w:val="20"/>
        </w:rPr>
        <w:fldChar w:fldCharType="separate"/>
      </w:r>
      <w:r w:rsidR="00DD3929" w:rsidRPr="00F12C9E">
        <w:t xml:space="preserve">Działanie </w:t>
      </w:r>
      <w:r w:rsidR="00DD3929">
        <w:rPr>
          <w:noProof/>
        </w:rPr>
        <w:t>25</w:t>
      </w:r>
      <w:r w:rsidR="00DD3929" w:rsidRPr="00F12C9E">
        <w:t xml:space="preserve">. Instrument finansowy – Program Priorytetowy NFOŚiGW </w:t>
      </w:r>
      <w:r w:rsidR="00DD3929">
        <w:t>– „</w:t>
      </w:r>
      <w:r w:rsidR="00DD3929" w:rsidRPr="00F12C9E">
        <w:t>Ciepłe Mieszkanie</w:t>
      </w:r>
      <w:r w:rsidR="00DD3929">
        <w:t>”</w:t>
      </w:r>
      <w:r w:rsidR="00DD3929" w:rsidRPr="00F12C9E">
        <w:t>.</w:t>
      </w:r>
      <w:r>
        <w:rPr>
          <w:szCs w:val="20"/>
        </w:rPr>
        <w:fldChar w:fldCharType="end"/>
      </w:r>
    </w:p>
    <w:p w14:paraId="0438D0A8" w14:textId="6B7287B2" w:rsidR="00AC6A02" w:rsidRDefault="00AC6A02" w:rsidP="008340D5">
      <w:pPr>
        <w:pStyle w:val="Akapitzlist"/>
        <w:numPr>
          <w:ilvl w:val="0"/>
          <w:numId w:val="6"/>
        </w:numPr>
        <w:rPr>
          <w:szCs w:val="20"/>
        </w:rPr>
      </w:pPr>
      <w:r>
        <w:rPr>
          <w:szCs w:val="20"/>
        </w:rPr>
        <w:fldChar w:fldCharType="begin"/>
      </w:r>
      <w:r>
        <w:rPr>
          <w:szCs w:val="20"/>
        </w:rPr>
        <w:instrText xml:space="preserve"> REF _Ref157428491 \h </w:instrText>
      </w:r>
      <w:r>
        <w:rPr>
          <w:szCs w:val="20"/>
        </w:rPr>
      </w:r>
      <w:r>
        <w:rPr>
          <w:szCs w:val="20"/>
        </w:rPr>
        <w:fldChar w:fldCharType="separate"/>
      </w:r>
      <w:r w:rsidR="00DD3929" w:rsidRPr="00751886">
        <w:t xml:space="preserve">Działanie </w:t>
      </w:r>
      <w:r w:rsidR="00DD3929">
        <w:rPr>
          <w:noProof/>
        </w:rPr>
        <w:t>95</w:t>
      </w:r>
      <w:r w:rsidR="00DD3929" w:rsidRPr="00751886">
        <w:t xml:space="preserve">. Rozwój </w:t>
      </w:r>
      <w:r w:rsidR="00DD3929" w:rsidRPr="00661B98">
        <w:t>audytów</w:t>
      </w:r>
      <w:r w:rsidR="00DD3929" w:rsidRPr="00751886">
        <w:t xml:space="preserve"> energetycznych i systemów zarządzania energią.</w:t>
      </w:r>
      <w:r>
        <w:rPr>
          <w:szCs w:val="20"/>
        </w:rPr>
        <w:fldChar w:fldCharType="end"/>
      </w:r>
    </w:p>
    <w:p w14:paraId="1F486B21" w14:textId="2EEF798A" w:rsidR="00AC6A02" w:rsidRDefault="00AC6A02" w:rsidP="008340D5">
      <w:pPr>
        <w:pStyle w:val="Akapitzlist"/>
        <w:numPr>
          <w:ilvl w:val="0"/>
          <w:numId w:val="6"/>
        </w:numPr>
        <w:rPr>
          <w:szCs w:val="20"/>
        </w:rPr>
      </w:pPr>
      <w:r>
        <w:rPr>
          <w:szCs w:val="20"/>
        </w:rPr>
        <w:fldChar w:fldCharType="begin"/>
      </w:r>
      <w:r>
        <w:rPr>
          <w:szCs w:val="20"/>
        </w:rPr>
        <w:instrText xml:space="preserve"> REF _Ref157423349 \h </w:instrText>
      </w:r>
      <w:r>
        <w:rPr>
          <w:szCs w:val="20"/>
        </w:rPr>
      </w:r>
      <w:r>
        <w:rPr>
          <w:szCs w:val="20"/>
        </w:rPr>
        <w:fldChar w:fldCharType="separate"/>
      </w:r>
      <w:r w:rsidR="00DD3929" w:rsidRPr="00751886">
        <w:t xml:space="preserve">Działanie </w:t>
      </w:r>
      <w:r w:rsidR="00DD3929">
        <w:rPr>
          <w:noProof/>
        </w:rPr>
        <w:t>96</w:t>
      </w:r>
      <w:r w:rsidR="00DD3929" w:rsidRPr="00751886">
        <w:t xml:space="preserve">. Instrument </w:t>
      </w:r>
      <w:r w:rsidR="00DD3929" w:rsidRPr="00661B98">
        <w:t>finansowy</w:t>
      </w:r>
      <w:r w:rsidR="00DD3929" w:rsidRPr="00751886">
        <w:t xml:space="preserve"> – Program Termo.</w:t>
      </w:r>
      <w:r>
        <w:rPr>
          <w:szCs w:val="20"/>
        </w:rPr>
        <w:fldChar w:fldCharType="end"/>
      </w:r>
    </w:p>
    <w:p w14:paraId="1DCAB909" w14:textId="615DA8BB" w:rsidR="00604B88" w:rsidRPr="00AC6A02" w:rsidRDefault="00AC6A02" w:rsidP="00AC6A02">
      <w:pPr>
        <w:pStyle w:val="Akapitzlist"/>
        <w:numPr>
          <w:ilvl w:val="0"/>
          <w:numId w:val="6"/>
        </w:numPr>
        <w:rPr>
          <w:szCs w:val="20"/>
        </w:rPr>
      </w:pPr>
      <w:r>
        <w:rPr>
          <w:szCs w:val="20"/>
        </w:rPr>
        <w:fldChar w:fldCharType="begin"/>
      </w:r>
      <w:r>
        <w:rPr>
          <w:szCs w:val="20"/>
        </w:rPr>
        <w:instrText xml:space="preserve"> REF _Ref157423353 \h </w:instrText>
      </w:r>
      <w:r>
        <w:rPr>
          <w:szCs w:val="20"/>
        </w:rPr>
      </w:r>
      <w:r>
        <w:rPr>
          <w:szCs w:val="20"/>
        </w:rPr>
        <w:fldChar w:fldCharType="separate"/>
      </w:r>
      <w:r w:rsidR="00DD3929" w:rsidRPr="00DE3F08">
        <w:t xml:space="preserve">Działanie </w:t>
      </w:r>
      <w:r w:rsidR="00DD3929">
        <w:rPr>
          <w:noProof/>
        </w:rPr>
        <w:t>97</w:t>
      </w:r>
      <w:r w:rsidR="00DD3929" w:rsidRPr="00DE3F08">
        <w:t xml:space="preserve">. Instrument </w:t>
      </w:r>
      <w:r w:rsidR="00DD3929" w:rsidRPr="00661B98">
        <w:t>finansowy</w:t>
      </w:r>
      <w:r w:rsidR="00DD3929" w:rsidRPr="00DE3F08">
        <w:t xml:space="preserve"> – </w:t>
      </w:r>
      <w:r w:rsidR="00DD3929" w:rsidRPr="00D94B5E">
        <w:t xml:space="preserve">Ulga </w:t>
      </w:r>
      <w:r w:rsidR="00DD3929">
        <w:t>podatkowa dotycząca wydatków poniesionych na termomodernizację jednorodzinnych budynków mieszkalnych</w:t>
      </w:r>
      <w:r w:rsidR="00DD3929" w:rsidRPr="00DE3F08">
        <w:t>.</w:t>
      </w:r>
      <w:r>
        <w:rPr>
          <w:szCs w:val="20"/>
        </w:rPr>
        <w:fldChar w:fldCharType="end"/>
      </w:r>
    </w:p>
    <w:p w14:paraId="641FB85B" w14:textId="1E8929BB" w:rsidR="004E000C" w:rsidRPr="004E000C" w:rsidRDefault="001039C9" w:rsidP="004E000C">
      <w:pPr>
        <w:pStyle w:val="Nagwek4"/>
        <w:rPr>
          <w:color w:val="70AD47" w:themeColor="accent6"/>
        </w:rPr>
      </w:pPr>
      <w:bookmarkStart w:id="49" w:name="_Toc159598291"/>
      <w:bookmarkStart w:id="50" w:name="_Toc179536939"/>
      <w:r>
        <w:rPr>
          <w:color w:val="70AD47" w:themeColor="accent6"/>
        </w:rPr>
        <w:t>R</w:t>
      </w:r>
      <w:r w:rsidR="00C06AA6">
        <w:rPr>
          <w:color w:val="70AD47" w:themeColor="accent6"/>
        </w:rPr>
        <w:t>edukcj</w:t>
      </w:r>
      <w:r>
        <w:rPr>
          <w:color w:val="70AD47" w:themeColor="accent6"/>
        </w:rPr>
        <w:t>a</w:t>
      </w:r>
      <w:r w:rsidR="00C06AA6">
        <w:rPr>
          <w:color w:val="70AD47" w:themeColor="accent6"/>
        </w:rPr>
        <w:t xml:space="preserve"> emisji GC </w:t>
      </w:r>
      <w:r w:rsidR="00270892">
        <w:rPr>
          <w:color w:val="70AD47" w:themeColor="accent6"/>
        </w:rPr>
        <w:t>z</w:t>
      </w:r>
      <w:r w:rsidR="00C06AA6">
        <w:rPr>
          <w:color w:val="70AD47" w:themeColor="accent6"/>
        </w:rPr>
        <w:t xml:space="preserve"> transpor</w:t>
      </w:r>
      <w:r w:rsidR="00270892">
        <w:rPr>
          <w:color w:val="70AD47" w:themeColor="accent6"/>
        </w:rPr>
        <w:t>tu</w:t>
      </w:r>
      <w:r w:rsidR="00FA794D">
        <w:rPr>
          <w:color w:val="70AD47" w:themeColor="accent6"/>
        </w:rPr>
        <w:t>, w tym rozwój OZE i</w:t>
      </w:r>
      <w:r>
        <w:rPr>
          <w:color w:val="70AD47" w:themeColor="accent6"/>
        </w:rPr>
        <w:t> </w:t>
      </w:r>
      <w:r w:rsidR="00FA794D">
        <w:rPr>
          <w:color w:val="70AD47" w:themeColor="accent6"/>
        </w:rPr>
        <w:t>elektromobilności</w:t>
      </w:r>
      <w:bookmarkEnd w:id="49"/>
      <w:bookmarkEnd w:id="50"/>
    </w:p>
    <w:p w14:paraId="6D162EBA" w14:textId="0B8C5CC7" w:rsidR="00080BA7" w:rsidRDefault="00DE0CED" w:rsidP="003829EA">
      <w:r>
        <w:rPr>
          <w:noProof/>
        </w:rPr>
        <mc:AlternateContent>
          <mc:Choice Requires="wps">
            <w:drawing>
              <wp:anchor distT="0" distB="0" distL="114300" distR="114300" simplePos="0" relativeHeight="251642880" behindDoc="1" locked="0" layoutInCell="1" allowOverlap="1" wp14:anchorId="5A025D2A" wp14:editId="2E1195ED">
                <wp:simplePos x="0" y="0"/>
                <wp:positionH relativeFrom="margin">
                  <wp:posOffset>2686050</wp:posOffset>
                </wp:positionH>
                <wp:positionV relativeFrom="paragraph">
                  <wp:posOffset>53340</wp:posOffset>
                </wp:positionV>
                <wp:extent cx="2952750" cy="1045845"/>
                <wp:effectExtent l="19050" t="57150" r="95250" b="59055"/>
                <wp:wrapSquare wrapText="bothSides"/>
                <wp:docPr id="898339589" name="Prostokąt: zaokrąglone rogi 7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952750" cy="1045845"/>
                        </a:xfrm>
                        <a:prstGeom prst="roundRect">
                          <a:avLst>
                            <a:gd name="adj" fmla="val 11857"/>
                          </a:avLst>
                        </a:prstGeom>
                        <a:solidFill>
                          <a:schemeClr val="bg1"/>
                        </a:solidFill>
                        <a:ln w="9525">
                          <a:solidFill>
                            <a:schemeClr val="accent6"/>
                          </a:solidFill>
                        </a:ln>
                        <a:effectLst>
                          <a:outerShdw blurRad="50800" dist="38100" algn="l"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txbx>
                        <w:txbxContent>
                          <w:p w14:paraId="26538FFB" w14:textId="6FA34057" w:rsidR="00B64F0D" w:rsidRPr="004E21CF" w:rsidRDefault="002C382E" w:rsidP="00B64F0D">
                            <w:pPr>
                              <w:pStyle w:val="Ramka"/>
                            </w:pPr>
                            <w:r>
                              <w:t>Z</w:t>
                            </w:r>
                            <w:r w:rsidR="006E709D">
                              <w:t>e</w:t>
                            </w:r>
                            <w:r>
                              <w:t xml:space="preserve"> względu na rodzaj wyróżnia</w:t>
                            </w:r>
                            <w:r w:rsidR="002B4F0C">
                              <w:t xml:space="preserve"> się</w:t>
                            </w:r>
                            <w:r>
                              <w:t xml:space="preserve"> transport </w:t>
                            </w:r>
                            <w:r w:rsidR="00FA794D">
                              <w:t>samoc</w:t>
                            </w:r>
                            <w:r>
                              <w:t>hodowy</w:t>
                            </w:r>
                            <w:r w:rsidR="002B4F0C">
                              <w:t>/drogowy</w:t>
                            </w:r>
                            <w:r>
                              <w:t>, kolejowy, lotniczy, wodny śródlądowy, morski. Podziału dokonuje się także ze względu</w:t>
                            </w:r>
                            <w:r w:rsidR="009D36BF">
                              <w:t xml:space="preserve"> na</w:t>
                            </w:r>
                            <w:r>
                              <w:t xml:space="preserve"> </w:t>
                            </w:r>
                            <w:r w:rsidR="002B4F0C">
                              <w:t>to</w:t>
                            </w:r>
                            <w:r w:rsidR="006E709D">
                              <w:t>,</w:t>
                            </w:r>
                            <w:r w:rsidR="002B4F0C">
                              <w:t xml:space="preserve"> czy ma charakter </w:t>
                            </w:r>
                            <w:r>
                              <w:t>pasaż</w:t>
                            </w:r>
                            <w:r w:rsidR="002B4F0C">
                              <w:t>ers</w:t>
                            </w:r>
                            <w:r>
                              <w:t xml:space="preserve">ki </w:t>
                            </w:r>
                            <w:r w:rsidR="002B4F0C">
                              <w:t xml:space="preserve">czy </w:t>
                            </w:r>
                            <w:r>
                              <w:t>towar</w:t>
                            </w:r>
                            <w:r w:rsidR="002B4F0C">
                              <w:t>owy. Granulacji podlegają także typy pojazdów.</w:t>
                            </w:r>
                            <w:r>
                              <w:t xml:space="preserve"> </w:t>
                            </w:r>
                            <w:r w:rsidR="00FA794D">
                              <w:t xml:space="preserve">  </w:t>
                            </w:r>
                          </w:p>
                        </w:txbxContent>
                      </wps:txbx>
                      <wps:bodyPr rot="0" spcFirstLastPara="0" vertOverflow="overflow" horzOverflow="overflow" vert="horz" wrap="square" lIns="72000" tIns="90000" rIns="72000" bIns="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5A025D2A" id="Prostokąt: zaokrąglone rogi 71" o:spid="_x0000_s1085" style="position:absolute;left:0;text-align:left;margin-left:211.5pt;margin-top:4.2pt;width:232.5pt;height:82.35pt;z-index:-2516736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777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" fillcolor="white [3212]" strokecolor="#70ad47 [3209]">
                <v:stroke joinstyle="miter"/>
                <v:shadow on="t" color="black" opacity="26214f" origin="-.5" offset="3pt,0"/>
                <v:path arrowok="t"/>
                <v:textbox style="mso-fit-shape-to-text:t" inset="2mm,2.5mm,2mm,0">
                  <w:txbxContent>
                    <w:p w14:paraId="26538FFB" w14:textId="6FA34057" w:rsidR="00B64F0D" w:rsidRPr="004E21CF" w:rsidRDefault="002C382E" w:rsidP="00B64F0D">
                      <w:pPr>
                        <w:pStyle w:val="Ramka"/>
                      </w:pPr>
                      <w:r>
                        <w:t>Z</w:t>
                      </w:r>
                      <w:r w:rsidR="006E709D">
                        <w:t>e</w:t>
                      </w:r>
                      <w:r>
                        <w:t xml:space="preserve"> względu na rodzaj wyróżnia</w:t>
                      </w:r>
                      <w:r w:rsidR="002B4F0C">
                        <w:t xml:space="preserve"> się</w:t>
                      </w:r>
                      <w:r>
                        <w:t xml:space="preserve"> transport </w:t>
                      </w:r>
                      <w:r w:rsidR="00FA794D">
                        <w:t>samoc</w:t>
                      </w:r>
                      <w:r>
                        <w:t>hodowy</w:t>
                      </w:r>
                      <w:r w:rsidR="002B4F0C">
                        <w:t>/drogowy</w:t>
                      </w:r>
                      <w:r>
                        <w:t>, kolejowy, lotniczy, wodny śródlądowy, morski. Podziału dokonuje się także ze względu</w:t>
                      </w:r>
                      <w:r w:rsidR="009D36BF">
                        <w:t xml:space="preserve"> na</w:t>
                      </w:r>
                      <w:r>
                        <w:t xml:space="preserve"> </w:t>
                      </w:r>
                      <w:r w:rsidR="002B4F0C">
                        <w:t>to</w:t>
                      </w:r>
                      <w:r w:rsidR="006E709D">
                        <w:t>,</w:t>
                      </w:r>
                      <w:r w:rsidR="002B4F0C">
                        <w:t xml:space="preserve"> czy ma charakter </w:t>
                      </w:r>
                      <w:r>
                        <w:t>pasaż</w:t>
                      </w:r>
                      <w:r w:rsidR="002B4F0C">
                        <w:t>ers</w:t>
                      </w:r>
                      <w:r>
                        <w:t xml:space="preserve">ki </w:t>
                      </w:r>
                      <w:r w:rsidR="002B4F0C">
                        <w:t xml:space="preserve">czy </w:t>
                      </w:r>
                      <w:r>
                        <w:t>towar</w:t>
                      </w:r>
                      <w:r w:rsidR="002B4F0C">
                        <w:t>owy. Granulacji podlegają także typy pojazdów.</w:t>
                      </w:r>
                      <w:r>
                        <w:t xml:space="preserve"> </w:t>
                      </w:r>
                      <w:r w:rsidR="00FA794D">
                        <w:t xml:space="preserve">  </w:t>
                      </w:r>
                    </w:p>
                  </w:txbxContent>
                </v:textbox>
                <w10:wrap type="square" anchorx="margin"/>
              </v:roundrect>
            </w:pict>
          </mc:Fallback>
        </mc:AlternateContent>
      </w:r>
      <w:r w:rsidR="006227A1">
        <w:t>W sektorze t</w:t>
      </w:r>
      <w:r w:rsidR="002B4F0C">
        <w:t>ransport</w:t>
      </w:r>
      <w:r w:rsidR="006227A1">
        <w:t>u</w:t>
      </w:r>
      <w:r w:rsidR="002B4F0C">
        <w:t xml:space="preserve"> wykorzystuje </w:t>
      </w:r>
      <w:r w:rsidR="006227A1">
        <w:t xml:space="preserve">się obecnie </w:t>
      </w:r>
      <w:r w:rsidR="002B4F0C">
        <w:t>głównie paliwa ropopochodne</w:t>
      </w:r>
      <w:r w:rsidR="00A2388F">
        <w:t>. Z</w:t>
      </w:r>
      <w:r w:rsidR="002B4F0C">
        <w:t>e</w:t>
      </w:r>
      <w:r w:rsidR="00507B47">
        <w:t> </w:t>
      </w:r>
      <w:r w:rsidR="002B4F0C">
        <w:t xml:space="preserve">względu na skalę wykorzystania, długi cykl życia pojazdów i potrzebę zapewniania odpowiedniej infrastruktury wprowadzania nośnika energii do pojazdu (np. ładowania elektrycznego lub tankowania wodorem), dekarbonizacja transportu jest </w:t>
      </w:r>
      <w:r w:rsidR="00A43E87">
        <w:t>dużym wyzwaniem</w:t>
      </w:r>
      <w:r w:rsidR="002B4F0C">
        <w:t xml:space="preserve">. </w:t>
      </w:r>
    </w:p>
    <w:p w14:paraId="5E89CC33" w14:textId="4214D4AC" w:rsidR="00080BA7" w:rsidRDefault="00952815" w:rsidP="003829EA">
      <w:r w:rsidRPr="00FC0BEF">
        <w:t xml:space="preserve">Ze względu na uwarunkowania techniczne i koszty, możliwości redukcji emisyjności różnią się w zależności od rodzaju transportu. W </w:t>
      </w:r>
      <w:r w:rsidRPr="00952815">
        <w:rPr>
          <w:b/>
          <w:bCs/>
        </w:rPr>
        <w:t>drogowym transporcie pasażerskim</w:t>
      </w:r>
      <w:r w:rsidRPr="00952815">
        <w:t>,</w:t>
      </w:r>
      <w:r w:rsidRPr="00FC0BEF">
        <w:t xml:space="preserve"> gdzie technologia elektryfikacji jest już dostępna, proces ten można wdrożyć sprawniej. Natomiast </w:t>
      </w:r>
      <w:r w:rsidRPr="00952815">
        <w:rPr>
          <w:b/>
          <w:bCs/>
        </w:rPr>
        <w:t>w drogowym transporcie towarowym</w:t>
      </w:r>
      <w:r w:rsidRPr="00FC0BEF">
        <w:t xml:space="preserve">, gdzie </w:t>
      </w:r>
      <w:r w:rsidRPr="00FC0BEF">
        <w:lastRenderedPageBreak/>
        <w:t>dominują pojazdy ciężkie, napotyka się na większe wyzwania. W obu przypadkach istotna jest także dostępność rynkowa odpowiednich pojazdów</w:t>
      </w:r>
      <w:r>
        <w:t xml:space="preserve">. </w:t>
      </w:r>
      <w:r w:rsidR="00A43E87">
        <w:t>Jeszcze inną specyfiką cechuje się lotnictwo i transport morski, podczas</w:t>
      </w:r>
      <w:r w:rsidR="00A868D5">
        <w:t>,</w:t>
      </w:r>
      <w:r w:rsidR="00A43E87">
        <w:t xml:space="preserve"> gdy kolej jest w znakomitej większości </w:t>
      </w:r>
      <w:r w:rsidR="006B5BFE">
        <w:t>zelektryfikowana</w:t>
      </w:r>
      <w:r w:rsidR="00A43E87">
        <w:t>.</w:t>
      </w:r>
    </w:p>
    <w:p w14:paraId="7EBE92B2" w14:textId="406B0733" w:rsidR="001039C9" w:rsidRDefault="001039C9" w:rsidP="003829EA">
      <w:r w:rsidRPr="00A868D5">
        <w:rPr>
          <w:b/>
          <w:bCs/>
        </w:rPr>
        <w:t>Lotnictwo</w:t>
      </w:r>
      <w:r>
        <w:t xml:space="preserve"> objęte jest system EU ETS, z kole</w:t>
      </w:r>
      <w:r w:rsidR="005E7EAD">
        <w:t>i</w:t>
      </w:r>
      <w:r>
        <w:t xml:space="preserve"> </w:t>
      </w:r>
      <w:r w:rsidRPr="00A868D5">
        <w:rPr>
          <w:b/>
          <w:bCs/>
        </w:rPr>
        <w:t>transport morski</w:t>
      </w:r>
      <w:r w:rsidR="005E7EAD">
        <w:t xml:space="preserve"> został włączony do systemu w 2024 r., zaś </w:t>
      </w:r>
      <w:r w:rsidR="005E7EAD" w:rsidRPr="00A868D5">
        <w:rPr>
          <w:b/>
          <w:bCs/>
        </w:rPr>
        <w:t>t</w:t>
      </w:r>
      <w:r w:rsidRPr="00A868D5">
        <w:rPr>
          <w:b/>
          <w:bCs/>
        </w:rPr>
        <w:t>ransport drogowy</w:t>
      </w:r>
      <w:r>
        <w:t xml:space="preserve"> realizu</w:t>
      </w:r>
      <w:r w:rsidR="005E7EAD">
        <w:t>je</w:t>
      </w:r>
      <w:r>
        <w:t xml:space="preserve"> wkład w tzw. wspólny wysiłek redukcyjny (ES</w:t>
      </w:r>
      <w:r w:rsidR="001A567B">
        <w:t>R</w:t>
      </w:r>
      <w:r>
        <w:t xml:space="preserve"> – non-ETS). Dodatkowo transport drogowy będzie objęty system ETS</w:t>
      </w:r>
      <w:r>
        <w:noBreakHyphen/>
        <w:t>2.</w:t>
      </w:r>
      <w:r w:rsidR="005E7EAD">
        <w:t xml:space="preserve"> Dekarbonizacja t</w:t>
      </w:r>
      <w:r w:rsidR="005E7EAD">
        <w:rPr>
          <w:kern w:val="0"/>
          <w14:ligatures w14:val="none"/>
        </w:rPr>
        <w:t>ransportu lotniczego i transportu morskiego jest szczególnie trudna, bo wykorzystanie energii elektrycznej ma ograniczone zastosowanie i konieczne jest rozwijanie paliw alternatywnych, w tym paliw syntetycznych.</w:t>
      </w:r>
    </w:p>
    <w:p w14:paraId="2A9A34A1" w14:textId="79A878AE" w:rsidR="00A868D5" w:rsidRPr="00C31514" w:rsidRDefault="00A868D5" w:rsidP="00A868D5">
      <w:r w:rsidRPr="00C31514">
        <w:t xml:space="preserve">Dyrektywa </w:t>
      </w:r>
      <w:bookmarkStart w:id="51" w:name="_Hlk158646982"/>
      <w:r w:rsidRPr="00C31514">
        <w:t>2023/959</w:t>
      </w:r>
      <w:bookmarkEnd w:id="51"/>
      <w:r>
        <w:t xml:space="preserve"> </w:t>
      </w:r>
      <w:r>
        <w:softHyphen/>
        <w:t>–</w:t>
      </w:r>
      <w:r w:rsidRPr="00C31514">
        <w:t xml:space="preserve"> EU ETS wprowadza obowiązek nabywania przez </w:t>
      </w:r>
      <w:r w:rsidRPr="00A868D5">
        <w:rPr>
          <w:b/>
          <w:bCs/>
        </w:rPr>
        <w:t>przedsiębiorstwa żeglugowe</w:t>
      </w:r>
      <w:r w:rsidRPr="00C31514">
        <w:t xml:space="preserve"> uprawnień do emisji każdej tony gazu cieplarnianego emitowanej przez statek w odniesieniu do 100% emisji z rejsów wewnątrzunijnych, 50% emisji z rejsów z portów UE do państw trzecich oraz z państw trzecich do portów UE. Obowiązek umarzania uprawnień wprowadzany jest etapowo: 40% – dla zweryfikowanych emisji w 2024 r., 70% w 2025 r. i 100% – od 2026 r.</w:t>
      </w:r>
    </w:p>
    <w:p w14:paraId="2574E638" w14:textId="77777777" w:rsidR="000E03F4" w:rsidRDefault="000E03F4" w:rsidP="006404A9">
      <w:pPr>
        <w:pStyle w:val="Bezodstpw"/>
      </w:pPr>
    </w:p>
    <w:p w14:paraId="6B458D65" w14:textId="2943B49E" w:rsidR="00FA794D" w:rsidRDefault="00FA794D" w:rsidP="00FA794D">
      <w:r>
        <w:t>Dyrektywa RED II wskazywała dla wszystkich państw członkowskich UE zobowiązanie do osiągnięcia 1</w:t>
      </w:r>
      <w:r w:rsidR="00A92592">
        <w:t>4</w:t>
      </w:r>
      <w:r>
        <w:t>% OZE w transporcie. Polska zadeklarowała realizację tego celu, zgłaszając dużą trudność w jego realizacji, podobnie jak szereg innych państw UE. W ramach prac nad rewizją RED II dostrzeżono, że</w:t>
      </w:r>
      <w:r w:rsidR="00A92592">
        <w:t> </w:t>
      </w:r>
      <w:r>
        <w:t xml:space="preserve">dekarbonizacja sektora transportu może okazać się </w:t>
      </w:r>
      <w:r w:rsidR="00A92592">
        <w:t>bardziej optymalna</w:t>
      </w:r>
      <w:r>
        <w:t xml:space="preserve"> poprzez określenie celów dotyczących redukcji emisji z tego sektora niż wykazanie odpowiedniego udziału OZE</w:t>
      </w:r>
      <w:r>
        <w:rPr>
          <w:rStyle w:val="Odwoanieprzypisudolnego"/>
        </w:rPr>
        <w:footnoteReference w:id="26"/>
      </w:r>
      <w:r w:rsidR="000E03F4">
        <w:t>.</w:t>
      </w:r>
    </w:p>
    <w:p w14:paraId="664E4ACF" w14:textId="3AC40E04" w:rsidR="00FA794D" w:rsidRDefault="00FA794D" w:rsidP="00FA794D">
      <w:bookmarkStart w:id="52" w:name="_Hlk159551302"/>
      <w:r>
        <w:t xml:space="preserve">Nowe cele wyznaczone w RED III zobowiązują państwa członkowskie UE do </w:t>
      </w:r>
      <w:r w:rsidRPr="00475F96">
        <w:rPr>
          <w:b/>
          <w:bCs/>
        </w:rPr>
        <w:t>osiągnięcia 29% udziału OZE w końcowym zużyciu energii w sektorze transportu lub redukcji intensywności emisji gazów cieplarnianych z sektora transportu na poziomie 14,5%</w:t>
      </w:r>
      <w:bookmarkEnd w:id="52"/>
      <w:r w:rsidRPr="00475F96">
        <w:t>.</w:t>
      </w:r>
      <w:r>
        <w:rPr>
          <w:rStyle w:val="Odwoanieprzypisudolnego"/>
        </w:rPr>
        <w:footnoteReference w:id="27"/>
      </w:r>
    </w:p>
    <w:p w14:paraId="581529A6" w14:textId="54203D22" w:rsidR="009C03D5" w:rsidRDefault="009C03D5" w:rsidP="00FA794D">
      <w:r>
        <w:t>Realizacja celów dekarbonizacyjnych odbywa się w szczególności poprzez rozwój paliw alternatywnych (elektromobilności</w:t>
      </w:r>
      <w:r w:rsidR="001A567B">
        <w:t>,</w:t>
      </w:r>
      <w:r>
        <w:t xml:space="preserve"> wodoru i jego pochodnych np. amoniaku, paliw syntetycznych)</w:t>
      </w:r>
      <w:r w:rsidR="00C03379">
        <w:t xml:space="preserve"> oraz zwiększanie wykorzystania biopaliw (zwłaszcza II generacji)</w:t>
      </w:r>
      <w:r>
        <w:t xml:space="preserve">, jak również </w:t>
      </w:r>
      <w:r w:rsidR="007734CF">
        <w:t xml:space="preserve">poprzez zwiększanie efektywności pojazdów, czy zwiększanie ruchu pieszego i rowerowego. </w:t>
      </w:r>
    </w:p>
    <w:p w14:paraId="593F4EBE" w14:textId="32028BC1" w:rsidR="006404A9" w:rsidRDefault="006404A9" w:rsidP="006404A9">
      <w:pPr>
        <w:rPr>
          <w:i/>
          <w:iCs/>
        </w:rPr>
      </w:pPr>
      <w:r w:rsidRPr="00A03664">
        <w:t xml:space="preserve">Prognozy wskazują, że w 2030 r. </w:t>
      </w:r>
      <w:r>
        <w:t xml:space="preserve">sektor transportu w </w:t>
      </w:r>
      <w:r w:rsidRPr="00A03664">
        <w:t>Pols</w:t>
      </w:r>
      <w:r>
        <w:t>ce</w:t>
      </w:r>
      <w:r w:rsidRPr="00A03664">
        <w:t xml:space="preserve"> </w:t>
      </w:r>
      <w:r>
        <w:t>będzie emitować więcej niż w 1990 i 2005</w:t>
      </w:r>
      <w:r w:rsidR="001A567B">
        <w:t> </w:t>
      </w:r>
      <w:r>
        <w:t>r., co związane jest ze znacznie większą aktywnością w tym sektorze niż występowała po przemianach gospodarczych. Wyzwaniem jest w pierwszej kolejności wyhamowanie wzrostu emisji.</w:t>
      </w:r>
    </w:p>
    <w:p w14:paraId="19BE86E4" w14:textId="77777777" w:rsidR="00464D06" w:rsidRDefault="00464D06" w:rsidP="006404A9">
      <w:pPr>
        <w:pStyle w:val="Bezodstpw"/>
      </w:pPr>
    </w:p>
    <w:p w14:paraId="04BEDEFE" w14:textId="12EF5B1F" w:rsidR="00464D06" w:rsidRPr="00464D06" w:rsidRDefault="00A24793" w:rsidP="00464D06">
      <w:pPr>
        <w:pStyle w:val="Cele"/>
        <w:spacing w:before="0"/>
        <w:rPr>
          <w:b/>
          <w:bCs/>
        </w:rPr>
      </w:pPr>
      <w:r>
        <w:rPr>
          <w:b/>
          <w:bCs/>
        </w:rPr>
        <w:t xml:space="preserve">Zgodnie z prognozami do 2030 r. udział </w:t>
      </w:r>
      <w:r w:rsidR="00464D06" w:rsidRPr="00464D06">
        <w:rPr>
          <w:b/>
          <w:bCs/>
        </w:rPr>
        <w:t>OZE w finalnym zużyciu energii w</w:t>
      </w:r>
      <w:r w:rsidR="00464D06">
        <w:rPr>
          <w:b/>
          <w:bCs/>
        </w:rPr>
        <w:t> </w:t>
      </w:r>
      <w:r w:rsidR="00464D06" w:rsidRPr="00464D06">
        <w:rPr>
          <w:b/>
          <w:bCs/>
        </w:rPr>
        <w:t>transporcie</w:t>
      </w:r>
      <w:r w:rsidRPr="00464D06">
        <w:rPr>
          <w:rStyle w:val="Odwoanieprzypisudolnego"/>
          <w:b/>
          <w:bCs/>
        </w:rPr>
        <w:footnoteReference w:id="28"/>
      </w:r>
      <w:r>
        <w:rPr>
          <w:b/>
          <w:bCs/>
        </w:rPr>
        <w:t xml:space="preserve"> może wynieść 17,7%</w:t>
      </w:r>
      <w:r w:rsidR="00464D06" w:rsidRPr="00464D06">
        <w:rPr>
          <w:b/>
          <w:bCs/>
        </w:rPr>
        <w:t>.</w:t>
      </w:r>
    </w:p>
    <w:p w14:paraId="6974DE66" w14:textId="4661F451" w:rsidR="007E3187" w:rsidRDefault="00587BEC" w:rsidP="007E3187">
      <w:pPr>
        <w:jc w:val="center"/>
      </w:pPr>
      <w:r>
        <w:rPr>
          <w:noProof/>
        </w:rPr>
        <w:lastRenderedPageBreak/>
        <w:drawing>
          <wp:anchor distT="0" distB="0" distL="114300" distR="114300" simplePos="0" relativeHeight="251835392" behindDoc="0" locked="0" layoutInCell="1" allowOverlap="1" wp14:anchorId="65522F06" wp14:editId="489185BC">
            <wp:simplePos x="0" y="0"/>
            <wp:positionH relativeFrom="margin">
              <wp:align>right</wp:align>
            </wp:positionH>
            <wp:positionV relativeFrom="paragraph">
              <wp:posOffset>311150</wp:posOffset>
            </wp:positionV>
            <wp:extent cx="5760720" cy="1882775"/>
            <wp:effectExtent l="0" t="0" r="0" b="3175"/>
            <wp:wrapTight wrapText="bothSides">
              <wp:wrapPolygon edited="0">
                <wp:start x="0" y="0"/>
                <wp:lineTo x="0" y="21418"/>
                <wp:lineTo x="21500" y="21418"/>
                <wp:lineTo x="21500" y="0"/>
                <wp:lineTo x="0" y="0"/>
              </wp:wrapPolygon>
            </wp:wrapTight>
            <wp:docPr id="2125536560" name="Wykres 1">
              <a:extLst xmlns:a="http://schemas.openxmlformats.org/drawingml/2006/main">
                <a:ext uri="{FF2B5EF4-FFF2-40B4-BE49-F238E27FC236}">
                  <a16:creationId xmlns:a16="http://schemas.microsoft.com/office/drawing/2014/main" id="{335E09AA-C234-4D3C-AD29-4A077746B42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14:sizeRelH relativeFrom="margin">
              <wp14:pctWidth>0</wp14:pctWidth>
            </wp14:sizeRelH>
            <wp14:sizeRelV relativeFrom="margin">
              <wp14:pctHeight>0</wp14:pctHeight>
            </wp14:sizeRelV>
          </wp:anchor>
        </w:drawing>
      </w:r>
      <w:r w:rsidR="007E3187" w:rsidRPr="0008327E">
        <w:rPr>
          <w:b/>
          <w:bCs/>
          <w:color w:val="44546A" w:themeColor="text2"/>
          <w:sz w:val="26"/>
          <w:szCs w:val="26"/>
        </w:rPr>
        <w:t xml:space="preserve">Udział OZE </w:t>
      </w:r>
      <w:r w:rsidR="00C03379">
        <w:rPr>
          <w:b/>
          <w:bCs/>
          <w:color w:val="44546A" w:themeColor="text2"/>
          <w:sz w:val="26"/>
          <w:szCs w:val="26"/>
        </w:rPr>
        <w:t xml:space="preserve">w </w:t>
      </w:r>
      <w:r w:rsidR="007E3187">
        <w:rPr>
          <w:b/>
          <w:bCs/>
          <w:color w:val="44546A" w:themeColor="text2"/>
          <w:sz w:val="26"/>
          <w:szCs w:val="26"/>
        </w:rPr>
        <w:t xml:space="preserve">zużyciu energii </w:t>
      </w:r>
      <w:r w:rsidR="007E3187" w:rsidRPr="0008327E">
        <w:rPr>
          <w:b/>
          <w:bCs/>
          <w:color w:val="44546A" w:themeColor="text2"/>
          <w:sz w:val="26"/>
          <w:szCs w:val="26"/>
        </w:rPr>
        <w:t xml:space="preserve">w </w:t>
      </w:r>
      <w:r w:rsidR="001A567B">
        <w:rPr>
          <w:b/>
          <w:bCs/>
          <w:color w:val="44546A" w:themeColor="text2"/>
          <w:sz w:val="26"/>
          <w:szCs w:val="26"/>
        </w:rPr>
        <w:t>transporcie</w:t>
      </w:r>
      <w:r w:rsidR="007E3187">
        <w:rPr>
          <w:b/>
          <w:bCs/>
          <w:color w:val="44546A" w:themeColor="text2"/>
          <w:sz w:val="26"/>
          <w:szCs w:val="26"/>
        </w:rPr>
        <w:t xml:space="preserve"> do 2030 r.</w:t>
      </w:r>
    </w:p>
    <w:p w14:paraId="244A30DA" w14:textId="73D61A37" w:rsidR="00A24793" w:rsidRDefault="00952815" w:rsidP="007E3187">
      <w:pPr>
        <w:spacing w:before="360"/>
      </w:pPr>
      <w:r>
        <w:t>W analizowanych scenariuszach r</w:t>
      </w:r>
      <w:r w:rsidR="00FA794D">
        <w:t xml:space="preserve">ealizacja celu </w:t>
      </w:r>
      <w:r w:rsidR="001A567B">
        <w:t xml:space="preserve">OZE w transporcie </w:t>
      </w:r>
      <w:r w:rsidR="00FA794D">
        <w:t>określonego na poziomie 29% w</w:t>
      </w:r>
      <w:r w:rsidR="00C03379">
        <w:t> </w:t>
      </w:r>
      <w:r w:rsidR="00FA794D">
        <w:t>2030</w:t>
      </w:r>
      <w:r w:rsidR="00C03379">
        <w:t> </w:t>
      </w:r>
      <w:r w:rsidR="00FA794D">
        <w:t xml:space="preserve">r. </w:t>
      </w:r>
      <w:r w:rsidR="00FA794D" w:rsidRPr="00E9067B">
        <w:rPr>
          <w:b/>
          <w:bCs/>
        </w:rPr>
        <w:t>oceniana jest jako niemożliwa do osiągnięcia</w:t>
      </w:r>
      <w:r w:rsidR="00FA794D">
        <w:t xml:space="preserve"> w Polsce</w:t>
      </w:r>
      <w:r w:rsidR="003D3560">
        <w:t>, a biorąc pod uwagę aktualne statystyki wydaje się to niezwykle trudne również w większości państw UE</w:t>
      </w:r>
      <w:r w:rsidR="003D3560">
        <w:rPr>
          <w:rStyle w:val="Odwoanieprzypisudolnego"/>
        </w:rPr>
        <w:footnoteReference w:id="29"/>
      </w:r>
      <w:r w:rsidR="00FA794D">
        <w:t xml:space="preserve">. Po ujawnieniu szarej strefy </w:t>
      </w:r>
      <w:r w:rsidR="00A92592">
        <w:t xml:space="preserve">i podjęciu działań zaradczych, </w:t>
      </w:r>
      <w:r w:rsidR="00FA794D">
        <w:t>w latach 2018–2021 udział OZE w</w:t>
      </w:r>
      <w:r w:rsidR="000E03F4">
        <w:t> </w:t>
      </w:r>
      <w:r w:rsidR="00FA794D">
        <w:t xml:space="preserve">transporcie oscylował wokół 6%. Aktywność gospodarcza w </w:t>
      </w:r>
      <w:r w:rsidR="008E7844">
        <w:t>transp</w:t>
      </w:r>
      <w:r w:rsidR="003D3560">
        <w:t>orcie</w:t>
      </w:r>
      <w:r w:rsidR="00FA794D">
        <w:t xml:space="preserve"> stale wzrasta, a</w:t>
      </w:r>
      <w:r w:rsidR="001A567B">
        <w:t> </w:t>
      </w:r>
      <w:r w:rsidR="00FA794D">
        <w:t>warunki techniczne nie pozwalają na dostatecznie szybkie zwiększanie wykorzystania biopaliw, zwłaszcza w</w:t>
      </w:r>
      <w:r w:rsidR="00A92592">
        <w:t> </w:t>
      </w:r>
      <w:r w:rsidR="00FA794D">
        <w:t xml:space="preserve">sytuacji, w której systematycznie zmianie ulegać będzie baza surowców, które dopuszczone są do realizacji celów. </w:t>
      </w:r>
      <w:r w:rsidR="00252781">
        <w:t xml:space="preserve">Istotne będzie wykorzystanie biokomponentów z surowców rolniczych, z uwagi na krajowy potencjał przy jednoczesnym zapewnieniu rozwoju gospodarczego, w tym miejsc pracy. </w:t>
      </w:r>
    </w:p>
    <w:p w14:paraId="43A5C55F" w14:textId="5B5E002E" w:rsidR="002A0740" w:rsidRDefault="002A0740" w:rsidP="00CC6CC9">
      <w:pPr>
        <w:spacing w:before="120"/>
      </w:pPr>
      <w:r>
        <w:t>Popularyzacja elektromobilności oraz mobilności wykorzystującej wodór jako źródło energii napędzającej pojazd jest również trudna ze względu na dostępność rynkową i ekonomiczną, zapewnianie infrastruktury ładowania i tankowania paliw alternatywnych oraz dostęp do wykwalifikowanych zasobów kadrowych i odpowiednie dostosowanie sieci elektroenergetycznych.</w:t>
      </w:r>
    </w:p>
    <w:p w14:paraId="1B1C27DC" w14:textId="738C7C30" w:rsidR="00A24793" w:rsidRDefault="003D3560" w:rsidP="00CC6CC9">
      <w:pPr>
        <w:spacing w:before="120"/>
      </w:pPr>
      <w:r w:rsidRPr="6CF0CD0D">
        <w:rPr>
          <w:rFonts w:eastAsia="Lato" w:cs="Lato"/>
        </w:rPr>
        <w:t>W</w:t>
      </w:r>
      <w:r w:rsidR="002A0740">
        <w:rPr>
          <w:rFonts w:eastAsia="Lato" w:cs="Lato"/>
        </w:rPr>
        <w:t xml:space="preserve"> </w:t>
      </w:r>
      <w:r w:rsidRPr="6CF0CD0D">
        <w:rPr>
          <w:rFonts w:eastAsia="Lato" w:cs="Lato"/>
        </w:rPr>
        <w:t xml:space="preserve">procesie dekarbonizacji transportu </w:t>
      </w:r>
      <w:r w:rsidR="00A868D5">
        <w:rPr>
          <w:rFonts w:eastAsia="Lato" w:cs="Lato"/>
        </w:rPr>
        <w:t>pewną</w:t>
      </w:r>
      <w:r w:rsidRPr="6CF0CD0D">
        <w:rPr>
          <w:rFonts w:eastAsia="Lato" w:cs="Lato"/>
        </w:rPr>
        <w:t xml:space="preserve"> rol</w:t>
      </w:r>
      <w:r w:rsidR="00A868D5">
        <w:rPr>
          <w:rFonts w:eastAsia="Lato" w:cs="Lato"/>
        </w:rPr>
        <w:t>ę</w:t>
      </w:r>
      <w:r w:rsidRPr="6CF0CD0D">
        <w:rPr>
          <w:rFonts w:eastAsia="Lato" w:cs="Lato"/>
        </w:rPr>
        <w:t xml:space="preserve"> mogą odegrać także inne niekopalne paliwa, produkowane z wykorzystaniem energii ze źródeł odnawialn</w:t>
      </w:r>
      <w:r w:rsidR="006E709D">
        <w:rPr>
          <w:rFonts w:eastAsia="Lato" w:cs="Lato"/>
        </w:rPr>
        <w:t>ych</w:t>
      </w:r>
      <w:r w:rsidRPr="6CF0CD0D">
        <w:rPr>
          <w:rFonts w:eastAsia="Lato" w:cs="Lato"/>
        </w:rPr>
        <w:t xml:space="preserve"> takie jak zielony metanol i zielony amoniak (gł</w:t>
      </w:r>
      <w:r w:rsidR="006E709D">
        <w:rPr>
          <w:rFonts w:eastAsia="Lato" w:cs="Lato"/>
        </w:rPr>
        <w:t>ó</w:t>
      </w:r>
      <w:r w:rsidRPr="6CF0CD0D">
        <w:rPr>
          <w:rFonts w:eastAsia="Lato" w:cs="Lato"/>
        </w:rPr>
        <w:t>wnie spodziewane zastosowanie w</w:t>
      </w:r>
      <w:r w:rsidR="00587BEC">
        <w:rPr>
          <w:rFonts w:eastAsia="Lato" w:cs="Lato"/>
        </w:rPr>
        <w:t> </w:t>
      </w:r>
      <w:r w:rsidRPr="6CF0CD0D">
        <w:rPr>
          <w:rFonts w:eastAsia="Lato" w:cs="Lato"/>
        </w:rPr>
        <w:t>transporcie morskim i śródlądowym, oraz ciężkim lądowym) a</w:t>
      </w:r>
      <w:r w:rsidR="001A567B">
        <w:rPr>
          <w:rFonts w:eastAsia="Lato" w:cs="Lato"/>
        </w:rPr>
        <w:t> </w:t>
      </w:r>
      <w:r w:rsidRPr="6CF0CD0D">
        <w:rPr>
          <w:rFonts w:eastAsia="Lato" w:cs="Lato"/>
        </w:rPr>
        <w:t>także syntetyczny gaz</w:t>
      </w:r>
      <w:r w:rsidRPr="6CF0CD0D" w:rsidDel="12A0E406">
        <w:rPr>
          <w:rFonts w:eastAsia="Lato" w:cs="Lato"/>
        </w:rPr>
        <w:t>,</w:t>
      </w:r>
      <w:r w:rsidRPr="6CF0CD0D">
        <w:rPr>
          <w:rFonts w:eastAsia="Lato" w:cs="Lato"/>
        </w:rPr>
        <w:t xml:space="preserve"> czy inne paliwa syntetyczne.</w:t>
      </w:r>
      <w:r w:rsidR="00A24793">
        <w:rPr>
          <w:rFonts w:eastAsia="Lato" w:cs="Lato"/>
        </w:rPr>
        <w:t xml:space="preserve"> </w:t>
      </w:r>
    </w:p>
    <w:p w14:paraId="058DEABD" w14:textId="6D955959" w:rsidR="00FA794D" w:rsidRDefault="00FA794D" w:rsidP="00CC6CC9">
      <w:pPr>
        <w:spacing w:before="120"/>
      </w:pPr>
      <w:bookmarkStart w:id="53" w:name="_Hlk159553635"/>
      <w:r w:rsidRPr="00582793">
        <w:t>Ponadto</w:t>
      </w:r>
      <w:r>
        <w:t xml:space="preserve"> dyrektywa RED III wskazuje, że</w:t>
      </w:r>
      <w:r w:rsidRPr="00582793">
        <w:t xml:space="preserve"> </w:t>
      </w:r>
      <w:r>
        <w:t>ł</w:t>
      </w:r>
      <w:r w:rsidRPr="00582793">
        <w:t xml:space="preserve">ączny </w:t>
      </w:r>
      <w:r w:rsidRPr="00E9067B">
        <w:rPr>
          <w:b/>
          <w:bCs/>
        </w:rPr>
        <w:t>udział zaawansowanych biopaliw i biogazu</w:t>
      </w:r>
      <w:r>
        <w:rPr>
          <w:rStyle w:val="Odwoanieprzypisudolnego"/>
          <w:b/>
          <w:bCs/>
        </w:rPr>
        <w:footnoteReference w:id="30"/>
      </w:r>
      <w:r w:rsidRPr="00582793">
        <w:t xml:space="preserve"> </w:t>
      </w:r>
      <w:r w:rsidRPr="00E9067B">
        <w:rPr>
          <w:b/>
          <w:bCs/>
        </w:rPr>
        <w:t>oraz paliw odnawialnych pochodzenia niebiologicznego</w:t>
      </w:r>
      <w:r w:rsidRPr="00582793">
        <w:t xml:space="preserve"> </w:t>
      </w:r>
      <w:r>
        <w:softHyphen/>
        <w:t xml:space="preserve">– </w:t>
      </w:r>
      <w:r w:rsidRPr="00582793">
        <w:rPr>
          <w:b/>
          <w:bCs/>
        </w:rPr>
        <w:t>RFNBO</w:t>
      </w:r>
      <w:r>
        <w:t xml:space="preserve"> (ang. </w:t>
      </w:r>
      <w:r w:rsidRPr="00582793">
        <w:rPr>
          <w:i/>
          <w:iCs/>
        </w:rPr>
        <w:t>renewable fuels of non-biological origin</w:t>
      </w:r>
      <w:r>
        <w:t xml:space="preserve">) </w:t>
      </w:r>
      <w:r w:rsidRPr="00582793">
        <w:t>w</w:t>
      </w:r>
      <w:r>
        <w:t> </w:t>
      </w:r>
      <w:r w:rsidRPr="00582793">
        <w:t xml:space="preserve">energii dostarczonej do sektora transportu </w:t>
      </w:r>
      <w:r>
        <w:t xml:space="preserve">powinien </w:t>
      </w:r>
      <w:r w:rsidRPr="00582793">
        <w:t>wyn</w:t>
      </w:r>
      <w:r>
        <w:t>ieść</w:t>
      </w:r>
      <w:r w:rsidRPr="00582793">
        <w:t xml:space="preserve"> co najmniej 1% w 2025 r. i 5,5% w 2030 r., w</w:t>
      </w:r>
      <w:r>
        <w:t> </w:t>
      </w:r>
      <w:r w:rsidRPr="00582793">
        <w:t xml:space="preserve">tym udział </w:t>
      </w:r>
      <w:r w:rsidR="00FB578A">
        <w:t>wodoru</w:t>
      </w:r>
      <w:r w:rsidR="001A567B">
        <w:t xml:space="preserve"> </w:t>
      </w:r>
      <w:r>
        <w:t>RFNBO</w:t>
      </w:r>
      <w:r w:rsidRPr="00582793">
        <w:t xml:space="preserve"> </w:t>
      </w:r>
      <w:r w:rsidR="001A567B">
        <w:t>powinien wynieść</w:t>
      </w:r>
      <w:r w:rsidRPr="00582793">
        <w:t xml:space="preserve"> co najmniej 1 </w:t>
      </w:r>
      <w:r>
        <w:t>pkt proc.</w:t>
      </w:r>
      <w:r w:rsidRPr="00582793">
        <w:t xml:space="preserve"> w 2030 r.</w:t>
      </w:r>
      <w:r>
        <w:t xml:space="preserve"> </w:t>
      </w:r>
      <w:bookmarkStart w:id="54" w:name="_Hlk159551798"/>
      <w:r w:rsidR="00C67C51">
        <w:t xml:space="preserve">Według szacunków Ministerstwa Klimatu i Środowiska </w:t>
      </w:r>
      <w:r w:rsidR="00FB578A">
        <w:t xml:space="preserve">na </w:t>
      </w:r>
      <w:r w:rsidR="00C80842">
        <w:t>osiągnięcie</w:t>
      </w:r>
      <w:r w:rsidR="00FB578A">
        <w:t xml:space="preserve"> 1% </w:t>
      </w:r>
      <w:r w:rsidR="00C67C51">
        <w:t xml:space="preserve">w 2030 r. Polska </w:t>
      </w:r>
      <w:r w:rsidR="00FB578A">
        <w:t>potrzebowałaby na cele transportowe około 91,7 tys. t wodoru RFNBO (rozumiane jako paliwo oraz surowiec do produkcji paliw konwencjonalnych).</w:t>
      </w:r>
    </w:p>
    <w:p w14:paraId="3072F7BA" w14:textId="44EB2437" w:rsidR="00FA794D" w:rsidRDefault="00FA794D" w:rsidP="009B599C">
      <w:pPr>
        <w:pStyle w:val="Cele"/>
      </w:pPr>
      <w:bookmarkStart w:id="55" w:name="_Hlk159551835"/>
      <w:bookmarkEnd w:id="54"/>
      <w:r>
        <w:t xml:space="preserve">Na podstawie prognoz </w:t>
      </w:r>
      <w:r w:rsidRPr="009B599C">
        <w:rPr>
          <w:rStyle w:val="CeleZnak"/>
          <w:b/>
        </w:rPr>
        <w:t xml:space="preserve">Polska wskazuje możliwość osiągnięcia ok. </w:t>
      </w:r>
      <w:r w:rsidR="00625C02" w:rsidRPr="009B599C">
        <w:rPr>
          <w:b/>
        </w:rPr>
        <w:t>1</w:t>
      </w:r>
      <w:r w:rsidRPr="009B599C">
        <w:rPr>
          <w:b/>
        </w:rPr>
        <w:t>% udziału zaawansowanych biopaliw i biogazu oraz RFNBO</w:t>
      </w:r>
      <w:r w:rsidRPr="00EE60D1">
        <w:t xml:space="preserve"> w</w:t>
      </w:r>
      <w:r w:rsidR="00F523F2">
        <w:t xml:space="preserve"> </w:t>
      </w:r>
      <w:r>
        <w:t xml:space="preserve">transporcie w 2025 r. </w:t>
      </w:r>
      <w:r w:rsidR="006D7CAC">
        <w:br/>
      </w:r>
      <w:r>
        <w:t xml:space="preserve">i </w:t>
      </w:r>
      <w:r w:rsidR="00625C02">
        <w:t>3,5</w:t>
      </w:r>
      <w:r>
        <w:t>% w</w:t>
      </w:r>
      <w:r w:rsidR="00F523F2">
        <w:t> </w:t>
      </w:r>
      <w:r>
        <w:t>2030</w:t>
      </w:r>
      <w:r w:rsidR="00F523F2">
        <w:t> </w:t>
      </w:r>
      <w:r>
        <w:t xml:space="preserve">r. </w:t>
      </w:r>
    </w:p>
    <w:bookmarkEnd w:id="53"/>
    <w:bookmarkEnd w:id="55"/>
    <w:p w14:paraId="459674B6" w14:textId="4E2C9E82" w:rsidR="00FA794D" w:rsidRDefault="00FA794D" w:rsidP="00FA794D">
      <w:r>
        <w:t xml:space="preserve">Polska ocenia ten cel również jako bardzo trudny do realizacji ze względu na bariery technologiczne </w:t>
      </w:r>
      <w:r w:rsidR="00B7601A">
        <w:t>i</w:t>
      </w:r>
      <w:r w:rsidR="002A0740">
        <w:t> </w:t>
      </w:r>
      <w:r w:rsidR="00B7601A">
        <w:t xml:space="preserve">finansowe oraz </w:t>
      </w:r>
      <w:r>
        <w:t>fakt stopniowego rozwoju gospodarki wodorowej. Duże znaczenie mają także bardzo restrykcyjne regulacje określające możliwość zaliczenia danej produkcji wodoru do RFBNO.</w:t>
      </w:r>
    </w:p>
    <w:p w14:paraId="795CA41E" w14:textId="517DA862" w:rsidR="007734CF" w:rsidRDefault="007734CF" w:rsidP="00FA794D">
      <w:r w:rsidRPr="00464D06">
        <w:rPr>
          <w:b/>
          <w:bCs/>
        </w:rPr>
        <w:lastRenderedPageBreak/>
        <w:t>P</w:t>
      </w:r>
      <w:r w:rsidR="00464D06" w:rsidRPr="001A567B">
        <w:rPr>
          <w:b/>
          <w:bCs/>
        </w:rPr>
        <w:t>o</w:t>
      </w:r>
      <w:r w:rsidRPr="001A567B">
        <w:rPr>
          <w:b/>
          <w:bCs/>
        </w:rPr>
        <w:t>pularyz</w:t>
      </w:r>
      <w:r w:rsidR="00464D06" w:rsidRPr="001A567B">
        <w:rPr>
          <w:b/>
          <w:bCs/>
        </w:rPr>
        <w:t>a</w:t>
      </w:r>
      <w:r w:rsidRPr="001A567B">
        <w:rPr>
          <w:b/>
          <w:bCs/>
        </w:rPr>
        <w:t>cja wyko</w:t>
      </w:r>
      <w:r w:rsidR="00464D06" w:rsidRPr="001A567B">
        <w:rPr>
          <w:b/>
          <w:bCs/>
        </w:rPr>
        <w:t>r</w:t>
      </w:r>
      <w:r w:rsidRPr="001A567B">
        <w:rPr>
          <w:b/>
          <w:bCs/>
        </w:rPr>
        <w:t xml:space="preserve">zystania paliw </w:t>
      </w:r>
      <w:r w:rsidR="00464D06" w:rsidRPr="001A567B">
        <w:rPr>
          <w:b/>
          <w:bCs/>
        </w:rPr>
        <w:t>alternatywnych</w:t>
      </w:r>
      <w:r w:rsidRPr="001A567B">
        <w:rPr>
          <w:b/>
          <w:bCs/>
        </w:rPr>
        <w:t xml:space="preserve"> wymaga </w:t>
      </w:r>
      <w:r w:rsidR="00464D06" w:rsidRPr="001A567B">
        <w:rPr>
          <w:b/>
          <w:bCs/>
        </w:rPr>
        <w:t>rozwoju infrastruktury</w:t>
      </w:r>
      <w:r w:rsidR="00464D06">
        <w:t xml:space="preserve">. Z tego względu na poziomie UE określone zostały jednolite zasady dla państw członkowskich w tym zakresie. </w:t>
      </w:r>
      <w:r w:rsidR="00464D06" w:rsidRPr="00464D06">
        <w:t xml:space="preserve">Rozporządzenie UE 2023/1804 w sprawie rozwoju infrastruktury paliw alternatywnych </w:t>
      </w:r>
      <w:r w:rsidR="00464D06">
        <w:t xml:space="preserve">– tzw. rozporządzenie </w:t>
      </w:r>
      <w:r w:rsidR="00464D06" w:rsidRPr="00464D06">
        <w:t>AFIR</w:t>
      </w:r>
      <w:r w:rsidR="00464D06">
        <w:t xml:space="preserve"> </w:t>
      </w:r>
      <w:r w:rsidR="00464D06">
        <w:softHyphen/>
        <w:t>–</w:t>
      </w:r>
      <w:r w:rsidR="00464D06" w:rsidRPr="00464D06">
        <w:t xml:space="preserve"> zakłada </w:t>
      </w:r>
      <w:r w:rsidR="00464D06" w:rsidRPr="00056AAE">
        <w:rPr>
          <w:b/>
          <w:bCs/>
        </w:rPr>
        <w:t>budowę ogólnodostępnych stref ładowania pojazdów elektrycznych wzdłuż głównych dróg i autostrad</w:t>
      </w:r>
      <w:r w:rsidR="00464D06" w:rsidRPr="00464D06">
        <w:t xml:space="preserve"> w Polsce co 60 km w ramach czasowych 2025-2030 r, a także budowę </w:t>
      </w:r>
      <w:r w:rsidR="00464D06" w:rsidRPr="00056AAE">
        <w:rPr>
          <w:b/>
          <w:bCs/>
        </w:rPr>
        <w:t>sieci ogólnodostępnych stacji tankowania wodoru</w:t>
      </w:r>
      <w:r w:rsidR="00464D06" w:rsidRPr="00464D06">
        <w:t xml:space="preserve"> co 200 km w perspektywie do 2030 r. Na podstawie prognozowanej liczby pojazdów elektrycznych i hybrydowych typu plug-in oraz wymogów rozporządzenia AFIR, który uzależnia konieczną zainstalowaną moc ładowania od liczby pojazdów wynika, że w Polsce do 2030 r. w ogólnodostępnej infrastrukturze ładowania dla lekkich pojazdów elektrycznych będzie zainstalowane ok. 1,5 GW</w:t>
      </w:r>
      <w:r w:rsidR="00464D06">
        <w:t>.</w:t>
      </w:r>
    </w:p>
    <w:p w14:paraId="78412DBD" w14:textId="77777777" w:rsidR="006D7CAC" w:rsidRDefault="00464D06" w:rsidP="00464D06">
      <w:pPr>
        <w:pStyle w:val="Cele"/>
        <w:spacing w:after="0"/>
        <w:rPr>
          <w:b/>
          <w:bCs/>
        </w:rPr>
      </w:pPr>
      <w:bookmarkStart w:id="56" w:name="_Hlk159552243"/>
      <w:r w:rsidRPr="00FF5DB1">
        <w:rPr>
          <w:b/>
          <w:bCs/>
        </w:rPr>
        <w:t xml:space="preserve">Prognozy wskazują, że w 2030 r. w Polsce może być zarejestrowanych ponad </w:t>
      </w:r>
      <w:r w:rsidRPr="006D7CAC">
        <w:rPr>
          <w:b/>
          <w:bCs/>
          <w:sz w:val="28"/>
          <w:szCs w:val="24"/>
        </w:rPr>
        <w:t>1,46</w:t>
      </w:r>
      <w:r w:rsidR="006D7CAC" w:rsidRPr="006D7CAC">
        <w:rPr>
          <w:b/>
          <w:bCs/>
          <w:sz w:val="28"/>
          <w:szCs w:val="24"/>
        </w:rPr>
        <w:t> </w:t>
      </w:r>
      <w:r w:rsidRPr="006D7CAC">
        <w:rPr>
          <w:b/>
          <w:bCs/>
          <w:sz w:val="28"/>
          <w:szCs w:val="24"/>
        </w:rPr>
        <w:t xml:space="preserve">mln </w:t>
      </w:r>
      <w:r w:rsidRPr="00FF5DB1">
        <w:rPr>
          <w:b/>
          <w:bCs/>
        </w:rPr>
        <w:t xml:space="preserve">pojazdów elektrycznych i hybrydowych typu plug-in. </w:t>
      </w:r>
    </w:p>
    <w:p w14:paraId="0B2412F0" w14:textId="75B33D3C" w:rsidR="00464D06" w:rsidRPr="00FF5DB1" w:rsidRDefault="00FF5DB1" w:rsidP="00464D06">
      <w:pPr>
        <w:pStyle w:val="Cele"/>
        <w:spacing w:after="0"/>
        <w:rPr>
          <w:b/>
          <w:bCs/>
        </w:rPr>
      </w:pPr>
      <w:r>
        <w:rPr>
          <w:b/>
          <w:bCs/>
        </w:rPr>
        <w:t>Liczba p</w:t>
      </w:r>
      <w:r w:rsidR="00464D06" w:rsidRPr="00FF5DB1">
        <w:rPr>
          <w:b/>
          <w:bCs/>
        </w:rPr>
        <w:t>ojazd</w:t>
      </w:r>
      <w:r>
        <w:rPr>
          <w:b/>
          <w:bCs/>
        </w:rPr>
        <w:t>ów</w:t>
      </w:r>
      <w:r w:rsidR="00464D06" w:rsidRPr="00FF5DB1">
        <w:rPr>
          <w:b/>
          <w:bCs/>
        </w:rPr>
        <w:t xml:space="preserve"> lekki</w:t>
      </w:r>
      <w:r>
        <w:rPr>
          <w:b/>
          <w:bCs/>
        </w:rPr>
        <w:t>ch</w:t>
      </w:r>
      <w:r w:rsidR="00464D06" w:rsidRPr="00FF5DB1">
        <w:rPr>
          <w:b/>
          <w:bCs/>
        </w:rPr>
        <w:t xml:space="preserve"> </w:t>
      </w:r>
      <w:r>
        <w:rPr>
          <w:b/>
          <w:bCs/>
        </w:rPr>
        <w:t xml:space="preserve">może osiągnąć </w:t>
      </w:r>
      <w:r w:rsidR="00464D06" w:rsidRPr="00FF5DB1">
        <w:rPr>
          <w:b/>
          <w:bCs/>
        </w:rPr>
        <w:t>ponad 1,45 mln (0,8</w:t>
      </w:r>
      <w:r>
        <w:rPr>
          <w:b/>
          <w:bCs/>
        </w:rPr>
        <w:t> </w:t>
      </w:r>
      <w:r w:rsidR="00464D06" w:rsidRPr="00FF5DB1">
        <w:rPr>
          <w:b/>
          <w:bCs/>
        </w:rPr>
        <w:t>mln pojazdów BEV oraz 0,65 mln pojazdów hybrydowych typu plug-in), natomiast pojazd</w:t>
      </w:r>
      <w:r>
        <w:rPr>
          <w:b/>
          <w:bCs/>
        </w:rPr>
        <w:t>ów</w:t>
      </w:r>
      <w:r w:rsidR="00464D06" w:rsidRPr="00FF5DB1">
        <w:rPr>
          <w:b/>
          <w:bCs/>
        </w:rPr>
        <w:t xml:space="preserve"> ciężki</w:t>
      </w:r>
      <w:r>
        <w:rPr>
          <w:b/>
          <w:bCs/>
        </w:rPr>
        <w:t xml:space="preserve">ch </w:t>
      </w:r>
      <w:r w:rsidR="00464D06" w:rsidRPr="00FF5DB1">
        <w:rPr>
          <w:b/>
          <w:bCs/>
        </w:rPr>
        <w:t>ponad 7</w:t>
      </w:r>
      <w:r>
        <w:rPr>
          <w:b/>
          <w:bCs/>
        </w:rPr>
        <w:t> </w:t>
      </w:r>
      <w:r w:rsidR="00464D06" w:rsidRPr="00FF5DB1">
        <w:rPr>
          <w:b/>
          <w:bCs/>
        </w:rPr>
        <w:t>tys., w</w:t>
      </w:r>
      <w:r w:rsidR="006D7CAC">
        <w:rPr>
          <w:b/>
          <w:bCs/>
        </w:rPr>
        <w:t> </w:t>
      </w:r>
      <w:r w:rsidR="00464D06" w:rsidRPr="00FF5DB1">
        <w:rPr>
          <w:b/>
          <w:bCs/>
        </w:rPr>
        <w:t>tym ponad 4,5 tys. stanowić mogą zeroemisyjne autobusy miejskie (wodorowe i</w:t>
      </w:r>
      <w:r>
        <w:rPr>
          <w:b/>
          <w:bCs/>
        </w:rPr>
        <w:t> </w:t>
      </w:r>
      <w:r w:rsidR="00464D06" w:rsidRPr="00FF5DB1">
        <w:rPr>
          <w:b/>
          <w:bCs/>
        </w:rPr>
        <w:t>elektryczne).</w:t>
      </w:r>
    </w:p>
    <w:bookmarkEnd w:id="56"/>
    <w:p w14:paraId="0254B24A" w14:textId="77777777" w:rsidR="00464D06" w:rsidRDefault="00464D06" w:rsidP="00056AAE">
      <w:pPr>
        <w:spacing w:after="0"/>
      </w:pPr>
    </w:p>
    <w:p w14:paraId="670ACA35" w14:textId="77777777" w:rsidR="006D7CAC" w:rsidRDefault="00464D06" w:rsidP="006D7CAC">
      <w:pPr>
        <w:pStyle w:val="Cele"/>
        <w:spacing w:before="0" w:after="160"/>
        <w:rPr>
          <w:b/>
          <w:bCs/>
        </w:rPr>
      </w:pPr>
      <w:r w:rsidRPr="006D7CAC">
        <w:t xml:space="preserve">W przypadku pojazdów </w:t>
      </w:r>
      <w:r w:rsidRPr="00FF5DB1">
        <w:rPr>
          <w:b/>
          <w:bCs/>
        </w:rPr>
        <w:t>napędzanych wodorem prognozy wskazują, że w 2030 r. w</w:t>
      </w:r>
      <w:r w:rsidR="006D7CAC">
        <w:rPr>
          <w:b/>
          <w:bCs/>
        </w:rPr>
        <w:t> </w:t>
      </w:r>
      <w:r w:rsidRPr="00FF5DB1">
        <w:rPr>
          <w:b/>
          <w:bCs/>
        </w:rPr>
        <w:t xml:space="preserve">Polsce może być zarejestrowanych około </w:t>
      </w:r>
      <w:r w:rsidRPr="006D7CAC">
        <w:rPr>
          <w:b/>
          <w:bCs/>
          <w:sz w:val="28"/>
          <w:szCs w:val="24"/>
        </w:rPr>
        <w:t>6 tys. pojazdów</w:t>
      </w:r>
      <w:r w:rsidRPr="00FF5DB1">
        <w:rPr>
          <w:b/>
          <w:bCs/>
        </w:rPr>
        <w:t xml:space="preserve">. </w:t>
      </w:r>
    </w:p>
    <w:p w14:paraId="5AE60516" w14:textId="6578D185" w:rsidR="00464D06" w:rsidRDefault="00464D06" w:rsidP="00464D06">
      <w:pPr>
        <w:pStyle w:val="Cele"/>
        <w:spacing w:before="0"/>
      </w:pPr>
      <w:r w:rsidRPr="00FF5DB1">
        <w:rPr>
          <w:b/>
          <w:bCs/>
        </w:rPr>
        <w:t>Pojazdy lekkie stanowić mogą ponad 5 tys. sztuk, natomiast pojazdy ciężkie ponad 950 sztuk, w tym ponad 800 stanowić mogą autobusy wodorowe.</w:t>
      </w:r>
    </w:p>
    <w:p w14:paraId="17D028F7" w14:textId="77777777" w:rsidR="00080BA7" w:rsidRDefault="00080BA7" w:rsidP="00080BA7">
      <w:pPr>
        <w:spacing w:before="240" w:after="80"/>
        <w:rPr>
          <w:rFonts w:ascii="Bahnschrift" w:hAnsi="Bahnschrift"/>
        </w:rPr>
      </w:pPr>
      <w:r w:rsidRPr="00C46DAA">
        <w:rPr>
          <w:rFonts w:ascii="Bahnschrift" w:hAnsi="Bahnschrift"/>
          <w:b/>
          <w:bCs/>
          <w:sz w:val="32"/>
          <w:szCs w:val="32"/>
        </w:rPr>
        <w:t>POLITYKA</w:t>
      </w:r>
    </w:p>
    <w:p w14:paraId="5493046B" w14:textId="0E1F530B" w:rsidR="00A868D5" w:rsidRPr="009D61DE" w:rsidRDefault="00A868D5" w:rsidP="007D7C94">
      <w:r w:rsidRPr="009D61DE">
        <w:t>Zasadniczo redukcja emisji gazów cieplarnianych dokonuje się poprzez zmniejszenie ilości zużywanej energii pozyskiwanej z paliw transportowych oraz zamianę paliw konwencjonalnych (paliw kopalnych wytworzonych z ropy naftowej i gazu ziemnego) na paliwa zeroemisyjne lub o niskiej zawartości węgla liczonej w całym cyklu życia (paliwa odnawialne). Ilość zużywanej energii zależna jest od wielkości potrzeb transportowych oraz efektywności przewozu ładunków lub pasażerów. Instrumentami redukcji w tym przypadku jest zarządzanie popytem (np. przez przestrzenne rozmieszczanie funkcji obszarów, optymalizujące popyt transportowy czy kształtowanie odpowiednich zachowań społeczeństwa i</w:t>
      </w:r>
      <w:r w:rsidR="007D7C94">
        <w:t> </w:t>
      </w:r>
      <w:r w:rsidRPr="009D61DE">
        <w:t>gospodarki) oraz realizowanie przewozów efektywniejszymi energetycznie rozwiązaniami transportowymi, w tym przy wykorzystaniu narzędzi logistycznych. W obszarze transformacji paliw transportowych instrumenty kierowane są na dostosowanie środków transportu do korzystania z nisko- i</w:t>
      </w:r>
      <w:r w:rsidR="007D7C94">
        <w:t> </w:t>
      </w:r>
      <w:r w:rsidRPr="009D61DE">
        <w:t>zeroemisyjnych paliw i energii (wymiana lub modernizacja taboru) oraz zapewnienie wytworzenia i</w:t>
      </w:r>
      <w:r w:rsidR="007D7C94">
        <w:t> </w:t>
      </w:r>
      <w:r w:rsidRPr="009D61DE">
        <w:t xml:space="preserve">dostarczenia takich paliw i energii poprzez sieć dystrybucyjną (stacje paliw i ładowania elektrycznością). </w:t>
      </w:r>
    </w:p>
    <w:p w14:paraId="619D310A" w14:textId="77777777" w:rsidR="00067979" w:rsidRDefault="00067979" w:rsidP="007D7C94">
      <w:pPr>
        <w:spacing w:before="480"/>
        <w:rPr>
          <w:b/>
          <w:bCs/>
          <w:sz w:val="22"/>
        </w:rPr>
      </w:pPr>
      <w:r>
        <w:rPr>
          <w:b/>
          <w:bCs/>
          <w:sz w:val="22"/>
        </w:rPr>
        <w:t>D</w:t>
      </w:r>
      <w:r w:rsidR="00A868D5" w:rsidRPr="00A868D5">
        <w:rPr>
          <w:b/>
          <w:bCs/>
          <w:sz w:val="22"/>
        </w:rPr>
        <w:t>ekarbonizacj</w:t>
      </w:r>
      <w:r>
        <w:rPr>
          <w:b/>
          <w:bCs/>
          <w:sz w:val="22"/>
        </w:rPr>
        <w:t>a</w:t>
      </w:r>
      <w:r w:rsidR="00A868D5" w:rsidRPr="00A868D5">
        <w:rPr>
          <w:b/>
          <w:bCs/>
          <w:sz w:val="22"/>
        </w:rPr>
        <w:t xml:space="preserve"> transportu miejskiego </w:t>
      </w:r>
    </w:p>
    <w:p w14:paraId="2E23B84E" w14:textId="2A9BEA36" w:rsidR="00A868D5" w:rsidRPr="007D7C94" w:rsidRDefault="00C10860" w:rsidP="00067979">
      <w:pPr>
        <w:rPr>
          <w:b/>
          <w:bCs/>
          <w:sz w:val="22"/>
        </w:rPr>
      </w:pPr>
      <w:r>
        <w:t>Niskoemisyjna transformacja transportu miejs</w:t>
      </w:r>
      <w:r w:rsidR="00900EFB">
        <w:t>k</w:t>
      </w:r>
      <w:r>
        <w:t>iego</w:t>
      </w:r>
      <w:r w:rsidR="00900EFB">
        <w:t xml:space="preserve"> jest</w:t>
      </w:r>
      <w:r w:rsidR="00067979">
        <w:t xml:space="preserve"> jednym z priorytetów Polski, </w:t>
      </w:r>
      <w:r w:rsidR="00900EFB">
        <w:t>przy czym</w:t>
      </w:r>
      <w:r w:rsidR="006D7CAC">
        <w:t xml:space="preserve"> </w:t>
      </w:r>
      <w:r w:rsidR="00A868D5" w:rsidRPr="009D61DE">
        <w:t>realizowane</w:t>
      </w:r>
      <w:r w:rsidR="006D7CAC">
        <w:t xml:space="preserve"> </w:t>
      </w:r>
      <w:r w:rsidR="00A868D5" w:rsidRPr="009D61DE">
        <w:t>będą działania na rzecz obniżenia transportochłonności gospodarki, czyli popytu na przewozy pasażerów i ładunków, jak i działania na rzecz lepszej organizacji usług przewozowych (np. stopnia wykorzystania logistyki i inteligentnych technologii, w tym szczególnie technologii zarządzania ruchem, intermodalności, przewozów zbiorowych, organizacji przewozów „ostatniej mili”).</w:t>
      </w:r>
      <w:r w:rsidR="00A868D5" w:rsidRPr="00E82973">
        <w:t xml:space="preserve"> </w:t>
      </w:r>
    </w:p>
    <w:p w14:paraId="2B624ED8" w14:textId="5DFEC1BC" w:rsidR="00A868D5" w:rsidRPr="009D61DE" w:rsidRDefault="00A868D5" w:rsidP="007D7C94">
      <w:r w:rsidRPr="009D61DE">
        <w:t xml:space="preserve">Podstawowym celem polityki transportowej opracowywanej na poziomie miast powinno być dążenie do osiągnięcia zrównoważonej mobilności poprzez stworzenie warunków do sprawnego, efektywnego </w:t>
      </w:r>
      <w:r w:rsidRPr="009D61DE">
        <w:lastRenderedPageBreak/>
        <w:t>i</w:t>
      </w:r>
      <w:r w:rsidR="006D7CAC">
        <w:t> </w:t>
      </w:r>
      <w:r w:rsidRPr="009D61DE">
        <w:t>bezpiecznego przemieszczania się osób i przewozu towarów, przy ograniczeniu szkodliwego wpływu na środowisko naturalne i warunki życia mieszkańców oraz do poprawy dostępności komunikacyjnej w</w:t>
      </w:r>
      <w:r w:rsidR="007D7C94">
        <w:t> </w:t>
      </w:r>
      <w:r w:rsidRPr="009D61DE">
        <w:t xml:space="preserve">obrębie miasta i obszaru funkcjonalnego. W miastach kluczowe znaczenie mają: optymalizacja potoków ruchu, w tym ich prędkości, polityka parkingowa czy wspieranie usług w zakresie logistyki miejskiej. Wdrażanie tych rozwiązań skutkuje zmniejszeniem zużycia energii i redukcją emisji spalin. </w:t>
      </w:r>
    </w:p>
    <w:p w14:paraId="75778B62" w14:textId="6CFF80DB" w:rsidR="00A868D5" w:rsidRPr="009D61DE" w:rsidRDefault="00A868D5" w:rsidP="007D7C94">
      <w:r w:rsidRPr="009D61DE">
        <w:t xml:space="preserve">Dodatkowym elementem wspierającym rozwój zeroemisyjnego transportu miejskiego będą działania przewidziane w </w:t>
      </w:r>
      <w:r w:rsidRPr="00610AA0">
        <w:rPr>
          <w:i/>
          <w:iCs/>
        </w:rPr>
        <w:t>Krajowym Planie Odbudowy i Zwiększenia Odporności</w:t>
      </w:r>
      <w:r w:rsidRPr="009D61DE">
        <w:t xml:space="preserve"> (KPO), które zmierzają do dalszej popularyzacji Planów Zrównoważonej Mobilności Miejskiej (</w:t>
      </w:r>
      <w:r w:rsidR="007D7C94">
        <w:t xml:space="preserve">ang. </w:t>
      </w:r>
      <w:r w:rsidRPr="007D7C94">
        <w:rPr>
          <w:i/>
          <w:iCs/>
        </w:rPr>
        <w:t>Sustainable Urban Mobility Plan</w:t>
      </w:r>
      <w:r w:rsidRPr="009D61DE">
        <w:t xml:space="preserve"> </w:t>
      </w:r>
      <w:r w:rsidR="007D7C94">
        <w:t xml:space="preserve">– </w:t>
      </w:r>
      <w:r w:rsidRPr="009D61DE">
        <w:t>SUMP), jako jednego z narzędzi przyczyniających się do kompleksowego podejścia do planowania zrównoważonej mobilności w miastach i ich obszarach funkcjonalnych, czy też działania dot</w:t>
      </w:r>
      <w:r w:rsidR="007D7C94">
        <w:t>yczące</w:t>
      </w:r>
      <w:r w:rsidRPr="009D61DE">
        <w:t xml:space="preserve"> wsparcia transportu publicznego.</w:t>
      </w:r>
    </w:p>
    <w:p w14:paraId="1A35C187" w14:textId="3A74EBBD" w:rsidR="00067979" w:rsidRDefault="00067979" w:rsidP="00067979">
      <w:pPr>
        <w:rPr>
          <w:b/>
        </w:rPr>
      </w:pPr>
      <w:r>
        <w:t xml:space="preserve">Aby przyspieszyć proces wymian floty autobusów miejskich na pojazdy zeroemisyjne w miastach liczących powyżej 100 tys. mieszkańców, wprowadzony zostanie obowiązek </w:t>
      </w:r>
      <w:r w:rsidR="00C65C18">
        <w:t xml:space="preserve">nabywania </w:t>
      </w:r>
      <w:r>
        <w:t xml:space="preserve">jedynie autobusów zeroemisyjnych (elektrycznych i wodorowych). Ponadto, miasta będą zobowiązane też do zawierania umów przewozu tylko z podmiotami korzystającymi z takich autobusów. </w:t>
      </w:r>
    </w:p>
    <w:p w14:paraId="09BBABED" w14:textId="21D8B7DE" w:rsidR="00FF35B2" w:rsidRDefault="00FF35B2" w:rsidP="00067979">
      <w:r>
        <w:t>Przewiduje</w:t>
      </w:r>
      <w:r w:rsidRPr="009D61DE">
        <w:t xml:space="preserve"> </w:t>
      </w:r>
      <w:r>
        <w:t xml:space="preserve">się wsparcie samorządów w dekarbonizacji transportu (m.in. ze środków </w:t>
      </w:r>
      <w:r w:rsidRPr="001959A7">
        <w:rPr>
          <w:bCs/>
        </w:rPr>
        <w:t>Krajowego Planu Odbudowy i Zwiększania Odporności (KPO)</w:t>
      </w:r>
      <w:r>
        <w:t xml:space="preserve">) w </w:t>
      </w:r>
      <w:r w:rsidR="001959A7">
        <w:t xml:space="preserve">szczególności w </w:t>
      </w:r>
      <w:r>
        <w:t>zakresie</w:t>
      </w:r>
      <w:r w:rsidRPr="009D61DE">
        <w:t xml:space="preserve"> inwestycj</w:t>
      </w:r>
      <w:r>
        <w:t>i</w:t>
      </w:r>
      <w:r w:rsidRPr="009D61DE">
        <w:t xml:space="preserve"> związan</w:t>
      </w:r>
      <w:r>
        <w:t>ych</w:t>
      </w:r>
      <w:r w:rsidRPr="009D61DE">
        <w:t xml:space="preserve"> z</w:t>
      </w:r>
      <w:r>
        <w:t>:</w:t>
      </w:r>
    </w:p>
    <w:p w14:paraId="01B07F79" w14:textId="77777777" w:rsidR="00FF35B2" w:rsidRDefault="00FF35B2" w:rsidP="00612B5D">
      <w:pPr>
        <w:pStyle w:val="Akapitzlist"/>
        <w:numPr>
          <w:ilvl w:val="0"/>
          <w:numId w:val="39"/>
        </w:numPr>
        <w:ind w:left="426"/>
      </w:pPr>
      <w:r w:rsidRPr="009D61DE">
        <w:t>wymianą autobusów na zero- i niskoemisyjne na obszarach podmiejskich/wiejskich</w:t>
      </w:r>
      <w:r>
        <w:t>;</w:t>
      </w:r>
      <w:r w:rsidRPr="009D61DE">
        <w:t xml:space="preserve"> </w:t>
      </w:r>
    </w:p>
    <w:p w14:paraId="68125422" w14:textId="3DB27147" w:rsidR="00FF35B2" w:rsidRDefault="00FF35B2" w:rsidP="00612B5D">
      <w:pPr>
        <w:pStyle w:val="Akapitzlist"/>
        <w:numPr>
          <w:ilvl w:val="0"/>
          <w:numId w:val="39"/>
        </w:numPr>
        <w:ind w:left="426"/>
      </w:pPr>
      <w:r w:rsidRPr="009D61DE">
        <w:t>zakup</w:t>
      </w:r>
      <w:r>
        <w:t>em</w:t>
      </w:r>
      <w:r w:rsidRPr="009D61DE">
        <w:t xml:space="preserve"> autobusów zero- i niskoemisyjnych dla nowoutworzonych pozamiejskich linii autobusowych, a także wymiany taboru pozamiejskich linii autobusowych zagrożonych likwidacją</w:t>
      </w:r>
      <w:r>
        <w:t>;</w:t>
      </w:r>
    </w:p>
    <w:p w14:paraId="10B7CCF6" w14:textId="02644B02" w:rsidR="002A0740" w:rsidRPr="001B4D22" w:rsidRDefault="001959A7" w:rsidP="00612B5D">
      <w:pPr>
        <w:pStyle w:val="Akapitzlist"/>
        <w:numPr>
          <w:ilvl w:val="0"/>
          <w:numId w:val="39"/>
        </w:numPr>
        <w:ind w:left="426"/>
      </w:pPr>
      <w:r w:rsidRPr="00E155AA">
        <w:t>zakupem nowych zeroemisyjnych (elektrycznych) autobusów na potrzeby publicznego transportu miejskiego</w:t>
      </w:r>
    </w:p>
    <w:p w14:paraId="3FFA7A3E" w14:textId="54DCB613" w:rsidR="00A868D5" w:rsidRDefault="00067979" w:rsidP="00A868D5">
      <w:r>
        <w:t>Dodatkowo, wprowadzony zostanie obowiązek tworzenia stref czystego transportu</w:t>
      </w:r>
      <w:bookmarkStart w:id="57" w:name="_Hlk156900066"/>
      <w:r>
        <w:t xml:space="preserve"> w miastach, w</w:t>
      </w:r>
      <w:r w:rsidR="00AD1121">
        <w:t> </w:t>
      </w:r>
      <w:r>
        <w:t>których odnotowane zostanie przekroczenie dopuszczalnego poziomu stężenia średniorocznego poziomu zanieczyszczeń dwutlenkiem azotu</w:t>
      </w:r>
      <w:bookmarkEnd w:id="57"/>
      <w:r>
        <w:t xml:space="preserve">. Rozwiązanie to przyczyni się do ograniczenia emisji pochodzących z transportu w </w:t>
      </w:r>
      <w:r w:rsidR="006D7CAC">
        <w:t>miejscach,</w:t>
      </w:r>
      <w:r>
        <w:t xml:space="preserve"> gdzie jest to szczególnie istotne.</w:t>
      </w:r>
    </w:p>
    <w:p w14:paraId="69072C64" w14:textId="275ADD29" w:rsidR="002A0740" w:rsidRPr="00067979" w:rsidRDefault="002A0740" w:rsidP="00A868D5">
      <w:pPr>
        <w:rPr>
          <w:b/>
          <w:bCs/>
        </w:rPr>
      </w:pPr>
      <w:r w:rsidRPr="009D61DE">
        <w:t>Istotnym kierunkiem działań będzie także podnoszenie świadomości społeczeństwa i</w:t>
      </w:r>
      <w:r>
        <w:t> </w:t>
      </w:r>
      <w:r w:rsidRPr="009D61DE">
        <w:t>promowanie przyjaznych środowisku sposobów kształtowania i zaspokajania potrzeb transportowych, przede wszystkim</w:t>
      </w:r>
      <w:r w:rsidRPr="009D61DE">
        <w:rPr>
          <w:b/>
        </w:rPr>
        <w:t xml:space="preserve"> </w:t>
      </w:r>
      <w:r w:rsidRPr="009D61DE">
        <w:t>w oparciu o politykę i planowanie transportowe, które promują transport zbiorowy oraz nisko- i zeroemisyjny</w:t>
      </w:r>
      <w:r>
        <w:t>, ale także ruch pieszy i rowerowy</w:t>
      </w:r>
      <w:r w:rsidRPr="009D61DE">
        <w:t>.</w:t>
      </w:r>
    </w:p>
    <w:p w14:paraId="2DC28F69" w14:textId="52AF0780" w:rsidR="00067979" w:rsidRDefault="00067979" w:rsidP="007D7C94">
      <w:pPr>
        <w:spacing w:before="480"/>
        <w:rPr>
          <w:szCs w:val="20"/>
        </w:rPr>
      </w:pPr>
      <w:r>
        <w:rPr>
          <w:b/>
          <w:bCs/>
          <w:sz w:val="22"/>
        </w:rPr>
        <w:t>D</w:t>
      </w:r>
      <w:r w:rsidR="00A868D5" w:rsidRPr="007D7C94">
        <w:rPr>
          <w:b/>
          <w:bCs/>
          <w:sz w:val="22"/>
        </w:rPr>
        <w:t>ekarbonizacj</w:t>
      </w:r>
      <w:r>
        <w:rPr>
          <w:b/>
          <w:bCs/>
          <w:sz w:val="22"/>
        </w:rPr>
        <w:t>a</w:t>
      </w:r>
      <w:r w:rsidR="00A868D5" w:rsidRPr="007D7C94">
        <w:rPr>
          <w:b/>
          <w:bCs/>
          <w:sz w:val="22"/>
        </w:rPr>
        <w:t xml:space="preserve"> transportu samochodowego</w:t>
      </w:r>
    </w:p>
    <w:p w14:paraId="71DFC66A" w14:textId="7754146C" w:rsidR="001959A7" w:rsidRDefault="00067979" w:rsidP="001959A7">
      <w:pPr>
        <w:spacing w:line="257" w:lineRule="auto"/>
        <w:ind w:left="-20" w:right="-20"/>
        <w:rPr>
          <w:rFonts w:eastAsia="Calibri" w:cs="Calibri"/>
          <w:kern w:val="0"/>
          <w:szCs w:val="20"/>
          <w14:ligatures w14:val="none"/>
        </w:rPr>
      </w:pPr>
      <w:r>
        <w:rPr>
          <w:szCs w:val="20"/>
        </w:rPr>
        <w:t>D</w:t>
      </w:r>
      <w:r w:rsidR="007D7C94">
        <w:rPr>
          <w:szCs w:val="20"/>
        </w:rPr>
        <w:t xml:space="preserve">la </w:t>
      </w:r>
      <w:r w:rsidR="00A868D5" w:rsidRPr="009D61DE">
        <w:rPr>
          <w:rFonts w:eastAsia="Calibri" w:cs="Calibri"/>
          <w:kern w:val="0"/>
          <w:szCs w:val="20"/>
          <w14:ligatures w14:val="none"/>
        </w:rPr>
        <w:t>pobudzeni</w:t>
      </w:r>
      <w:r w:rsidR="007D7C94">
        <w:rPr>
          <w:rFonts w:eastAsia="Calibri" w:cs="Calibri"/>
          <w:kern w:val="0"/>
          <w:szCs w:val="20"/>
          <w14:ligatures w14:val="none"/>
        </w:rPr>
        <w:t>a</w:t>
      </w:r>
      <w:r w:rsidR="00A868D5" w:rsidRPr="009D61DE">
        <w:rPr>
          <w:rFonts w:eastAsia="Calibri" w:cs="Calibri"/>
          <w:kern w:val="0"/>
          <w:szCs w:val="20"/>
          <w14:ligatures w14:val="none"/>
        </w:rPr>
        <w:t xml:space="preserve"> popytu na pojazdy niskoemisyjne kluczowym będzie istnienie obowiązku dotrzymania przez Zamawiających</w:t>
      </w:r>
      <w:r w:rsidR="00A868D5" w:rsidRPr="009D61DE">
        <w:rPr>
          <w:rFonts w:eastAsia="Calibri" w:cs="Calibri"/>
          <w:b/>
          <w:kern w:val="0"/>
          <w:szCs w:val="20"/>
          <w14:ligatures w14:val="none"/>
        </w:rPr>
        <w:t xml:space="preserve"> minimalnych udziałów pojazdów czystych (nisko- i zeroemisyjnych) w puli pojazdów drogowych objętych zamówieniami publicznymi</w:t>
      </w:r>
      <w:r w:rsidR="00A868D5" w:rsidRPr="009D61DE">
        <w:rPr>
          <w:rFonts w:eastAsia="Calibri" w:cs="Calibri"/>
          <w:kern w:val="0"/>
          <w:szCs w:val="20"/>
          <w14:ligatures w14:val="none"/>
        </w:rPr>
        <w:t>, wprowadzone poprzez </w:t>
      </w:r>
      <w:r w:rsidR="00A868D5" w:rsidRPr="009D61DE">
        <w:rPr>
          <w:rFonts w:eastAsia="Calibri" w:cs="Calibri"/>
          <w:i/>
          <w:iCs/>
          <w:kern w:val="0"/>
          <w:szCs w:val="20"/>
          <w14:ligatures w14:val="none"/>
        </w:rPr>
        <w:t>ustawę z dnia 2</w:t>
      </w:r>
      <w:r>
        <w:rPr>
          <w:rFonts w:eastAsia="Calibri" w:cs="Calibri"/>
          <w:i/>
          <w:iCs/>
          <w:kern w:val="0"/>
          <w:szCs w:val="20"/>
          <w14:ligatures w14:val="none"/>
        </w:rPr>
        <w:t> </w:t>
      </w:r>
      <w:r w:rsidR="00A868D5" w:rsidRPr="009D61DE">
        <w:rPr>
          <w:rFonts w:eastAsia="Calibri" w:cs="Calibri"/>
          <w:i/>
          <w:iCs/>
          <w:kern w:val="0"/>
          <w:szCs w:val="20"/>
          <w14:ligatures w14:val="none"/>
        </w:rPr>
        <w:t xml:space="preserve">grudnia 2021 r. o zmianie ustawy o elektromobilności i paliwach alternatywnych oraz niektórych innych ustaw, </w:t>
      </w:r>
      <w:r w:rsidR="00A868D5" w:rsidRPr="009D61DE">
        <w:rPr>
          <w:rFonts w:eastAsia="Calibri" w:cs="Calibri"/>
          <w:kern w:val="0"/>
          <w:szCs w:val="20"/>
          <w14:ligatures w14:val="none"/>
        </w:rPr>
        <w:t xml:space="preserve">wdrażając tym samym </w:t>
      </w:r>
      <w:r w:rsidR="00A868D5" w:rsidRPr="00E82973">
        <w:rPr>
          <w:rFonts w:eastAsia="Calibri" w:cs="Calibri"/>
          <w:kern w:val="0"/>
          <w:szCs w:val="20"/>
          <w14:ligatures w14:val="none"/>
        </w:rPr>
        <w:t>d</w:t>
      </w:r>
      <w:r w:rsidR="00A868D5" w:rsidRPr="009D61DE">
        <w:rPr>
          <w:rFonts w:eastAsia="Calibri" w:cs="Calibri"/>
          <w:kern w:val="0"/>
          <w:szCs w:val="20"/>
          <w14:ligatures w14:val="none"/>
        </w:rPr>
        <w:t>yrektywę</w:t>
      </w:r>
      <w:r w:rsidR="00A868D5" w:rsidRPr="00E82973">
        <w:rPr>
          <w:rFonts w:eastAsia="Calibri" w:cs="Calibri"/>
          <w:kern w:val="0"/>
          <w:szCs w:val="20"/>
          <w14:ligatures w14:val="none"/>
        </w:rPr>
        <w:t xml:space="preserve"> </w:t>
      </w:r>
      <w:r w:rsidR="007D7C94">
        <w:rPr>
          <w:rFonts w:eastAsia="Calibri" w:cs="Calibri"/>
          <w:kern w:val="0"/>
          <w:szCs w:val="20"/>
          <w14:ligatures w14:val="none"/>
        </w:rPr>
        <w:t xml:space="preserve">2019/1161 – </w:t>
      </w:r>
      <w:r w:rsidR="00A868D5" w:rsidRPr="00E82973">
        <w:rPr>
          <w:rFonts w:eastAsia="Calibri" w:cs="Calibri"/>
          <w:kern w:val="0"/>
          <w:szCs w:val="20"/>
          <w14:ligatures w14:val="none"/>
        </w:rPr>
        <w:t>CVD</w:t>
      </w:r>
      <w:r w:rsidR="00A868D5" w:rsidRPr="009D61DE">
        <w:rPr>
          <w:rFonts w:eastAsia="Calibri" w:cs="Calibri"/>
          <w:kern w:val="0"/>
          <w:szCs w:val="20"/>
          <w14:ligatures w14:val="none"/>
        </w:rPr>
        <w:t xml:space="preserve">. Obowiązek obejmuje zapewnienie przez zamawiających minimalnych poziomów docelowych udziału nisko- i zeroemisyjnych pojazdów drogowych do przewozu pasażerów i ładunków (kategorii M i N) w całkowitej liczbie pojazdów objętych udzielonymi zamówieniami publicznymi (o wartości równej lub przekraczającej progi unijne) na: dostawy pojazdów, wybrane usługi o charakterze transportowym oraz usługi drogowego publicznego transportu zbiorowego, w dwóch okresach: od 24 grudnia 2021 r. do 31 grudnia 2025 r. oraz od 1 stycznia 2026 r. do 31 grudnia 2030 r. </w:t>
      </w:r>
      <w:r w:rsidR="001959A7">
        <w:rPr>
          <w:rFonts w:eastAsia="Calibri" w:cs="Calibri"/>
          <w:kern w:val="0"/>
          <w:szCs w:val="20"/>
          <w14:ligatures w14:val="none"/>
        </w:rPr>
        <w:t xml:space="preserve">Ponadto </w:t>
      </w:r>
      <w:r w:rsidR="001959A7" w:rsidRPr="009D61DE">
        <w:rPr>
          <w:rFonts w:eastAsia="Calibri" w:cs="Calibri"/>
          <w:i/>
          <w:iCs/>
          <w:kern w:val="0"/>
          <w:szCs w:val="20"/>
          <w14:ligatures w14:val="none"/>
        </w:rPr>
        <w:t>ustaw</w:t>
      </w:r>
      <w:r w:rsidR="001959A7">
        <w:rPr>
          <w:rFonts w:eastAsia="Calibri" w:cs="Calibri"/>
          <w:i/>
          <w:iCs/>
          <w:kern w:val="0"/>
          <w:szCs w:val="20"/>
          <w14:ligatures w14:val="none"/>
        </w:rPr>
        <w:t>a</w:t>
      </w:r>
      <w:r w:rsidR="001959A7" w:rsidRPr="009D61DE">
        <w:rPr>
          <w:rFonts w:eastAsia="Calibri" w:cs="Calibri"/>
          <w:i/>
          <w:iCs/>
          <w:kern w:val="0"/>
          <w:szCs w:val="20"/>
          <w14:ligatures w14:val="none"/>
        </w:rPr>
        <w:t xml:space="preserve"> o elektromobilności i paliwach alternatywnych</w:t>
      </w:r>
      <w:r w:rsidR="001959A7">
        <w:rPr>
          <w:rFonts w:eastAsia="Calibri" w:cs="Calibri"/>
          <w:i/>
          <w:iCs/>
          <w:kern w:val="0"/>
          <w:szCs w:val="20"/>
          <w14:ligatures w14:val="none"/>
        </w:rPr>
        <w:t xml:space="preserve"> </w:t>
      </w:r>
      <w:r w:rsidR="001959A7">
        <w:rPr>
          <w:rFonts w:eastAsia="Calibri" w:cs="Calibri"/>
          <w:kern w:val="0"/>
          <w:szCs w:val="20"/>
          <w14:ligatures w14:val="none"/>
        </w:rPr>
        <w:t xml:space="preserve">zobowiązała </w:t>
      </w:r>
      <w:r w:rsidR="001959A7" w:rsidRPr="003F2DBF">
        <w:rPr>
          <w:rFonts w:eastAsia="Calibri" w:cs="Calibri"/>
          <w:kern w:val="0"/>
          <w:szCs w:val="20"/>
          <w14:ligatures w14:val="none"/>
        </w:rPr>
        <w:t>organ</w:t>
      </w:r>
      <w:r w:rsidR="001959A7">
        <w:rPr>
          <w:rFonts w:eastAsia="Calibri" w:cs="Calibri"/>
          <w:kern w:val="0"/>
          <w:szCs w:val="20"/>
          <w14:ligatures w14:val="none"/>
        </w:rPr>
        <w:t>y</w:t>
      </w:r>
      <w:r w:rsidR="001959A7" w:rsidRPr="003F2DBF">
        <w:rPr>
          <w:rFonts w:eastAsia="Calibri" w:cs="Calibri"/>
          <w:kern w:val="0"/>
          <w:szCs w:val="20"/>
          <w14:ligatures w14:val="none"/>
        </w:rPr>
        <w:t xml:space="preserve"> naczeln</w:t>
      </w:r>
      <w:r w:rsidR="001959A7">
        <w:rPr>
          <w:rFonts w:eastAsia="Calibri" w:cs="Calibri"/>
          <w:kern w:val="0"/>
          <w:szCs w:val="20"/>
          <w14:ligatures w14:val="none"/>
        </w:rPr>
        <w:t>e</w:t>
      </w:r>
      <w:r w:rsidR="001959A7" w:rsidRPr="003F2DBF">
        <w:rPr>
          <w:rFonts w:eastAsia="Calibri" w:cs="Calibri"/>
          <w:kern w:val="0"/>
          <w:szCs w:val="20"/>
          <w14:ligatures w14:val="none"/>
        </w:rPr>
        <w:t xml:space="preserve"> i</w:t>
      </w:r>
      <w:r w:rsidR="001959A7">
        <w:rPr>
          <w:rFonts w:eastAsia="Calibri" w:cs="Calibri"/>
          <w:kern w:val="0"/>
          <w:szCs w:val="20"/>
          <w14:ligatures w14:val="none"/>
        </w:rPr>
        <w:t> </w:t>
      </w:r>
      <w:r w:rsidR="001959A7" w:rsidRPr="003F2DBF">
        <w:rPr>
          <w:rFonts w:eastAsia="Calibri" w:cs="Calibri"/>
          <w:kern w:val="0"/>
          <w:szCs w:val="20"/>
          <w14:ligatures w14:val="none"/>
        </w:rPr>
        <w:t>centraln</w:t>
      </w:r>
      <w:r w:rsidR="001959A7">
        <w:rPr>
          <w:rFonts w:eastAsia="Calibri" w:cs="Calibri"/>
          <w:kern w:val="0"/>
          <w:szCs w:val="20"/>
          <w14:ligatures w14:val="none"/>
        </w:rPr>
        <w:t>e</w:t>
      </w:r>
      <w:r w:rsidR="001959A7" w:rsidRPr="003F2DBF">
        <w:rPr>
          <w:rFonts w:eastAsia="Calibri" w:cs="Calibri"/>
          <w:kern w:val="0"/>
          <w:szCs w:val="20"/>
          <w14:ligatures w14:val="none"/>
        </w:rPr>
        <w:t xml:space="preserve"> oraz </w:t>
      </w:r>
      <w:r w:rsidR="001959A7">
        <w:rPr>
          <w:rFonts w:eastAsia="Calibri" w:cs="Calibri"/>
          <w:kern w:val="0"/>
          <w:szCs w:val="20"/>
          <w14:ligatures w14:val="none"/>
        </w:rPr>
        <w:t>jednostki samorządu terytorialnego</w:t>
      </w:r>
      <w:r w:rsidR="001959A7" w:rsidRPr="003F2DBF">
        <w:rPr>
          <w:rFonts w:eastAsia="Calibri" w:cs="Calibri"/>
          <w:kern w:val="0"/>
          <w:szCs w:val="20"/>
          <w14:ligatures w14:val="none"/>
        </w:rPr>
        <w:t xml:space="preserve"> pow</w:t>
      </w:r>
      <w:r w:rsidR="001959A7">
        <w:rPr>
          <w:rFonts w:eastAsia="Calibri" w:cs="Calibri"/>
          <w:kern w:val="0"/>
          <w:szCs w:val="20"/>
          <w14:ligatures w14:val="none"/>
        </w:rPr>
        <w:t>yżej</w:t>
      </w:r>
      <w:r w:rsidR="001959A7" w:rsidRPr="003F2DBF">
        <w:rPr>
          <w:rFonts w:eastAsia="Calibri" w:cs="Calibri"/>
          <w:kern w:val="0"/>
          <w:szCs w:val="20"/>
          <w14:ligatures w14:val="none"/>
        </w:rPr>
        <w:t xml:space="preserve"> 50 tys. mieszkańców</w:t>
      </w:r>
      <w:r w:rsidR="001959A7">
        <w:rPr>
          <w:rFonts w:eastAsia="Calibri" w:cs="Calibri"/>
          <w:kern w:val="0"/>
          <w:szCs w:val="20"/>
          <w14:ligatures w14:val="none"/>
        </w:rPr>
        <w:t xml:space="preserve"> obowiązek wykorzystania we flocie </w:t>
      </w:r>
      <w:r w:rsidR="001959A7" w:rsidRPr="003F2DBF">
        <w:rPr>
          <w:rFonts w:eastAsia="Calibri" w:cs="Calibri"/>
          <w:kern w:val="0"/>
          <w:szCs w:val="20"/>
          <w14:ligatures w14:val="none"/>
        </w:rPr>
        <w:t xml:space="preserve">elektrycznych </w:t>
      </w:r>
      <w:r w:rsidR="001959A7">
        <w:rPr>
          <w:rFonts w:eastAsia="Calibri" w:cs="Calibri"/>
          <w:kern w:val="0"/>
          <w:szCs w:val="20"/>
          <w14:ligatures w14:val="none"/>
        </w:rPr>
        <w:t>pojazdów samochodowych. Udział tych pojazdów we flocie ma wynieść docelowo 30%.</w:t>
      </w:r>
    </w:p>
    <w:p w14:paraId="0730631C" w14:textId="30CBC3D3" w:rsidR="00A868D5" w:rsidRPr="009D61DE" w:rsidRDefault="00A868D5" w:rsidP="00067979">
      <w:pPr>
        <w:rPr>
          <w:rFonts w:eastAsia="Calibri" w:cs="Calibri"/>
          <w:kern w:val="0"/>
          <w:szCs w:val="20"/>
          <w14:ligatures w14:val="none"/>
        </w:rPr>
      </w:pPr>
    </w:p>
    <w:p w14:paraId="10788A6E" w14:textId="55345812" w:rsidR="007F7CCE" w:rsidRDefault="001C0F0D" w:rsidP="007F7CCE">
      <w:pPr>
        <w:spacing w:line="257" w:lineRule="auto"/>
        <w:ind w:left="-20" w:right="-20"/>
        <w:rPr>
          <w:rFonts w:eastAsia="Lato" w:cs="Lato"/>
          <w:szCs w:val="20"/>
        </w:rPr>
      </w:pPr>
      <w:r>
        <w:rPr>
          <w:rFonts w:eastAsia="Lato" w:cs="Lato"/>
          <w:szCs w:val="20"/>
        </w:rPr>
        <w:lastRenderedPageBreak/>
        <w:t>R</w:t>
      </w:r>
      <w:r w:rsidR="007F7CCE">
        <w:rPr>
          <w:rFonts w:eastAsia="Lato" w:cs="Lato"/>
          <w:szCs w:val="20"/>
        </w:rPr>
        <w:t xml:space="preserve">ealizację celów w zakresie dekarbonizacji transportu drogowego wspierają także instrumenty fiskalne wprowadzone do polskiego systemu prawnego. Mają one na celu obniżenie początkowo wyższych kosztów nabycia pojazdów zasilanych paliwami alternatywnymi (zwolnienia podatkowe) oraz późniejsze ich użytkowanie (koszty amortyzacji). </w:t>
      </w:r>
    </w:p>
    <w:p w14:paraId="7B63673D" w14:textId="77777777" w:rsidR="007F7CCE" w:rsidRDefault="007F7CCE" w:rsidP="007F7CCE">
      <w:pPr>
        <w:rPr>
          <w:color w:val="70AD47" w:themeColor="accent6"/>
        </w:rPr>
      </w:pPr>
      <w:r>
        <w:t>Dla rozwoju elektromobilności, k</w:t>
      </w:r>
      <w:r w:rsidRPr="009D61DE">
        <w:t>luczowe będzie także utworzenie</w:t>
      </w:r>
      <w:r>
        <w:t xml:space="preserve"> gęstej sieci</w:t>
      </w:r>
      <w:r w:rsidRPr="009D61DE">
        <w:t xml:space="preserve"> </w:t>
      </w:r>
      <w:r w:rsidRPr="009D61DE">
        <w:rPr>
          <w:b/>
        </w:rPr>
        <w:t>ogólnodostępnej infrastruktury ładowania</w:t>
      </w:r>
      <w:r w:rsidRPr="009D61DE">
        <w:t xml:space="preserve"> elektrycznych pojazdów drogowych, zgodnie z rozporządzeniem </w:t>
      </w:r>
      <w:r>
        <w:t xml:space="preserve">AFIR, </w:t>
      </w:r>
      <w:r>
        <w:rPr>
          <w:rFonts w:eastAsia="Times New Roman" w:cs="Times New Roman"/>
          <w:color w:val="000000" w:themeColor="text1"/>
          <w:kern w:val="0"/>
          <w:lang w:eastAsia="it-IT"/>
          <w14:ligatures w14:val="none"/>
        </w:rPr>
        <w:t xml:space="preserve">które </w:t>
      </w:r>
      <w:r w:rsidRPr="00841C0D">
        <w:rPr>
          <w:rFonts w:eastAsia="Times New Roman" w:cs="Times New Roman"/>
          <w:color w:val="000000" w:themeColor="text1"/>
          <w:kern w:val="0"/>
          <w:lang w:eastAsia="it-IT"/>
          <w14:ligatures w14:val="none"/>
        </w:rPr>
        <w:t>nakłada na każde państwo członkowskie cele wiążące w zakresie infrastruktury paliw alternatywnych</w:t>
      </w:r>
      <w:r w:rsidRPr="009D61DE">
        <w:t xml:space="preserve">. </w:t>
      </w:r>
    </w:p>
    <w:p w14:paraId="2F7C81BA" w14:textId="23E88FC2" w:rsidR="007F7CCE" w:rsidRPr="00A430D4" w:rsidRDefault="007F7CCE" w:rsidP="007F7CCE">
      <w:pPr>
        <w:rPr>
          <w:lang w:eastAsia="it-IT"/>
        </w:rPr>
      </w:pPr>
      <w:r w:rsidRPr="00A430D4">
        <w:t>Mając na uwadze konieczne tempo dekarbonizacji transportu oraz sytuację ekonomiczną w kraju, na początkowym etapie rozwoju elektromobilności znaczącą rolę odgrywają instrumenty wsparcia finansowego. Od 2021 r. w Polsce funkcjonują programy wspierające nabycie zeroemisyjnych pojazdów, w tym autobusów, co przyczynia się do wzrostu popytu na te pojazdy. Ponadto, wspierana jest budowa i rozbudowa infrastruktury ładowania wraz z niezbędną infrastrukturą przyłączeniową oraz infrastruktura tankowania wodoru. Inicjatywy te obejmują pełen katalog niezbędnych inwestycji.</w:t>
      </w:r>
    </w:p>
    <w:p w14:paraId="56898C11" w14:textId="77777777" w:rsidR="007F7CCE" w:rsidRPr="00A430D4" w:rsidRDefault="007F7CCE" w:rsidP="007F7CCE">
      <w:r w:rsidRPr="00A430D4">
        <w:rPr>
          <w:lang w:eastAsia="it-IT"/>
        </w:rPr>
        <w:t xml:space="preserve">Dodatkowo, w związku z koniecznością dekarbonizacji transportu ciężkiego, planowane jest uruchomienie nowych programów mających na celu wsparcie rynku zeroemisyjnych pojazdów ciężkich kategorii N2 i N3 oraz wsparcie rozwoju infrastruktury ładowania dedykowanej transportowi ciężkiemu. </w:t>
      </w:r>
      <w:r w:rsidRPr="00A430D4">
        <w:t>Wskazać należy, że rozszerzenie programów wsparcia na sektor transportu ciężkiego pozwoli na znaczne zwiększenie wykorzystania energii elektrycznej, a tym samym przełoży się na istotny wzrost udziału OZE w transporcie.</w:t>
      </w:r>
    </w:p>
    <w:p w14:paraId="2F491568" w14:textId="291244B6" w:rsidR="007F7CCE" w:rsidRPr="007F7CCE" w:rsidRDefault="007F7CCE" w:rsidP="007F7CCE">
      <w:r w:rsidRPr="00A430D4">
        <w:t>Oprócz tego planowane są inicjatywy wspierające rozwój niepublicznej infrastruktury ładowania pojazdów drogowych, co umożliwi dalsze zwiększenie dostępności pojazdów zeroemisyjnych w sektorze transportu. W ramach środków z KPO realizowane będą także inwestycje związane z zakupem elektrycznych osobowych pojazdów samochodowych, przez dofinansowanie do zakupu tych pojazdów dla osób fizycznych i osób prowadzących jednoosobową działalność gospodarczą.</w:t>
      </w:r>
      <w:r>
        <w:t xml:space="preserve"> </w:t>
      </w:r>
    </w:p>
    <w:p w14:paraId="691B205E" w14:textId="77777777" w:rsidR="007F7CCE" w:rsidRDefault="007F7CCE" w:rsidP="007F7CCE">
      <w:r>
        <w:t>Ponadto i</w:t>
      </w:r>
      <w:r w:rsidRPr="009D61DE">
        <w:t xml:space="preserve">stotnym wsparciem dla </w:t>
      </w:r>
      <w:r w:rsidRPr="00E82973">
        <w:t xml:space="preserve">autobusowego publicznego transportu zbiorowego </w:t>
      </w:r>
      <w:r w:rsidRPr="009D61DE">
        <w:t xml:space="preserve">jest funkcjonujący od </w:t>
      </w:r>
      <w:r>
        <w:t>połowy</w:t>
      </w:r>
      <w:r w:rsidRPr="009D61DE">
        <w:t xml:space="preserve"> 2019</w:t>
      </w:r>
      <w:r w:rsidRPr="00E82973">
        <w:t> </w:t>
      </w:r>
      <w:r w:rsidRPr="009D61DE">
        <w:t xml:space="preserve">r. </w:t>
      </w:r>
      <w:r w:rsidRPr="009D61DE">
        <w:rPr>
          <w:b/>
        </w:rPr>
        <w:t>Fundusz rozwoju przewozów autobusowych o charakterze użyteczności publicznej</w:t>
      </w:r>
      <w:r w:rsidRPr="009D61DE">
        <w:t xml:space="preserve">. Środki Funduszu przeznacza się na dofinasowanie realizacji zadań własnych </w:t>
      </w:r>
      <w:r w:rsidRPr="00E82973">
        <w:t>jednostek samorządu terytorialnego</w:t>
      </w:r>
      <w:r w:rsidRPr="009D61DE">
        <w:t xml:space="preserve"> w </w:t>
      </w:r>
      <w:r w:rsidRPr="00E82973">
        <w:t xml:space="preserve">zakresie </w:t>
      </w:r>
      <w:r w:rsidRPr="009D61DE">
        <w:t>przewozów autobusowych o charakterze użyteczności publicznej</w:t>
      </w:r>
      <w:r w:rsidRPr="00E82973">
        <w:t>, z wyłączeniem komunikacji miejskiej. Środki Funduszu mogą przyczyniać się do</w:t>
      </w:r>
      <w:r w:rsidRPr="009D61DE">
        <w:t xml:space="preserve"> eliminowani</w:t>
      </w:r>
      <w:r w:rsidRPr="00E82973">
        <w:t>a</w:t>
      </w:r>
      <w:r w:rsidRPr="009D61DE">
        <w:t xml:space="preserve"> wykluczenia komunikacyjnego i</w:t>
      </w:r>
      <w:r>
        <w:t> </w:t>
      </w:r>
      <w:r w:rsidRPr="009D61DE">
        <w:t>zwiększania dostępu do komunikacji publicznej, przede wszystkim tam, gdzie komunikacja taka nie funkcjonowała lub funkcjonuje w wymiarze, który w pełni nie zaspokaja potrzeb mieszkańców obszaru.</w:t>
      </w:r>
    </w:p>
    <w:p w14:paraId="7DB2AA4B" w14:textId="7B50C623" w:rsidR="00A868D5" w:rsidRDefault="001C0F0D" w:rsidP="00610AA0">
      <w:r>
        <w:t>Oprócz rozwoju zeroemisyjnej mobilności,</w:t>
      </w:r>
      <w:r w:rsidRPr="00E82973">
        <w:t xml:space="preserve"> </w:t>
      </w:r>
      <w:r>
        <w:t>z</w:t>
      </w:r>
      <w:r w:rsidR="00A868D5" w:rsidRPr="00E82973">
        <w:t xml:space="preserve">asadniczym priorytetem jest </w:t>
      </w:r>
      <w:r w:rsidR="00A868D5" w:rsidRPr="009D61DE">
        <w:rPr>
          <w:b/>
        </w:rPr>
        <w:t>poprawa spójności sieci drogowej</w:t>
      </w:r>
      <w:r w:rsidR="00A868D5" w:rsidRPr="00E82973">
        <w:t xml:space="preserve"> i bezpieczeństwa ruchu drogowego, co</w:t>
      </w:r>
      <w:r w:rsidR="00C10860">
        <w:t> </w:t>
      </w:r>
      <w:r w:rsidR="00A868D5" w:rsidRPr="00E82973">
        <w:t>odbywa się głównie dzięki budowie autostrad, dróg ekspresowych oraz obwodnic miast na sieci TEN-T</w:t>
      </w:r>
      <w:r w:rsidR="00CC4D97">
        <w:t xml:space="preserve"> </w:t>
      </w:r>
      <w:r w:rsidR="00CC4D97">
        <w:rPr>
          <w:rFonts w:eastAsia="Lato" w:cs="Lato"/>
        </w:rPr>
        <w:t xml:space="preserve">(drogi </w:t>
      </w:r>
      <w:r w:rsidR="00CC4D97" w:rsidRPr="596A49A6">
        <w:rPr>
          <w:rFonts w:eastAsia="Lato" w:cs="Lato"/>
        </w:rPr>
        <w:t>szczególnie ważne dla transportu na obszarze Unii Europejskiej</w:t>
      </w:r>
      <w:r w:rsidR="00CC4D97">
        <w:rPr>
          <w:rFonts w:eastAsia="Lato" w:cs="Lato"/>
        </w:rPr>
        <w:t>)</w:t>
      </w:r>
      <w:r w:rsidR="00CC4D97" w:rsidRPr="596A49A6">
        <w:rPr>
          <w:rFonts w:eastAsia="Lato" w:cs="Lato"/>
        </w:rPr>
        <w:t>.</w:t>
      </w:r>
      <w:r w:rsidR="00A868D5" w:rsidRPr="00E82973">
        <w:t>.  N</w:t>
      </w:r>
      <w:r w:rsidR="00A868D5" w:rsidRPr="009D61DE">
        <w:t>owe inwestycje w tej dziedzinie</w:t>
      </w:r>
      <w:r w:rsidR="00A868D5" w:rsidRPr="00E82973">
        <w:rPr>
          <w:b/>
        </w:rPr>
        <w:t xml:space="preserve"> </w:t>
      </w:r>
      <w:r w:rsidR="00A868D5" w:rsidRPr="00E82973">
        <w:t>realizowane będą</w:t>
      </w:r>
      <w:r w:rsidR="00A868D5" w:rsidRPr="009D61DE">
        <w:t xml:space="preserve"> zgodnie z </w:t>
      </w:r>
      <w:r w:rsidR="00A868D5" w:rsidRPr="00CC4D97">
        <w:rPr>
          <w:b/>
          <w:bCs/>
          <w:i/>
          <w:iCs/>
        </w:rPr>
        <w:t>Rządowym Programem Budowy Dróg Krajowych do 2030 r. (z perspektywą do 2033 r.)</w:t>
      </w:r>
      <w:r w:rsidR="00A868D5" w:rsidRPr="00E82973">
        <w:t xml:space="preserve"> dzięki czemu możliwe będzie umieszczenie na sieci TEN</w:t>
      </w:r>
      <w:r w:rsidR="00610AA0">
        <w:noBreakHyphen/>
      </w:r>
      <w:r w:rsidR="00A868D5" w:rsidRPr="00E82973">
        <w:t xml:space="preserve">T stacji paliw alternatywnych dla ciężkich pojazdów samochodowych. </w:t>
      </w:r>
      <w:r w:rsidR="00CC4D97">
        <w:t>D</w:t>
      </w:r>
      <w:r w:rsidR="00CC4D97" w:rsidRPr="596A49A6">
        <w:rPr>
          <w:rFonts w:eastAsia="Lato" w:cs="Lato"/>
        </w:rPr>
        <w:t xml:space="preserve">użą rolę odgrywają </w:t>
      </w:r>
      <w:r w:rsidR="00CC4D97">
        <w:rPr>
          <w:rFonts w:eastAsia="Lato" w:cs="Lato"/>
        </w:rPr>
        <w:t>ś</w:t>
      </w:r>
      <w:r w:rsidR="00CC4D97" w:rsidRPr="596A49A6">
        <w:rPr>
          <w:rFonts w:eastAsia="Lato" w:cs="Lato"/>
        </w:rPr>
        <w:t>rodki w ramach instrumentu „Łącząc Europę” (</w:t>
      </w:r>
      <w:r w:rsidR="00CC4D97">
        <w:rPr>
          <w:rFonts w:eastAsia="Lato" w:cs="Lato"/>
        </w:rPr>
        <w:t xml:space="preserve">ang. </w:t>
      </w:r>
      <w:r w:rsidR="00CC4D97" w:rsidRPr="00087588">
        <w:rPr>
          <w:rFonts w:eastAsia="Lato" w:cs="Lato"/>
          <w:i/>
          <w:iCs/>
        </w:rPr>
        <w:t>Connecting Europe Facility</w:t>
      </w:r>
      <w:r w:rsidR="00CC4D97">
        <w:rPr>
          <w:rFonts w:eastAsia="Lato" w:cs="Lato"/>
        </w:rPr>
        <w:t>,</w:t>
      </w:r>
      <w:r w:rsidR="00CC4D97" w:rsidRPr="596A49A6">
        <w:rPr>
          <w:rFonts w:eastAsia="Lato" w:cs="Lato"/>
        </w:rPr>
        <w:t xml:space="preserve"> CEF</w:t>
      </w:r>
      <w:r w:rsidR="00CC4D97">
        <w:rPr>
          <w:rFonts w:eastAsia="Lato" w:cs="Lato"/>
        </w:rPr>
        <w:t xml:space="preserve">), który </w:t>
      </w:r>
      <w:r w:rsidR="00CC4D97" w:rsidRPr="596A49A6">
        <w:rPr>
          <w:rFonts w:eastAsia="Lato" w:cs="Lato"/>
        </w:rPr>
        <w:t>ma na celu wspieranie modernizacji i budowy infrastruktury położonej na transeuropejskiej sieci transportowej TEN-T</w:t>
      </w:r>
      <w:r w:rsidR="00CC4D97">
        <w:rPr>
          <w:rFonts w:eastAsia="Lato" w:cs="Lato"/>
        </w:rPr>
        <w:t>.</w:t>
      </w:r>
      <w:r w:rsidR="00CC4D97" w:rsidRPr="596A49A6">
        <w:rPr>
          <w:rFonts w:eastAsia="Lato" w:cs="Lato"/>
        </w:rPr>
        <w:t xml:space="preserve"> </w:t>
      </w:r>
      <w:r w:rsidR="00A868D5" w:rsidRPr="009D61DE">
        <w:t xml:space="preserve">Równolegle do nowych inwestycji, prowadzone będą działania inwestycyjne na istniejącej sieci dróg krajowych. Obejmują one kompleksowe przebudowy/rozbudowy odcinków dróg krajowych, punktowe zadania ukierunkowane na poprawę bezpieczeństwa oraz inne zadania mające na celu zapewnienie prawidłowego funkcjonowania sieci drogowej. </w:t>
      </w:r>
      <w:r w:rsidR="00A868D5" w:rsidRPr="00E82973">
        <w:t xml:space="preserve">Realizacja tych inwestycji </w:t>
      </w:r>
      <w:r w:rsidR="00A868D5" w:rsidRPr="009D61DE">
        <w:t>zapewni płynność ruchu na długich dystansach, a tym samym wpłynie na ograniczenie zużycia paliwa przez pojazdy.</w:t>
      </w:r>
      <w:r w:rsidR="00A868D5" w:rsidRPr="00E82973">
        <w:t xml:space="preserve"> Działania te będą realizowane w </w:t>
      </w:r>
      <w:r w:rsidR="00A868D5" w:rsidRPr="009D61DE">
        <w:t xml:space="preserve">ramach </w:t>
      </w:r>
      <w:r w:rsidR="00A868D5" w:rsidRPr="00610AA0">
        <w:rPr>
          <w:b/>
          <w:bCs/>
          <w:i/>
          <w:iCs/>
        </w:rPr>
        <w:t>Programu Bezpiecznej Infrastruktury Drogowej na lata 2021-2024</w:t>
      </w:r>
      <w:r w:rsidR="00A868D5" w:rsidRPr="009D61DE">
        <w:t xml:space="preserve"> </w:t>
      </w:r>
      <w:r w:rsidR="00610AA0">
        <w:t>(</w:t>
      </w:r>
      <w:hyperlink r:id="rId54" w:history="1">
        <w:r w:rsidR="00610AA0" w:rsidRPr="00610AA0">
          <w:rPr>
            <w:rStyle w:val="Hipercze"/>
          </w:rPr>
          <w:t>link</w:t>
        </w:r>
      </w:hyperlink>
      <w:r w:rsidR="00610AA0">
        <w:t xml:space="preserve">) </w:t>
      </w:r>
      <w:r w:rsidR="00A868D5" w:rsidRPr="00E82973">
        <w:t xml:space="preserve">oraz </w:t>
      </w:r>
      <w:r w:rsidR="00A868D5" w:rsidRPr="009D61DE">
        <w:t>program</w:t>
      </w:r>
      <w:r w:rsidR="00A868D5" w:rsidRPr="00E82973">
        <w:t>u</w:t>
      </w:r>
      <w:r w:rsidR="00A868D5" w:rsidRPr="009D61DE">
        <w:t xml:space="preserve"> wieloletni</w:t>
      </w:r>
      <w:r w:rsidR="00A868D5" w:rsidRPr="00E82973">
        <w:t>ego</w:t>
      </w:r>
      <w:r w:rsidR="00A868D5" w:rsidRPr="009D61DE">
        <w:t xml:space="preserve"> pn. </w:t>
      </w:r>
      <w:r w:rsidR="00A868D5" w:rsidRPr="00610AA0">
        <w:rPr>
          <w:b/>
          <w:bCs/>
          <w:i/>
          <w:iCs/>
        </w:rPr>
        <w:t xml:space="preserve">Program Wzmocnienia Krajowej Sieci Drogowej do 2030 r. </w:t>
      </w:r>
      <w:r w:rsidR="00A868D5" w:rsidRPr="009D61DE">
        <w:t>(</w:t>
      </w:r>
      <w:hyperlink r:id="rId55" w:history="1">
        <w:r w:rsidR="00610AA0" w:rsidRPr="00610AA0">
          <w:rPr>
            <w:rStyle w:val="Hipercze"/>
          </w:rPr>
          <w:t>link</w:t>
        </w:r>
      </w:hyperlink>
      <w:r w:rsidR="00A868D5" w:rsidRPr="009D61DE">
        <w:t xml:space="preserve">). </w:t>
      </w:r>
      <w:r w:rsidR="00610AA0">
        <w:t>Program</w:t>
      </w:r>
      <w:r w:rsidR="00A868D5" w:rsidRPr="009D61DE">
        <w:t xml:space="preserve"> służy w szczególności utrzymaniu wymaganego stanu technicznego istniejącej infrastruktury, zwiększeniu spójności sieci dróg krajowych dostosowanych do ruchu pojazdów o nacisku pojedynczej osi do 11,5 t oraz intensyfikacji działań zmniejszających negatywny wpływ infrastruktury drogowej na środowisko. </w:t>
      </w:r>
    </w:p>
    <w:p w14:paraId="52F04D34" w14:textId="77777777" w:rsidR="001C0F0D" w:rsidRDefault="001C0F0D" w:rsidP="00DC7166">
      <w:pPr>
        <w:spacing w:line="257" w:lineRule="auto"/>
      </w:pPr>
      <w:r w:rsidRPr="009D61DE">
        <w:lastRenderedPageBreak/>
        <w:t xml:space="preserve">Wspierany będzie rozwój i </w:t>
      </w:r>
      <w:r w:rsidRPr="009D61DE">
        <w:rPr>
          <w:b/>
        </w:rPr>
        <w:t>wdrażanie Inteligentnych Systemów Transportowych (ITS</w:t>
      </w:r>
      <w:r w:rsidRPr="009D61DE">
        <w:t>), w tym Krajowy System Zarządzania Ruchem Drogowym (KSZR), jako narzędzia do realizacji celów polityki zrównoważonej mobilności. KSZR umożliwi dynamiczne zarządzanie ruchem w sieci dróg krajowych, usprawnienie procesów utrzymania infrastruktury drogowej oraz integrację z systemami ITS wdrażanymi przez innych zarządców dróg, w tym na obszarach miejskich.</w:t>
      </w:r>
    </w:p>
    <w:p w14:paraId="1095716C" w14:textId="5FA5E8C9" w:rsidR="00411148" w:rsidRPr="001A3FC2" w:rsidRDefault="00411148" w:rsidP="00411148">
      <w:pPr>
        <w:rPr>
          <w:rFonts w:eastAsiaTheme="minorEastAsia" w:cstheme="minorHAnsi"/>
          <w:kern w:val="0"/>
          <w:szCs w:val="20"/>
          <w14:ligatures w14:val="none"/>
        </w:rPr>
      </w:pPr>
      <w:r w:rsidRPr="001A3FC2">
        <w:rPr>
          <w:szCs w:val="20"/>
        </w:rPr>
        <w:t xml:space="preserve">Ponadto </w:t>
      </w:r>
      <w:r w:rsidRPr="001A3FC2">
        <w:rPr>
          <w:rFonts w:eastAsiaTheme="minorEastAsia" w:cstheme="minorHAnsi"/>
          <w:kern w:val="0"/>
          <w:szCs w:val="20"/>
          <w14:ligatures w14:val="none"/>
        </w:rPr>
        <w:t>KE przyjęła</w:t>
      </w:r>
      <w:r w:rsidR="004F4DB6">
        <w:rPr>
          <w:rFonts w:eastAsiaTheme="minorEastAsia" w:cstheme="minorHAnsi"/>
          <w:kern w:val="0"/>
          <w:szCs w:val="20"/>
          <w14:ligatures w14:val="none"/>
        </w:rPr>
        <w:t xml:space="preserve"> w 2022 r.</w:t>
      </w:r>
      <w:r w:rsidRPr="001A3FC2">
        <w:rPr>
          <w:rFonts w:eastAsiaTheme="minorEastAsia" w:cstheme="minorHAnsi"/>
          <w:kern w:val="0"/>
          <w:szCs w:val="20"/>
          <w14:ligatures w14:val="none"/>
        </w:rPr>
        <w:t xml:space="preserve"> wizję rozwoju do 2030 r., która zakłada, że środki transportu wpisujące się w cele innowacyjnej mobilności powietrznej oraz przysposobiony ku temu ekosystem i logistyka, staną się zaakceptowaną częścią życia obywateli Unii. Zakłada się, że w ramach zastosowania rozwiązań technologii tzw. innowacyjnej mobilności powietrznej świadczone zaczną być regularne usługi przewozu towarów i osób – początkowo z wykorzystaniem statków powietrznych z pilotem na pokładzie, choć ostatecznym celem jest pełna automatyzacja działań. Z uwagi na specyfikę technologiczną i charakter świadczenia wyspecjalizowanych usług, rozwiązania z zakresu innowacyjnej mobilności powietrznej wpisują się obszar uzupełniający funkcjonalność transportu miejskiego. </w:t>
      </w:r>
    </w:p>
    <w:p w14:paraId="502CFAF3" w14:textId="5D5E8202" w:rsidR="00411148" w:rsidRPr="00845A87" w:rsidRDefault="00411148" w:rsidP="00411148">
      <w:pPr>
        <w:spacing w:after="0" w:line="252" w:lineRule="auto"/>
        <w:rPr>
          <w:rFonts w:cstheme="minorHAnsi"/>
          <w:kern w:val="0"/>
          <w:szCs w:val="20"/>
          <w:lang w:eastAsia="pl-PL"/>
          <w14:ligatures w14:val="none"/>
        </w:rPr>
      </w:pPr>
      <w:r w:rsidRPr="00845A87">
        <w:rPr>
          <w:rFonts w:cstheme="minorHAnsi"/>
          <w:kern w:val="0"/>
          <w:szCs w:val="20"/>
          <w:lang w:eastAsia="pl-PL"/>
          <w14:ligatures w14:val="none"/>
        </w:rPr>
        <w:t xml:space="preserve">Mając więc na uwadze dalszą dynamikę zmian dekarbonizacyjnych dotyczących transportu miejskiego należy przyjąć, że </w:t>
      </w:r>
      <w:r w:rsidR="00FA5896" w:rsidRPr="00845A87">
        <w:rPr>
          <w:rFonts w:cstheme="minorHAnsi"/>
          <w:kern w:val="0"/>
          <w:szCs w:val="20"/>
          <w:lang w:eastAsia="pl-PL"/>
          <w14:ligatures w14:val="none"/>
        </w:rPr>
        <w:t>w długiej perspektywie</w:t>
      </w:r>
      <w:r w:rsidRPr="00845A87">
        <w:rPr>
          <w:rFonts w:cstheme="minorHAnsi"/>
          <w:kern w:val="0"/>
          <w:szCs w:val="20"/>
          <w:lang w:eastAsia="pl-PL"/>
          <w14:ligatures w14:val="none"/>
        </w:rPr>
        <w:t xml:space="preserve"> innowacyjna mobilność powietrzna oparta o platformy bezzałogowe i statki elektryczne (eVTOL) oraz dostosowane do niej instalacje logistyki i systemy zarządzania ruchem zautomatyzowanym, staną się częścią przyszłej multimodalnej i inteligentnej mobilności w miastach, a</w:t>
      </w:r>
      <w:r w:rsidR="00FA5896" w:rsidRPr="00845A87">
        <w:rPr>
          <w:rFonts w:cstheme="minorHAnsi"/>
          <w:kern w:val="0"/>
          <w:szCs w:val="20"/>
          <w:lang w:eastAsia="pl-PL"/>
          <w14:ligatures w14:val="none"/>
        </w:rPr>
        <w:t> </w:t>
      </w:r>
      <w:r w:rsidRPr="00845A87">
        <w:rPr>
          <w:rFonts w:cstheme="minorHAnsi"/>
          <w:kern w:val="0"/>
          <w:szCs w:val="20"/>
          <w:lang w:eastAsia="pl-PL"/>
          <w14:ligatures w14:val="none"/>
        </w:rPr>
        <w:t>infrastruktura naziemna i</w:t>
      </w:r>
      <w:r w:rsidR="00FA5896" w:rsidRPr="00845A87">
        <w:rPr>
          <w:rFonts w:cstheme="minorHAnsi"/>
          <w:kern w:val="0"/>
          <w:szCs w:val="20"/>
          <w:lang w:eastAsia="pl-PL"/>
          <w14:ligatures w14:val="none"/>
        </w:rPr>
        <w:t xml:space="preserve"> </w:t>
      </w:r>
      <w:r w:rsidRPr="00845A87">
        <w:rPr>
          <w:rFonts w:cstheme="minorHAnsi"/>
          <w:kern w:val="0"/>
          <w:szCs w:val="20"/>
          <w:lang w:eastAsia="pl-PL"/>
          <w14:ligatures w14:val="none"/>
        </w:rPr>
        <w:t xml:space="preserve">powietrzna umożliwiająca świadczenie usług transportowych zostanie powszechnie wdrożona i zintegrowana. </w:t>
      </w:r>
    </w:p>
    <w:p w14:paraId="07E2E85C" w14:textId="74C06FCA" w:rsidR="00DC7166" w:rsidRDefault="00DC7166" w:rsidP="00051899">
      <w:pPr>
        <w:spacing w:before="480" w:after="120" w:line="264" w:lineRule="auto"/>
        <w:rPr>
          <w:sz w:val="22"/>
          <w:szCs w:val="24"/>
        </w:rPr>
      </w:pPr>
      <w:r>
        <w:rPr>
          <w:b/>
          <w:bCs/>
          <w:sz w:val="22"/>
          <w:szCs w:val="24"/>
        </w:rPr>
        <w:t>D</w:t>
      </w:r>
      <w:r w:rsidR="00A868D5" w:rsidRPr="00610AA0">
        <w:rPr>
          <w:b/>
          <w:bCs/>
          <w:sz w:val="22"/>
          <w:szCs w:val="24"/>
        </w:rPr>
        <w:t>ekarbonizacj</w:t>
      </w:r>
      <w:r>
        <w:rPr>
          <w:b/>
          <w:bCs/>
          <w:sz w:val="22"/>
          <w:szCs w:val="24"/>
        </w:rPr>
        <w:t>a</w:t>
      </w:r>
      <w:r w:rsidR="00A868D5" w:rsidRPr="00610AA0">
        <w:rPr>
          <w:b/>
          <w:bCs/>
          <w:sz w:val="22"/>
          <w:szCs w:val="24"/>
        </w:rPr>
        <w:t xml:space="preserve"> transportu kolejowego</w:t>
      </w:r>
      <w:r w:rsidR="00A868D5" w:rsidRPr="00610AA0">
        <w:rPr>
          <w:sz w:val="22"/>
          <w:szCs w:val="24"/>
        </w:rPr>
        <w:t xml:space="preserve"> </w:t>
      </w:r>
    </w:p>
    <w:p w14:paraId="7AC0D0BA" w14:textId="460C6A05" w:rsidR="00A868D5" w:rsidRPr="00051899" w:rsidRDefault="00DC7166" w:rsidP="00DC7166">
      <w:pPr>
        <w:spacing w:after="120" w:line="264" w:lineRule="auto"/>
        <w:rPr>
          <w:rFonts w:cs="Calibri"/>
          <w:kern w:val="0"/>
          <w:szCs w:val="20"/>
          <w14:ligatures w14:val="none"/>
        </w:rPr>
      </w:pPr>
      <w:r>
        <w:t>R</w:t>
      </w:r>
      <w:r w:rsidR="00A868D5" w:rsidRPr="009D61DE">
        <w:t>ealizowane będą zadania polegające przede wszystkim</w:t>
      </w:r>
      <w:r w:rsidR="00A868D5" w:rsidRPr="00E82973">
        <w:t xml:space="preserve"> na </w:t>
      </w:r>
      <w:r w:rsidR="00A868D5" w:rsidRPr="009D61DE">
        <w:t xml:space="preserve">poprawie stanu technicznego linii kolejowych, budowie bezkolizyjnych skrzyżowań, wdrażaniu nowoczesnych systemów zapewniających interoperacyjność, podnosząc tym samym szeroko rozumiane bezpieczeństwo na kolei. Działania te sukcesywnie przyczyniają się do podniesienia atrakcyjności transportu kolejowego względem innych środków transportu i w konsekwencji do przeniesienia części pasażerów i ładunków na ten bardziej przyjazny środowisku rodzaj transportu. Inwestycje realizowane będą w ramach </w:t>
      </w:r>
      <w:r w:rsidR="00A868D5" w:rsidRPr="00E82973">
        <w:t xml:space="preserve">programów wieloletnich związanych z rozwojem transportu kolejowego. </w:t>
      </w:r>
      <w:r w:rsidR="00610AA0" w:rsidRPr="009D61DE">
        <w:rPr>
          <w:rFonts w:cs="Calibri"/>
          <w:kern w:val="0"/>
          <w:szCs w:val="20"/>
          <w14:ligatures w14:val="none"/>
        </w:rPr>
        <w:t xml:space="preserve">Dokonywana będzie </w:t>
      </w:r>
      <w:r w:rsidR="00610AA0" w:rsidRPr="00610AA0">
        <w:rPr>
          <w:rFonts w:cs="Calibri"/>
          <w:b/>
          <w:bCs/>
          <w:kern w:val="0"/>
          <w:szCs w:val="20"/>
          <w14:ligatures w14:val="none"/>
        </w:rPr>
        <w:t>dalsza elektryfikacja wybranych linii kolejowych</w:t>
      </w:r>
      <w:r w:rsidR="00610AA0" w:rsidRPr="009D61DE">
        <w:rPr>
          <w:rFonts w:cs="Calibri"/>
          <w:kern w:val="0"/>
          <w:szCs w:val="20"/>
          <w14:ligatures w14:val="none"/>
        </w:rPr>
        <w:t xml:space="preserve">, co w sposób szczególny wpływa na redukcję emisji gazów cieplarnianych. </w:t>
      </w:r>
    </w:p>
    <w:p w14:paraId="4EF4A95D" w14:textId="3FE3797B" w:rsidR="00A868D5" w:rsidRPr="00E82973" w:rsidRDefault="00A868D5" w:rsidP="00610AA0">
      <w:pPr>
        <w:spacing w:after="120" w:line="264" w:lineRule="auto"/>
      </w:pPr>
      <w:r w:rsidRPr="009D61DE">
        <w:rPr>
          <w:rFonts w:cs="Calibri"/>
          <w:kern w:val="0"/>
          <w:szCs w:val="20"/>
          <w14:ligatures w14:val="none"/>
        </w:rPr>
        <w:t>Rozwinięta infrastruktura kolejowa przyczyni się do wyboru przez społeczeństwo kolei jako optymalnego środka transportu, co przełoży się na redukcję emisji zanieczyszczeń do powietrza pochodzących z innych środków transportu, zwłaszcza transportu drogowego.</w:t>
      </w:r>
      <w:r w:rsidR="00946218">
        <w:t xml:space="preserve"> Odbędzie się to poprzez</w:t>
      </w:r>
      <w:r w:rsidRPr="00E82973">
        <w:t>:</w:t>
      </w:r>
    </w:p>
    <w:p w14:paraId="1B12263C" w14:textId="56F6CC15" w:rsidR="00A868D5" w:rsidRPr="009D61DE" w:rsidRDefault="00A868D5" w:rsidP="00612B5D">
      <w:pPr>
        <w:pStyle w:val="Akapitzlist"/>
        <w:numPr>
          <w:ilvl w:val="0"/>
          <w:numId w:val="29"/>
        </w:numPr>
        <w:ind w:left="567"/>
      </w:pPr>
      <w:r w:rsidRPr="009D61DE">
        <w:t xml:space="preserve">budowę i modernizację kolejowych przystanków osobowych w ramach </w:t>
      </w:r>
      <w:r w:rsidRPr="00610AA0">
        <w:rPr>
          <w:i/>
          <w:iCs/>
        </w:rPr>
        <w:t>Rządowego programu budowy lub modernizacji przystanków kolejowych na lata 2021–2025</w:t>
      </w:r>
      <w:r w:rsidRPr="009D61DE">
        <w:t xml:space="preserve">. Budowa przystanków w nowych dogodniejszych dla podróżnych lokalizacjach, o parametrach technicznych pozwalających na </w:t>
      </w:r>
      <w:r w:rsidRPr="00610AA0">
        <w:t>zatrzymywanie</w:t>
      </w:r>
      <w:r w:rsidRPr="009D61DE">
        <w:t xml:space="preserve"> się pociągów dalekobieżnych (międzywojewódzkich)</w:t>
      </w:r>
      <w:r w:rsidRPr="00E82973">
        <w:t>,</w:t>
      </w:r>
      <w:r w:rsidRPr="009D61DE">
        <w:t xml:space="preserve"> co powstrzyma odchodzenie do innych wysokoemisyjnych środków transportu. Ponadto w ramach programu realizowane jest zadanie polegające na poprawie dostępności miejsc parkingowych dla podróżnych,</w:t>
      </w:r>
    </w:p>
    <w:p w14:paraId="22519049" w14:textId="1022CA3F" w:rsidR="00A868D5" w:rsidRPr="009D61DE" w:rsidRDefault="00A868D5" w:rsidP="00612B5D">
      <w:pPr>
        <w:pStyle w:val="Akapitzlist"/>
        <w:numPr>
          <w:ilvl w:val="0"/>
          <w:numId w:val="29"/>
        </w:numPr>
        <w:ind w:left="567"/>
      </w:pPr>
      <w:r w:rsidRPr="009D61DE">
        <w:t>realizację projektów mających na celu likwidację luk w połączeniach towarowych i pasażerskich, w ramach Programu Uzupełniania Lokalnej i Regionalnej Infrastruktury Kolejowej – Kolej + do 202</w:t>
      </w:r>
      <w:r w:rsidRPr="00E82973">
        <w:t>9</w:t>
      </w:r>
      <w:r w:rsidR="00946218">
        <w:t> </w:t>
      </w:r>
      <w:r w:rsidRPr="009D61DE">
        <w:t>r</w:t>
      </w:r>
      <w:r w:rsidR="00610AA0">
        <w:t>.</w:t>
      </w:r>
      <w:r w:rsidRPr="009D61DE">
        <w:t xml:space="preserve">, zgodnie z którym planuje się uzupełnienie sieci kolejowej o połączenia kolejowe (w tym przygotowanie niezbędnej dokumentacji przedprojektowej i projektowej) miejscowości o populacji powyżej 10 tys. osób, </w:t>
      </w:r>
      <w:r w:rsidRPr="00610AA0">
        <w:t>które</w:t>
      </w:r>
      <w:r w:rsidRPr="009D61DE">
        <w:t xml:space="preserve"> nie posiadają dostępu do kolei pasażerskiej lub towarowej z miastami wojewódzkimi oraz poprawa wewnętrznej spójności komunikacyjnej i społeczno-gospodarczej tych regionów Polski</w:t>
      </w:r>
      <w:r w:rsidR="00946218">
        <w:t>.</w:t>
      </w:r>
    </w:p>
    <w:p w14:paraId="2E18F4BF" w14:textId="77777777" w:rsidR="00A868D5" w:rsidRPr="005658C6" w:rsidRDefault="00A868D5" w:rsidP="00A868D5">
      <w:pPr>
        <w:spacing w:after="120" w:line="264" w:lineRule="auto"/>
        <w:rPr>
          <w:szCs w:val="20"/>
        </w:rPr>
      </w:pPr>
      <w:r w:rsidRPr="005658C6">
        <w:rPr>
          <w:rFonts w:cstheme="minorHAnsi"/>
          <w:bCs/>
          <w:szCs w:val="20"/>
        </w:rPr>
        <w:t xml:space="preserve">Dalsze działania ukierunkowane na kolej i promujące transport publiczny oznaczają kontynuację realizacji projektu Wspólny Bilet. Zapewnia on pasażerowi zakup jednego biletu na cały przejazd koleją, niezależnie od kanału sprzedaży i przewoźnika. Cena takiego biletu jest wyliczana w oparciu o jedną, całkowicie nową </w:t>
      </w:r>
      <w:r w:rsidRPr="005658C6">
        <w:rPr>
          <w:rFonts w:cstheme="minorHAnsi"/>
          <w:bCs/>
          <w:szCs w:val="20"/>
        </w:rPr>
        <w:lastRenderedPageBreak/>
        <w:t xml:space="preserve">taryfę. </w:t>
      </w:r>
      <w:r w:rsidRPr="005658C6">
        <w:rPr>
          <w:szCs w:val="20"/>
        </w:rPr>
        <w:t xml:space="preserve">W ramach Wspólnego Biletu można zakupić bilety w okienku kasowym oraz systemie Bilkom na połączenia obsługiwane przez 10 przewoźników. </w:t>
      </w:r>
    </w:p>
    <w:p w14:paraId="489085FF" w14:textId="42E35940" w:rsidR="00A868D5" w:rsidRPr="00946218" w:rsidRDefault="00A868D5" w:rsidP="00946218">
      <w:pPr>
        <w:rPr>
          <w:rFonts w:cs="Calibri"/>
          <w:i/>
          <w:iCs/>
          <w:kern w:val="0"/>
          <w14:ligatures w14:val="none"/>
        </w:rPr>
      </w:pPr>
      <w:r w:rsidRPr="00946218">
        <w:t>Kluczowym elementem wpływającym na satysfakcję podróżujących koleją jest czas jazdy. Dlatego też prowadzone będą intensywne działania, mające na celu poprawę rozkładu jazdy i dalekobieżnej oferty przewozowej</w:t>
      </w:r>
      <w:r w:rsidRPr="00946218">
        <w:rPr>
          <w:bCs/>
        </w:rPr>
        <w:t>,</w:t>
      </w:r>
      <w:r w:rsidRPr="00946218">
        <w:rPr>
          <w:bCs/>
          <w:i/>
        </w:rPr>
        <w:t xml:space="preserve"> </w:t>
      </w:r>
      <w:r w:rsidRPr="005658C6">
        <w:rPr>
          <w:bCs/>
        </w:rPr>
        <w:t xml:space="preserve">uzyskując krótsze czasy jazdy. </w:t>
      </w:r>
      <w:r w:rsidRPr="005658C6">
        <w:t>Ponadto w Ministerstwie Infrastruktury trwają prace</w:t>
      </w:r>
      <w:r w:rsidRPr="005658C6">
        <w:rPr>
          <w:bCs/>
        </w:rPr>
        <w:t xml:space="preserve"> nad kolejowym rozkładem jazdy </w:t>
      </w:r>
      <w:r w:rsidR="00946218">
        <w:rPr>
          <w:bCs/>
        </w:rPr>
        <w:t xml:space="preserve">– </w:t>
      </w:r>
      <w:r w:rsidRPr="005658C6">
        <w:rPr>
          <w:bCs/>
        </w:rPr>
        <w:t>tzw. Horyzontalny Rozkład Jazdy, który wprowadzi stałą siatkę połączeń na lata 2030/31-2039/40 (z perspektywą 2049/50) oraz będzie uwzględniać efekty modernizacji i budowy linii kolejowych przez spółkę C</w:t>
      </w:r>
      <w:r w:rsidR="00946218">
        <w:rPr>
          <w:bCs/>
        </w:rPr>
        <w:t xml:space="preserve">entralny </w:t>
      </w:r>
      <w:r w:rsidRPr="005658C6">
        <w:rPr>
          <w:bCs/>
        </w:rPr>
        <w:t>P</w:t>
      </w:r>
      <w:r w:rsidR="00946218">
        <w:rPr>
          <w:bCs/>
        </w:rPr>
        <w:t xml:space="preserve">ort </w:t>
      </w:r>
      <w:r w:rsidRPr="005658C6">
        <w:rPr>
          <w:bCs/>
        </w:rPr>
        <w:t>K</w:t>
      </w:r>
      <w:r w:rsidR="00946218">
        <w:rPr>
          <w:bCs/>
        </w:rPr>
        <w:t>omunikacyjny</w:t>
      </w:r>
      <w:r w:rsidRPr="005658C6">
        <w:rPr>
          <w:bCs/>
        </w:rPr>
        <w:t xml:space="preserve">. </w:t>
      </w:r>
      <w:r w:rsidRPr="009D61DE">
        <w:rPr>
          <w:rFonts w:cs="Calibri"/>
          <w:kern w:val="0"/>
          <w14:ligatures w14:val="none"/>
        </w:rPr>
        <w:t xml:space="preserve">Przenoszeniu przewozów z mniej przyjaznych środowisku środków na kolej realizowane będzie poprzez rozwój transportu intermodalnego, zgodnie z </w:t>
      </w:r>
      <w:r w:rsidRPr="00946218">
        <w:rPr>
          <w:rFonts w:cs="Calibri"/>
          <w:i/>
          <w:iCs/>
          <w:kern w:val="0"/>
          <w14:ligatures w14:val="none"/>
        </w:rPr>
        <w:t>Kierunkami Rozwoju Transportu Intermodalnego do 2030 r. z perspektywą do 2040 r.</w:t>
      </w:r>
      <w:r w:rsidR="00946218">
        <w:rPr>
          <w:rFonts w:cs="Calibri"/>
          <w:i/>
          <w:iCs/>
          <w:kern w:val="0"/>
          <w14:ligatures w14:val="none"/>
        </w:rPr>
        <w:t xml:space="preserve"> </w:t>
      </w:r>
      <w:r w:rsidRPr="005658C6">
        <w:rPr>
          <w:rFonts w:cstheme="minorHAnsi"/>
          <w:bCs/>
          <w:szCs w:val="20"/>
        </w:rPr>
        <w:t xml:space="preserve">Priorytetem będzie </w:t>
      </w:r>
      <w:r w:rsidRPr="005658C6">
        <w:rPr>
          <w:szCs w:val="20"/>
        </w:rPr>
        <w:t xml:space="preserve">sprawność ruchu pociągów oraz wzrost prędkości handlowych, zwłaszcza dla pociągów towarowych. </w:t>
      </w:r>
    </w:p>
    <w:p w14:paraId="6B71599B" w14:textId="5937F375" w:rsidR="00A868D5" w:rsidRPr="009D61DE" w:rsidRDefault="00A868D5" w:rsidP="00946218">
      <w:pPr>
        <w:spacing w:before="480"/>
        <w:rPr>
          <w:rFonts w:cs="Calibri"/>
          <w:kern w:val="0"/>
          <w:szCs w:val="20"/>
          <w14:ligatures w14:val="none"/>
        </w:rPr>
      </w:pPr>
      <w:r w:rsidRPr="00946218">
        <w:rPr>
          <w:b/>
          <w:bCs/>
          <w:sz w:val="22"/>
        </w:rPr>
        <w:t>W zakresie dekarbonizacji żeglugi śródlądowej</w:t>
      </w:r>
      <w:r w:rsidRPr="00946218">
        <w:rPr>
          <w:sz w:val="22"/>
        </w:rPr>
        <w:t xml:space="preserve"> </w:t>
      </w:r>
      <w:r w:rsidRPr="00E82973">
        <w:rPr>
          <w:szCs w:val="20"/>
        </w:rPr>
        <w:t>r</w:t>
      </w:r>
      <w:r w:rsidRPr="009D61DE">
        <w:rPr>
          <w:rFonts w:cs="Calibri"/>
          <w:color w:val="000000" w:themeColor="text1"/>
          <w:kern w:val="0"/>
          <w:szCs w:val="20"/>
          <w14:ligatures w14:val="none"/>
        </w:rPr>
        <w:t xml:space="preserve">ealizowane będą działania zawarte w </w:t>
      </w:r>
      <w:r w:rsidRPr="00DC7166">
        <w:rPr>
          <w:rFonts w:cs="Calibri"/>
          <w:b/>
          <w:i/>
          <w:iCs/>
          <w:color w:val="000000" w:themeColor="text1"/>
          <w:kern w:val="0"/>
          <w:szCs w:val="20"/>
          <w14:ligatures w14:val="none"/>
        </w:rPr>
        <w:t>Krajowym Programie Żeglugowym do roku 2030</w:t>
      </w:r>
      <w:r w:rsidRPr="009D61DE">
        <w:rPr>
          <w:rFonts w:cs="Calibri"/>
          <w:b/>
          <w:color w:val="000000" w:themeColor="text1"/>
          <w:kern w:val="0"/>
          <w:szCs w:val="20"/>
          <w14:ligatures w14:val="none"/>
        </w:rPr>
        <w:t xml:space="preserve"> </w:t>
      </w:r>
      <w:r w:rsidRPr="00DC7166">
        <w:rPr>
          <w:rFonts w:cs="Calibri"/>
          <w:bCs/>
          <w:color w:val="000000" w:themeColor="text1"/>
          <w:kern w:val="0"/>
          <w:szCs w:val="20"/>
          <w14:ligatures w14:val="none"/>
        </w:rPr>
        <w:t>(KPŻ2030)</w:t>
      </w:r>
      <w:r w:rsidR="00946218" w:rsidRPr="00DC7166">
        <w:rPr>
          <w:rFonts w:cs="Calibri"/>
          <w:bCs/>
          <w:color w:val="000000" w:themeColor="text1"/>
          <w:kern w:val="0"/>
          <w:szCs w:val="20"/>
          <w14:ligatures w14:val="none"/>
        </w:rPr>
        <w:t>.</w:t>
      </w:r>
      <w:r w:rsidRPr="009D61DE">
        <w:rPr>
          <w:rFonts w:cs="Calibri"/>
          <w:color w:val="000000" w:themeColor="text1"/>
          <w:kern w:val="0"/>
          <w:szCs w:val="20"/>
          <w14:ligatures w14:val="none"/>
        </w:rPr>
        <w:t xml:space="preserve"> </w:t>
      </w:r>
      <w:r w:rsidRPr="009D61DE">
        <w:rPr>
          <w:rFonts w:cs="Calibri"/>
          <w:kern w:val="0"/>
          <w:szCs w:val="20"/>
          <w14:ligatures w14:val="none"/>
        </w:rPr>
        <w:t>Program ma na celu zwiększenie roli transportu wodnego śródlądowego w wymiarze krajowym i lokalnym. Dokument przewiduje ponad 20 zadań o</w:t>
      </w:r>
      <w:r w:rsidR="00946218">
        <w:rPr>
          <w:rFonts w:cs="Calibri"/>
          <w:kern w:val="0"/>
          <w:szCs w:val="20"/>
          <w14:ligatures w14:val="none"/>
        </w:rPr>
        <w:t> </w:t>
      </w:r>
      <w:r w:rsidRPr="009D61DE">
        <w:rPr>
          <w:rFonts w:cs="Calibri"/>
          <w:kern w:val="0"/>
          <w:szCs w:val="20"/>
          <w14:ligatures w14:val="none"/>
        </w:rPr>
        <w:t xml:space="preserve">charakterze sektorowym i 11 działań inwestycyjnych mających na celu zapewnienie prawidłowego funkcjonowania żeglugi śródlądowej na wykorzystywanych transportowo odcinkach dostępowych do portów morskich (na Odrze od Gliwic do portów morskich Szczecin i Świnoujście, na Wiśle od Torunia do Portu Morskiego Gdańsk).  </w:t>
      </w:r>
    </w:p>
    <w:p w14:paraId="76878492" w14:textId="1B6DF534" w:rsidR="00A868D5" w:rsidRPr="009D61DE" w:rsidRDefault="00A868D5" w:rsidP="00A868D5">
      <w:pPr>
        <w:rPr>
          <w:rFonts w:cs="Calibri"/>
          <w:kern w:val="0"/>
          <w:szCs w:val="20"/>
          <w14:ligatures w14:val="none"/>
        </w:rPr>
      </w:pPr>
      <w:r w:rsidRPr="009D61DE">
        <w:rPr>
          <w:rFonts w:cs="Calibri"/>
          <w:kern w:val="0"/>
          <w:szCs w:val="20"/>
          <w14:ligatures w14:val="none"/>
        </w:rPr>
        <w:t>W ramach KPŻ2030 podejmowane będą działania sektorowe mające na celu m.in. kształtowanie warunków na rzecz rozwoju terminali śródlądowych i włączenia transportu wodnego śródlądowego w</w:t>
      </w:r>
      <w:r w:rsidR="00DC7166">
        <w:rPr>
          <w:rFonts w:cs="Calibri"/>
          <w:kern w:val="0"/>
          <w:szCs w:val="20"/>
          <w14:ligatures w14:val="none"/>
        </w:rPr>
        <w:t> </w:t>
      </w:r>
      <w:r w:rsidRPr="009D61DE">
        <w:rPr>
          <w:rFonts w:cs="Calibri"/>
          <w:kern w:val="0"/>
          <w:szCs w:val="20"/>
          <w14:ligatures w14:val="none"/>
        </w:rPr>
        <w:t>system transportu intermodalnego, wsparcia transformacji floty śródlądowej w kierunku statków nisko- i zeroemisyjnych oraz odpornych na zmiany klimatu, w tym pracy przy obniżonych stanach wód, rozwój Systemu Usług Informacji Rzecznej (RIS) umożliwiającego prowadzenie bezpiecznej i bardziej ekonomicznej żeglugi śródlądowej czy cyfryzacja procesów związanych z obsługą podmiotów rynku żeglugowego.</w:t>
      </w:r>
    </w:p>
    <w:p w14:paraId="47F5B938" w14:textId="636F0898" w:rsidR="00A868D5" w:rsidRPr="009D61DE" w:rsidRDefault="00A868D5" w:rsidP="00A868D5">
      <w:pPr>
        <w:rPr>
          <w:rFonts w:cs="Calibri"/>
          <w:kern w:val="0"/>
          <w:szCs w:val="20"/>
          <w14:ligatures w14:val="none"/>
        </w:rPr>
      </w:pPr>
      <w:r w:rsidRPr="009D61DE">
        <w:rPr>
          <w:rFonts w:cs="Calibri"/>
          <w:kern w:val="0"/>
          <w:szCs w:val="20"/>
          <w14:ligatures w14:val="none"/>
        </w:rPr>
        <w:t>W zakresie obniżenia poziomu emisyjności floty statków żeglugi śródlądowej działania wskazane w</w:t>
      </w:r>
      <w:r w:rsidR="00DC7166">
        <w:rPr>
          <w:rFonts w:cs="Calibri"/>
          <w:kern w:val="0"/>
          <w:szCs w:val="20"/>
          <w14:ligatures w14:val="none"/>
        </w:rPr>
        <w:t> </w:t>
      </w:r>
      <w:r w:rsidRPr="009D61DE">
        <w:rPr>
          <w:rFonts w:cs="Calibri"/>
          <w:kern w:val="0"/>
          <w:szCs w:val="20"/>
          <w14:ligatures w14:val="none"/>
        </w:rPr>
        <w:t>KPŻ2030 będą skupiały się na trzech obszarach:</w:t>
      </w:r>
    </w:p>
    <w:p w14:paraId="38CF6DA4" w14:textId="77777777" w:rsidR="00A868D5" w:rsidRPr="009D61DE" w:rsidRDefault="00A868D5" w:rsidP="00612B5D">
      <w:pPr>
        <w:pStyle w:val="Akapitzlist"/>
        <w:numPr>
          <w:ilvl w:val="0"/>
          <w:numId w:val="28"/>
        </w:numPr>
        <w:spacing w:after="120" w:line="264" w:lineRule="auto"/>
        <w:rPr>
          <w:rFonts w:cs="Arial"/>
          <w:szCs w:val="20"/>
        </w:rPr>
      </w:pPr>
      <w:r w:rsidRPr="009D61DE">
        <w:rPr>
          <w:rFonts w:cs="Arial"/>
          <w:szCs w:val="20"/>
        </w:rPr>
        <w:t>wsparcie inwestycji w modernizację floty i zakupów statków wykorzystujących</w:t>
      </w:r>
      <w:r w:rsidRPr="005658C6">
        <w:rPr>
          <w:szCs w:val="20"/>
        </w:rPr>
        <w:t xml:space="preserve"> </w:t>
      </w:r>
      <w:r w:rsidRPr="009D61DE">
        <w:rPr>
          <w:rFonts w:cs="Arial"/>
          <w:szCs w:val="20"/>
        </w:rPr>
        <w:t>paliwa alternatywne i w budowę nisko- i zeroemisyjnej floty oraz efektywnej energetycznie,</w:t>
      </w:r>
    </w:p>
    <w:p w14:paraId="08ADED52" w14:textId="77777777" w:rsidR="00A868D5" w:rsidRPr="009D61DE" w:rsidRDefault="00A868D5" w:rsidP="00612B5D">
      <w:pPr>
        <w:pStyle w:val="Akapitzlist"/>
        <w:numPr>
          <w:ilvl w:val="0"/>
          <w:numId w:val="28"/>
        </w:numPr>
        <w:spacing w:after="120" w:line="264" w:lineRule="auto"/>
        <w:rPr>
          <w:rFonts w:cs="Arial"/>
          <w:szCs w:val="20"/>
        </w:rPr>
      </w:pPr>
      <w:r w:rsidRPr="009D61DE">
        <w:rPr>
          <w:rFonts w:cs="Arial"/>
          <w:szCs w:val="20"/>
        </w:rPr>
        <w:t>wyposażenie floty w systemy pozwalające na zwiększenie efektywności energetycznej,</w:t>
      </w:r>
    </w:p>
    <w:p w14:paraId="137613DF" w14:textId="77777777" w:rsidR="00A868D5" w:rsidRPr="009D61DE" w:rsidRDefault="00A868D5" w:rsidP="00612B5D">
      <w:pPr>
        <w:pStyle w:val="Akapitzlist"/>
        <w:numPr>
          <w:ilvl w:val="0"/>
          <w:numId w:val="28"/>
        </w:numPr>
        <w:spacing w:after="120" w:line="264" w:lineRule="auto"/>
        <w:rPr>
          <w:rFonts w:cs="Arial"/>
          <w:szCs w:val="20"/>
        </w:rPr>
      </w:pPr>
      <w:r w:rsidRPr="009D61DE">
        <w:rPr>
          <w:rFonts w:cs="Arial"/>
          <w:szCs w:val="20"/>
        </w:rPr>
        <w:t>rozwój systemów zarządzania ruchem, takich jak RIS, w celu zwiększenia efektywności energetycznej.</w:t>
      </w:r>
    </w:p>
    <w:p w14:paraId="33E50484" w14:textId="0A5AC7A7" w:rsidR="00A868D5" w:rsidRPr="009D61DE" w:rsidRDefault="00A868D5" w:rsidP="00A868D5">
      <w:pPr>
        <w:spacing w:after="120" w:line="240" w:lineRule="auto"/>
        <w:rPr>
          <w:rFonts w:cs="Arial"/>
          <w:szCs w:val="20"/>
        </w:rPr>
      </w:pPr>
      <w:r w:rsidRPr="009D61DE">
        <w:rPr>
          <w:rFonts w:cs="Arial"/>
          <w:szCs w:val="20"/>
        </w:rPr>
        <w:t>Ponadto w KPŻ2030 wskazuje się konieczność rozwoju sektora badań i rozwoju w zakresie wykorzystania nowych technologii, w tym budowy statków przyjaznych środowisku i przystosowanych do żeglugi w warunkach nawigacyjnych polskich dróg wodnych oraz rozwoju systemów zarządzania transportem, w</w:t>
      </w:r>
      <w:r w:rsidR="00946218">
        <w:rPr>
          <w:rFonts w:cs="Arial"/>
          <w:szCs w:val="20"/>
        </w:rPr>
        <w:t> </w:t>
      </w:r>
      <w:r w:rsidRPr="009D61DE">
        <w:rPr>
          <w:rFonts w:cs="Arial"/>
          <w:szCs w:val="20"/>
        </w:rPr>
        <w:t>oparciu m.in.</w:t>
      </w:r>
      <w:r w:rsidR="00946218">
        <w:rPr>
          <w:rFonts w:cs="Arial"/>
          <w:szCs w:val="20"/>
        </w:rPr>
        <w:t xml:space="preserve"> </w:t>
      </w:r>
      <w:r w:rsidRPr="009D61DE">
        <w:rPr>
          <w:rFonts w:cs="Arial"/>
          <w:szCs w:val="20"/>
        </w:rPr>
        <w:t>o autonomiczne rozwiązania, a także wymiany doświadczeń i transferu wiedzy oraz przystosowanie regulacji do wprowadzenia nowych rozwiązań na rynek transportowy.</w:t>
      </w:r>
    </w:p>
    <w:p w14:paraId="73EAFFC3" w14:textId="498089AC" w:rsidR="00A868D5" w:rsidRPr="009D61DE" w:rsidRDefault="00A868D5" w:rsidP="00A868D5">
      <w:pPr>
        <w:spacing w:after="120" w:line="240" w:lineRule="auto"/>
        <w:rPr>
          <w:rFonts w:cs="Arial"/>
          <w:szCs w:val="20"/>
        </w:rPr>
      </w:pPr>
      <w:r w:rsidRPr="009D61DE">
        <w:rPr>
          <w:rFonts w:cs="Arial"/>
          <w:szCs w:val="20"/>
        </w:rPr>
        <w:t xml:space="preserve">Wsparcie armatorów w procesie modernizacji floty, o której mowa powyżej, możliwe jest dzięki funkcjonowaniu </w:t>
      </w:r>
      <w:r w:rsidRPr="009D61DE">
        <w:rPr>
          <w:rFonts w:cs="Arial"/>
          <w:b/>
          <w:szCs w:val="20"/>
        </w:rPr>
        <w:t>Funduszu Żeglugi Śródlądowej</w:t>
      </w:r>
      <w:r w:rsidRPr="009D61DE">
        <w:rPr>
          <w:rFonts w:cs="Arial"/>
          <w:szCs w:val="20"/>
        </w:rPr>
        <w:t xml:space="preserve"> (FŻŚ</w:t>
      </w:r>
      <w:r w:rsidR="00946218">
        <w:rPr>
          <w:rFonts w:cs="Arial"/>
          <w:szCs w:val="20"/>
        </w:rPr>
        <w:t>)</w:t>
      </w:r>
      <w:r w:rsidRPr="009D61DE">
        <w:rPr>
          <w:rFonts w:cs="Arial"/>
          <w:szCs w:val="20"/>
        </w:rPr>
        <w:t>. Obecnie armatorzy mają możliwość uzyskania wsparcia w postaci kredytów preferencyjnych, finansowanych w ramach F</w:t>
      </w:r>
      <w:r w:rsidR="00946218">
        <w:rPr>
          <w:rFonts w:cs="Arial"/>
          <w:szCs w:val="20"/>
        </w:rPr>
        <w:t>unduszu</w:t>
      </w:r>
      <w:r w:rsidRPr="009D61DE">
        <w:rPr>
          <w:rFonts w:cs="Arial"/>
          <w:szCs w:val="20"/>
        </w:rPr>
        <w:t>, pozwalających m.in. na zakup nowych statków, wymianę jednostek napędowych na mniej emisyjne, wyposażenie statków w</w:t>
      </w:r>
      <w:r w:rsidR="00946218">
        <w:rPr>
          <w:rFonts w:cs="Arial"/>
          <w:szCs w:val="20"/>
        </w:rPr>
        <w:t> </w:t>
      </w:r>
      <w:r w:rsidRPr="009D61DE">
        <w:rPr>
          <w:rFonts w:cs="Arial"/>
          <w:szCs w:val="20"/>
        </w:rPr>
        <w:t xml:space="preserve">urządzenia i instalacje do oczyszczania ścieków czy wymianę instalacji azbestowych. </w:t>
      </w:r>
    </w:p>
    <w:p w14:paraId="7D16EC67" w14:textId="0FE58EB9" w:rsidR="00A868D5" w:rsidRPr="00E82973" w:rsidRDefault="00A868D5" w:rsidP="00946218">
      <w:pPr>
        <w:rPr>
          <w:rFonts w:cs="Calibri"/>
          <w:b/>
          <w:bCs/>
          <w:color w:val="0070C0"/>
          <w:szCs w:val="20"/>
        </w:rPr>
      </w:pPr>
      <w:r w:rsidRPr="009D61DE">
        <w:t>Zgodnie z zapisami KPŻ2030 do 2027 r. przeprowadzona zostanie ewaluacja funkcjonowania F</w:t>
      </w:r>
      <w:r w:rsidR="00946218">
        <w:t>unduszu</w:t>
      </w:r>
      <w:r w:rsidRPr="009D61DE">
        <w:t>, a system wsparcia rynku żeglugowego zostanie wzmocniony, tak by proces modernizacji floty śródlądowej na nisko</w:t>
      </w:r>
      <w:r w:rsidR="00946218">
        <w:t>-</w:t>
      </w:r>
      <w:r w:rsidRPr="009D61DE">
        <w:t xml:space="preserve"> i zeroemisyjną przebiegał szybciej i był bardziej efektywny</w:t>
      </w:r>
      <w:r w:rsidR="00946218">
        <w:t>.</w:t>
      </w:r>
      <w:r w:rsidRPr="009D61DE">
        <w:rPr>
          <w:rFonts w:cs="Arial"/>
          <w:szCs w:val="20"/>
        </w:rPr>
        <w:t xml:space="preserve"> </w:t>
      </w:r>
      <w:r w:rsidR="00946218">
        <w:rPr>
          <w:rFonts w:cs="Arial"/>
          <w:szCs w:val="20"/>
        </w:rPr>
        <w:t>P</w:t>
      </w:r>
      <w:r w:rsidRPr="009D61DE">
        <w:rPr>
          <w:rFonts w:cs="Arial"/>
          <w:szCs w:val="20"/>
        </w:rPr>
        <w:t xml:space="preserve">rowadzone będą </w:t>
      </w:r>
      <w:r w:rsidR="00946218">
        <w:rPr>
          <w:rFonts w:cs="Arial"/>
          <w:szCs w:val="20"/>
        </w:rPr>
        <w:t xml:space="preserve">też </w:t>
      </w:r>
      <w:r w:rsidRPr="009D61DE">
        <w:rPr>
          <w:rFonts w:cs="Arial"/>
          <w:szCs w:val="20"/>
        </w:rPr>
        <w:t>działania informacyjne i edukacyjne w zakresie promocji modernizacji floty śródlądowej wśród armatorów.</w:t>
      </w:r>
      <w:r w:rsidRPr="00E82973">
        <w:rPr>
          <w:rFonts w:cs="Calibri"/>
          <w:b/>
          <w:bCs/>
          <w:color w:val="0070C0"/>
          <w:szCs w:val="20"/>
        </w:rPr>
        <w:t xml:space="preserve"> </w:t>
      </w:r>
    </w:p>
    <w:p w14:paraId="737824F3" w14:textId="000799AA" w:rsidR="00A868D5" w:rsidRPr="009D61DE" w:rsidRDefault="00A868D5" w:rsidP="00946218">
      <w:pPr>
        <w:spacing w:before="480" w:after="120" w:line="264" w:lineRule="auto"/>
        <w:rPr>
          <w:rFonts w:eastAsia="Times New Roman" w:cs="Calibri"/>
          <w:color w:val="000000" w:themeColor="text1"/>
          <w:kern w:val="0"/>
          <w:szCs w:val="20"/>
          <w:lang w:eastAsia="pl-PL"/>
          <w14:ligatures w14:val="none"/>
        </w:rPr>
      </w:pPr>
      <w:r w:rsidRPr="00946218">
        <w:rPr>
          <w:rFonts w:cs="Calibri"/>
          <w:b/>
          <w:bCs/>
          <w:sz w:val="22"/>
        </w:rPr>
        <w:lastRenderedPageBreak/>
        <w:t xml:space="preserve">W </w:t>
      </w:r>
      <w:r w:rsidRPr="00946218">
        <w:rPr>
          <w:b/>
          <w:bCs/>
          <w:sz w:val="22"/>
        </w:rPr>
        <w:t>zakresie dekarbonizacji transportu morskiego</w:t>
      </w:r>
      <w:r w:rsidRPr="00E82973">
        <w:rPr>
          <w:b/>
          <w:bCs/>
          <w:szCs w:val="20"/>
        </w:rPr>
        <w:t xml:space="preserve">, </w:t>
      </w:r>
      <w:r w:rsidR="00946218">
        <w:rPr>
          <w:bCs/>
          <w:szCs w:val="20"/>
        </w:rPr>
        <w:t>szczególne znaczenie mają regulacje wskazujące</w:t>
      </w:r>
      <w:r w:rsidRPr="009D61DE">
        <w:rPr>
          <w:rFonts w:eastAsia="Times New Roman" w:cs="Calibri"/>
          <w:color w:val="000000" w:themeColor="text1"/>
          <w:kern w:val="0"/>
          <w:szCs w:val="20"/>
          <w:lang w:eastAsia="pl-PL"/>
          <w14:ligatures w14:val="none"/>
        </w:rPr>
        <w:t>,</w:t>
      </w:r>
      <w:r w:rsidR="00946218">
        <w:rPr>
          <w:rFonts w:eastAsia="Times New Roman" w:cs="Calibri"/>
          <w:color w:val="000000" w:themeColor="text1"/>
          <w:kern w:val="0"/>
          <w:szCs w:val="20"/>
          <w:lang w:eastAsia="pl-PL"/>
          <w14:ligatures w14:val="none"/>
        </w:rPr>
        <w:t xml:space="preserve"> że</w:t>
      </w:r>
      <w:r w:rsidRPr="009D61DE">
        <w:rPr>
          <w:rFonts w:eastAsia="Times New Roman" w:cs="Calibri"/>
          <w:color w:val="000000" w:themeColor="text1"/>
          <w:kern w:val="0"/>
          <w:szCs w:val="20"/>
          <w:lang w:eastAsia="pl-PL"/>
          <w14:ligatures w14:val="none"/>
        </w:rPr>
        <w:t xml:space="preserve"> właściwe jednostki w ramach swoich kompetencji będą </w:t>
      </w:r>
      <w:r w:rsidRPr="00E82973">
        <w:rPr>
          <w:rFonts w:eastAsia="Times New Roman" w:cs="Calibri"/>
          <w:color w:val="000000" w:themeColor="text1"/>
          <w:kern w:val="0"/>
          <w:szCs w:val="20"/>
          <w:lang w:eastAsia="pl-PL"/>
          <w14:ligatures w14:val="none"/>
        </w:rPr>
        <w:t xml:space="preserve">prowadzić </w:t>
      </w:r>
      <w:r w:rsidRPr="009D61DE">
        <w:rPr>
          <w:rFonts w:eastAsia="Times New Roman" w:cs="Calibri"/>
          <w:color w:val="000000" w:themeColor="text1"/>
          <w:kern w:val="0"/>
          <w:szCs w:val="20"/>
          <w:lang w:eastAsia="pl-PL"/>
          <w14:ligatures w14:val="none"/>
        </w:rPr>
        <w:t xml:space="preserve">działania w zakresie: </w:t>
      </w:r>
    </w:p>
    <w:p w14:paraId="632E7017" w14:textId="761A47BF" w:rsidR="00A868D5" w:rsidRPr="009D61DE" w:rsidRDefault="00A868D5" w:rsidP="00612B5D">
      <w:pPr>
        <w:pStyle w:val="Akapitzlist"/>
        <w:numPr>
          <w:ilvl w:val="0"/>
          <w:numId w:val="30"/>
        </w:numPr>
        <w:rPr>
          <w:lang w:eastAsia="pl-PL"/>
        </w:rPr>
      </w:pPr>
      <w:r w:rsidRPr="009D61DE">
        <w:rPr>
          <w:lang w:eastAsia="pl-PL"/>
        </w:rPr>
        <w:t>przeprowadzania kontroli obowiązku przestrzegania przepisów ustawy z dnia 15 maja 2015 r. o</w:t>
      </w:r>
      <w:r w:rsidR="00946218">
        <w:rPr>
          <w:lang w:eastAsia="pl-PL"/>
        </w:rPr>
        <w:t> </w:t>
      </w:r>
      <w:r w:rsidRPr="009D61DE">
        <w:rPr>
          <w:lang w:eastAsia="pl-PL"/>
        </w:rPr>
        <w:t>substancjach zubażających warstwę ozonową oraz niektórych fluorowanych gazach cieplarnianych w</w:t>
      </w:r>
      <w:r w:rsidR="00946218">
        <w:rPr>
          <w:lang w:eastAsia="pl-PL"/>
        </w:rPr>
        <w:t> </w:t>
      </w:r>
      <w:r w:rsidRPr="009D61DE">
        <w:rPr>
          <w:lang w:eastAsia="pl-PL"/>
        </w:rPr>
        <w:t xml:space="preserve">zakresie eksploatacji na statkach urządzeń chłodniczych, klimatyzacyjnych, rozdzielnic elektrycznych oraz systemów ochrony przeciwpożarowej i gaśnic zawierających substancje kontrolowane czy też fluorowane gazy cieplarniane; </w:t>
      </w:r>
    </w:p>
    <w:p w14:paraId="2A505D8B" w14:textId="77777777" w:rsidR="000A6EB6" w:rsidRDefault="00A868D5" w:rsidP="00612B5D">
      <w:pPr>
        <w:pStyle w:val="Akapitzlist"/>
        <w:numPr>
          <w:ilvl w:val="0"/>
          <w:numId w:val="30"/>
        </w:numPr>
        <w:rPr>
          <w:lang w:eastAsia="pl-PL"/>
        </w:rPr>
      </w:pPr>
      <w:r w:rsidRPr="009D61DE">
        <w:rPr>
          <w:lang w:eastAsia="pl-PL"/>
        </w:rPr>
        <w:t xml:space="preserve">przeprowadzania kontroli dotyczących wymogów ograniczenia emisji tlenku azotu ze statków wynikających z Międzynarodowej konwencji o zapobieganiu zanieczyszczaniu morza przez statki (Konwencja MARPOL): Załącznik VI – Przepisy o zapobieganiu zanieczyszczenia powietrza przez statki wraz z Kodeksem technicznym kontroli emisji tlenków azotu z okrętowych silników wysokoprężnych (Kodeks NOX); </w:t>
      </w:r>
    </w:p>
    <w:p w14:paraId="26B0A321" w14:textId="77777777" w:rsidR="000A6EB6" w:rsidRPr="000A6EB6" w:rsidRDefault="00A868D5" w:rsidP="00612B5D">
      <w:pPr>
        <w:pStyle w:val="Akapitzlist"/>
        <w:numPr>
          <w:ilvl w:val="0"/>
          <w:numId w:val="30"/>
        </w:numPr>
        <w:rPr>
          <w:lang w:eastAsia="pl-PL"/>
        </w:rPr>
      </w:pPr>
      <w:r w:rsidRPr="009D61DE">
        <w:rPr>
          <w:lang w:eastAsia="pl-PL"/>
        </w:rPr>
        <w:t xml:space="preserve">realizacji przepisów </w:t>
      </w:r>
      <w:r w:rsidR="00946218">
        <w:rPr>
          <w:lang w:eastAsia="pl-PL"/>
        </w:rPr>
        <w:t>ro</w:t>
      </w:r>
      <w:r w:rsidRPr="009D61DE">
        <w:rPr>
          <w:lang w:eastAsia="pl-PL"/>
        </w:rPr>
        <w:t xml:space="preserve">zporządzenia </w:t>
      </w:r>
      <w:r w:rsidR="00946218">
        <w:rPr>
          <w:lang w:eastAsia="pl-PL"/>
        </w:rPr>
        <w:t>UE</w:t>
      </w:r>
      <w:r w:rsidRPr="009D61DE">
        <w:rPr>
          <w:lang w:eastAsia="pl-PL"/>
        </w:rPr>
        <w:t xml:space="preserve"> 2015/757 w sprawie monitorowania, raportowania i</w:t>
      </w:r>
      <w:r w:rsidR="000A6EB6">
        <w:rPr>
          <w:lang w:eastAsia="pl-PL"/>
        </w:rPr>
        <w:t> </w:t>
      </w:r>
      <w:r w:rsidRPr="009D61DE">
        <w:rPr>
          <w:lang w:eastAsia="pl-PL"/>
        </w:rPr>
        <w:t>weryfikacji emisji dwutlenku węgla z transportu morskiego</w:t>
      </w:r>
      <w:r w:rsidR="00946218">
        <w:rPr>
          <w:lang w:eastAsia="pl-PL"/>
        </w:rPr>
        <w:t>,</w:t>
      </w:r>
      <w:r w:rsidRPr="009D61DE">
        <w:rPr>
          <w:lang w:eastAsia="pl-PL"/>
        </w:rPr>
        <w:t xml:space="preserve"> </w:t>
      </w:r>
      <w:r w:rsidRPr="00E82973">
        <w:rPr>
          <w:lang w:eastAsia="pl-PL"/>
        </w:rPr>
        <w:t xml:space="preserve">zmienionego </w:t>
      </w:r>
      <w:r w:rsidRPr="000A6EB6">
        <w:rPr>
          <w:bCs/>
          <w:lang w:eastAsia="pl-PL"/>
        </w:rPr>
        <w:t xml:space="preserve">rozporządzeniem </w:t>
      </w:r>
      <w:r w:rsidR="00946218" w:rsidRPr="000A6EB6">
        <w:rPr>
          <w:bCs/>
          <w:lang w:eastAsia="pl-PL"/>
        </w:rPr>
        <w:t xml:space="preserve">UE </w:t>
      </w:r>
      <w:r w:rsidRPr="000A6EB6">
        <w:rPr>
          <w:bCs/>
          <w:lang w:eastAsia="pl-PL"/>
        </w:rPr>
        <w:t xml:space="preserve">2023/957 w celu włączenia transportu morskiego do unijnego systemu handlu uprawnieniami do emisji oraz monitorowania, raportowania i weryfikacji emisji dodatkowych </w:t>
      </w:r>
      <w:r w:rsidR="000A6EB6">
        <w:rPr>
          <w:bCs/>
          <w:lang w:eastAsia="pl-PL"/>
        </w:rPr>
        <w:t>GC</w:t>
      </w:r>
      <w:r w:rsidRPr="000A6EB6">
        <w:rPr>
          <w:bCs/>
          <w:lang w:eastAsia="pl-PL"/>
        </w:rPr>
        <w:t xml:space="preserve"> i emisji z dodatkowych typów statków;</w:t>
      </w:r>
    </w:p>
    <w:p w14:paraId="11510EF7" w14:textId="19FB03F6" w:rsidR="00A868D5" w:rsidRPr="000A6EB6" w:rsidRDefault="00A868D5" w:rsidP="00612B5D">
      <w:pPr>
        <w:pStyle w:val="Akapitzlist"/>
        <w:numPr>
          <w:ilvl w:val="0"/>
          <w:numId w:val="30"/>
        </w:numPr>
        <w:rPr>
          <w:lang w:eastAsia="pl-PL"/>
        </w:rPr>
      </w:pPr>
      <w:r w:rsidRPr="00E82973">
        <w:rPr>
          <w:lang w:eastAsia="pl-PL"/>
        </w:rPr>
        <w:t xml:space="preserve">realizacji przepisów </w:t>
      </w:r>
      <w:r w:rsidR="000A6EB6">
        <w:rPr>
          <w:lang w:eastAsia="pl-PL"/>
        </w:rPr>
        <w:t>r</w:t>
      </w:r>
      <w:r w:rsidRPr="00E82973">
        <w:rPr>
          <w:lang w:eastAsia="pl-PL"/>
        </w:rPr>
        <w:t>ozporządzenia UE 2023/1805 w sprawie stosowania paliw odnawialnych i</w:t>
      </w:r>
      <w:r w:rsidR="00682C83">
        <w:rPr>
          <w:lang w:eastAsia="pl-PL"/>
        </w:rPr>
        <w:t> </w:t>
      </w:r>
      <w:r w:rsidRPr="00E82973">
        <w:rPr>
          <w:lang w:eastAsia="pl-PL"/>
        </w:rPr>
        <w:t>niskoemisyjnych w transporcie morskim.</w:t>
      </w:r>
    </w:p>
    <w:p w14:paraId="6DB7D778" w14:textId="16F42CB4" w:rsidR="00A868D5" w:rsidRPr="009D61DE" w:rsidRDefault="00A868D5" w:rsidP="00A868D5">
      <w:pPr>
        <w:spacing w:after="120" w:line="264" w:lineRule="auto"/>
        <w:rPr>
          <w:rFonts w:cs="Calibri"/>
          <w:color w:val="000000" w:themeColor="text1"/>
          <w:kern w:val="0"/>
          <w:szCs w:val="20"/>
          <w14:ligatures w14:val="none"/>
        </w:rPr>
      </w:pPr>
      <w:r w:rsidRPr="009D61DE">
        <w:rPr>
          <w:rFonts w:cs="Calibri"/>
          <w:color w:val="000000" w:themeColor="text1"/>
          <w:kern w:val="0"/>
          <w:szCs w:val="20"/>
          <w14:ligatures w14:val="none"/>
        </w:rPr>
        <w:t>Włączenie transportu morskiego do systemu EU ETS przyczyni się do zmniejszenia emisyjności gazów cieplarnianych z tego sektora. Przedsiębiorstwa żeglugowe i armatorzy będą musieli zastosować bezemisyjne technologie i paliwa</w:t>
      </w:r>
      <w:r w:rsidRPr="00E82973">
        <w:rPr>
          <w:rFonts w:cs="Calibri"/>
          <w:color w:val="000000" w:themeColor="text1"/>
          <w:kern w:val="0"/>
          <w:szCs w:val="20"/>
          <w14:ligatures w14:val="none"/>
        </w:rPr>
        <w:t>,</w:t>
      </w:r>
      <w:r w:rsidRPr="009D61DE">
        <w:rPr>
          <w:rFonts w:cs="Calibri"/>
          <w:color w:val="000000" w:themeColor="text1"/>
          <w:kern w:val="0"/>
          <w:szCs w:val="20"/>
          <w14:ligatures w14:val="none"/>
        </w:rPr>
        <w:t xml:space="preserve"> jeśli będą chcieli uniknąć ponoszenia kosztów zakupu uprawnień do emisji gazów cieplarnianych.</w:t>
      </w:r>
    </w:p>
    <w:p w14:paraId="40D20A35" w14:textId="5153CB16" w:rsidR="00A868D5" w:rsidRPr="009D61DE" w:rsidRDefault="00A868D5" w:rsidP="000A6EB6">
      <w:pPr>
        <w:spacing w:before="480" w:after="120" w:line="264" w:lineRule="auto"/>
        <w:rPr>
          <w:rFonts w:cs="Calibri"/>
          <w:kern w:val="0"/>
          <w:szCs w:val="20"/>
          <w14:ligatures w14:val="none"/>
        </w:rPr>
      </w:pPr>
      <w:r w:rsidRPr="000A6EB6">
        <w:rPr>
          <w:b/>
          <w:bCs/>
          <w:sz w:val="22"/>
        </w:rPr>
        <w:t>W zakresie dekarbonizacji lotnictwa</w:t>
      </w:r>
      <w:r w:rsidRPr="005658C6">
        <w:rPr>
          <w:szCs w:val="20"/>
        </w:rPr>
        <w:t xml:space="preserve"> r</w:t>
      </w:r>
      <w:r w:rsidRPr="009D61DE">
        <w:rPr>
          <w:rFonts w:cs="Calibri"/>
          <w:kern w:val="0"/>
          <w:szCs w:val="20"/>
          <w14:ligatures w14:val="none"/>
        </w:rPr>
        <w:t xml:space="preserve">ealizowane będą działania zawarte w </w:t>
      </w:r>
      <w:r w:rsidRPr="009D61DE">
        <w:rPr>
          <w:rFonts w:cs="Calibri"/>
          <w:b/>
          <w:kern w:val="0"/>
          <w:szCs w:val="20"/>
          <w14:ligatures w14:val="none"/>
        </w:rPr>
        <w:t>Polityce rozwoju lotnictwa cywilnego w Polsce do 2030 r. (z perspektywą do 2040 r.)</w:t>
      </w:r>
      <w:r w:rsidR="000A6EB6">
        <w:rPr>
          <w:rFonts w:cs="Calibri"/>
          <w:b/>
          <w:kern w:val="0"/>
          <w:szCs w:val="20"/>
          <w14:ligatures w14:val="none"/>
        </w:rPr>
        <w:t xml:space="preserve"> </w:t>
      </w:r>
      <w:r w:rsidR="000A6EB6" w:rsidRPr="000A6EB6">
        <w:rPr>
          <w:rFonts w:cs="Calibri"/>
          <w:bCs/>
          <w:kern w:val="0"/>
          <w:szCs w:val="20"/>
          <w14:ligatures w14:val="none"/>
        </w:rPr>
        <w:t>(</w:t>
      </w:r>
      <w:hyperlink r:id="rId56" w:history="1">
        <w:r w:rsidR="000A6EB6" w:rsidRPr="000A6EB6">
          <w:rPr>
            <w:rStyle w:val="Hipercze"/>
            <w:rFonts w:cs="Calibri"/>
            <w:bCs/>
            <w:kern w:val="0"/>
            <w:szCs w:val="20"/>
            <w14:ligatures w14:val="none"/>
          </w:rPr>
          <w:t>link</w:t>
        </w:r>
      </w:hyperlink>
      <w:r w:rsidR="000A6EB6" w:rsidRPr="000A6EB6">
        <w:rPr>
          <w:rFonts w:cs="Calibri"/>
          <w:bCs/>
          <w:kern w:val="0"/>
          <w:szCs w:val="20"/>
          <w14:ligatures w14:val="none"/>
        </w:rPr>
        <w:t>)</w:t>
      </w:r>
      <w:r w:rsidRPr="000A6EB6">
        <w:rPr>
          <w:rFonts w:cs="Calibri"/>
          <w:bCs/>
          <w:kern w:val="0"/>
          <w:szCs w:val="20"/>
          <w14:ligatures w14:val="none"/>
        </w:rPr>
        <w:t>,</w:t>
      </w:r>
      <w:r w:rsidRPr="00E82973">
        <w:rPr>
          <w:rFonts w:cs="Calibri"/>
          <w:kern w:val="0"/>
          <w:szCs w:val="20"/>
          <w14:ligatures w14:val="none"/>
        </w:rPr>
        <w:t xml:space="preserve"> </w:t>
      </w:r>
      <w:r w:rsidRPr="009D61DE">
        <w:rPr>
          <w:rFonts w:cs="Calibri"/>
          <w:kern w:val="0"/>
          <w:szCs w:val="20"/>
          <w14:ligatures w14:val="none"/>
        </w:rPr>
        <w:t>mające na celu zmniejszenie negatywnego wpływu transportu lotniczego na środowisko.</w:t>
      </w:r>
    </w:p>
    <w:p w14:paraId="54DE7795" w14:textId="5A814DF3" w:rsidR="00A868D5" w:rsidRPr="00E82973" w:rsidRDefault="00A868D5" w:rsidP="00A868D5">
      <w:pPr>
        <w:spacing w:after="120" w:line="264" w:lineRule="auto"/>
        <w:rPr>
          <w:rFonts w:cs="Calibri"/>
          <w:kern w:val="0"/>
          <w:szCs w:val="20"/>
          <w14:ligatures w14:val="none"/>
        </w:rPr>
      </w:pPr>
      <w:r w:rsidRPr="009D61DE">
        <w:rPr>
          <w:rFonts w:cs="Calibri"/>
          <w:kern w:val="0"/>
          <w:szCs w:val="20"/>
          <w14:ligatures w14:val="none"/>
        </w:rPr>
        <w:t xml:space="preserve">Ponadto ograniczenie emisji zanieczyszczeń z transportu lotniczego może być także osiągnięte poprzez uczestnictwo polskich operatorów lotniczych w </w:t>
      </w:r>
      <w:r w:rsidR="000A6EB6">
        <w:rPr>
          <w:rFonts w:cs="Calibri"/>
          <w:kern w:val="0"/>
          <w:szCs w:val="20"/>
          <w14:ligatures w14:val="none"/>
        </w:rPr>
        <w:t xml:space="preserve">EU </w:t>
      </w:r>
      <w:r w:rsidRPr="009D61DE">
        <w:rPr>
          <w:rFonts w:cs="Calibri"/>
          <w:kern w:val="0"/>
          <w:szCs w:val="20"/>
          <w14:ligatures w14:val="none"/>
        </w:rPr>
        <w:t>ETS, komplementarnie z udziałem Polski w</w:t>
      </w:r>
      <w:r w:rsidR="000A6EB6">
        <w:rPr>
          <w:rFonts w:cs="Calibri"/>
          <w:kern w:val="0"/>
          <w:szCs w:val="20"/>
          <w14:ligatures w14:val="none"/>
        </w:rPr>
        <w:t> </w:t>
      </w:r>
      <w:r w:rsidRPr="009D61DE">
        <w:rPr>
          <w:rFonts w:cs="Calibri"/>
          <w:kern w:val="0"/>
          <w:szCs w:val="20"/>
          <w14:ligatures w14:val="none"/>
        </w:rPr>
        <w:t xml:space="preserve">mechanizmie kompensacji i redukcji </w:t>
      </w:r>
      <w:r w:rsidR="000A6EB6">
        <w:rPr>
          <w:rFonts w:cs="Calibri"/>
          <w:kern w:val="0"/>
          <w:szCs w:val="20"/>
          <w14:ligatures w14:val="none"/>
        </w:rPr>
        <w:t>CO</w:t>
      </w:r>
      <w:r w:rsidR="000A6EB6" w:rsidRPr="000A6EB6">
        <w:rPr>
          <w:rFonts w:cs="Calibri"/>
          <w:kern w:val="0"/>
          <w:szCs w:val="20"/>
          <w:vertAlign w:val="subscript"/>
          <w14:ligatures w14:val="none"/>
        </w:rPr>
        <w:t>2</w:t>
      </w:r>
      <w:r w:rsidRPr="009D61DE">
        <w:rPr>
          <w:rFonts w:cs="Calibri"/>
          <w:kern w:val="0"/>
          <w:szCs w:val="20"/>
          <w14:ligatures w14:val="none"/>
        </w:rPr>
        <w:t xml:space="preserve"> dla lotnictwa międzynarodowego (CORSIA), czy też realizację rozporządzenia </w:t>
      </w:r>
      <w:r w:rsidR="000A6EB6">
        <w:rPr>
          <w:rFonts w:cs="Calibri"/>
          <w:kern w:val="0"/>
          <w:szCs w:val="20"/>
          <w14:ligatures w14:val="none"/>
        </w:rPr>
        <w:t>UE</w:t>
      </w:r>
      <w:r w:rsidRPr="009D61DE">
        <w:rPr>
          <w:rFonts w:cs="Calibri"/>
          <w:kern w:val="0"/>
          <w:szCs w:val="20"/>
          <w14:ligatures w14:val="none"/>
        </w:rPr>
        <w:t xml:space="preserve"> 2023/2405 w sprawie zapewnienia równych warunków działania dla zrównoważonego</w:t>
      </w:r>
      <w:r w:rsidR="000A6EB6">
        <w:rPr>
          <w:rFonts w:cs="Calibri"/>
          <w:kern w:val="0"/>
          <w:szCs w:val="20"/>
          <w14:ligatures w14:val="none"/>
        </w:rPr>
        <w:t xml:space="preserve"> </w:t>
      </w:r>
      <w:r w:rsidRPr="009D61DE">
        <w:rPr>
          <w:rFonts w:cs="Calibri"/>
          <w:kern w:val="0"/>
          <w:szCs w:val="20"/>
          <w14:ligatures w14:val="none"/>
        </w:rPr>
        <w:t>transportu lotniczego (</w:t>
      </w:r>
      <w:r w:rsidR="000A6EB6">
        <w:rPr>
          <w:rFonts w:cs="Calibri"/>
          <w:kern w:val="0"/>
          <w:szCs w:val="20"/>
          <w14:ligatures w14:val="none"/>
        </w:rPr>
        <w:t xml:space="preserve">ang. </w:t>
      </w:r>
      <w:r w:rsidRPr="00E76004">
        <w:rPr>
          <w:rFonts w:cs="Calibri"/>
          <w:i/>
          <w:iCs/>
          <w:kern w:val="0"/>
          <w:szCs w:val="20"/>
          <w14:ligatures w14:val="none"/>
        </w:rPr>
        <w:t>ReFuelEU Aviation</w:t>
      </w:r>
      <w:r w:rsidRPr="009D61DE">
        <w:rPr>
          <w:rFonts w:cs="Calibri"/>
          <w:kern w:val="0"/>
          <w:szCs w:val="20"/>
          <w14:ligatures w14:val="none"/>
        </w:rPr>
        <w:t>)</w:t>
      </w:r>
      <w:r w:rsidR="00CC6CC9">
        <w:rPr>
          <w:rFonts w:cs="Calibri"/>
          <w:kern w:val="0"/>
          <w:szCs w:val="20"/>
          <w14:ligatures w14:val="none"/>
        </w:rPr>
        <w:t xml:space="preserve">, które m.in. </w:t>
      </w:r>
      <w:r w:rsidR="00CC6CC9">
        <w:t>zobowiązuje dostawców paliw lotniczych do zapewnienia w przełomie 2030/31 co najmniej 1% udziału paliw syntetycznych w</w:t>
      </w:r>
      <w:r w:rsidR="006E709D">
        <w:t> </w:t>
      </w:r>
      <w:r w:rsidR="00CC6CC9">
        <w:t>bilansie dostarczonych na lotniska paliw.</w:t>
      </w:r>
    </w:p>
    <w:p w14:paraId="759E7148" w14:textId="1D3BC509" w:rsidR="00A868D5" w:rsidRPr="00E82973" w:rsidRDefault="00A868D5" w:rsidP="00A868D5">
      <w:pPr>
        <w:spacing w:after="120" w:line="264" w:lineRule="auto"/>
        <w:rPr>
          <w:rFonts w:cs="Calibri"/>
          <w:kern w:val="0"/>
          <w:szCs w:val="20"/>
          <w14:ligatures w14:val="none"/>
        </w:rPr>
      </w:pPr>
      <w:r w:rsidRPr="00E82973">
        <w:rPr>
          <w:rFonts w:cs="Calibri"/>
          <w:kern w:val="0"/>
          <w:szCs w:val="20"/>
          <w14:ligatures w14:val="none"/>
        </w:rPr>
        <w:t xml:space="preserve">Konieczne jest podjęcie działań wspierających </w:t>
      </w:r>
      <w:r w:rsidR="00E76004">
        <w:rPr>
          <w:rFonts w:cs="Calibri"/>
          <w:kern w:val="0"/>
          <w:szCs w:val="20"/>
          <w14:ligatures w14:val="none"/>
        </w:rPr>
        <w:t>gospodarowanie</w:t>
      </w:r>
      <w:r w:rsidRPr="00E82973">
        <w:rPr>
          <w:rFonts w:cs="Calibri"/>
          <w:kern w:val="0"/>
          <w:szCs w:val="20"/>
          <w14:ligatures w14:val="none"/>
        </w:rPr>
        <w:t xml:space="preserve"> odpadami, a także produkcję i dystrybucję zrównoważonych paliw lotniczych (SAF) oraz finansowanie działań związanych z produkcją paliw syntetycznych (RFNBO) w Polsce. Głównym źródłem finansowania tych działań powinny być środki pochodzące z opłat operatorów statków powietrznych za umarzanie uprawnień do emisji w ramach systemu EU</w:t>
      </w:r>
      <w:r w:rsidR="000A6EB6">
        <w:rPr>
          <w:rFonts w:cs="Calibri"/>
          <w:kern w:val="0"/>
          <w:szCs w:val="20"/>
          <w14:ligatures w14:val="none"/>
        </w:rPr>
        <w:t xml:space="preserve"> </w:t>
      </w:r>
      <w:r w:rsidRPr="00E82973">
        <w:rPr>
          <w:rFonts w:cs="Calibri"/>
          <w:kern w:val="0"/>
          <w:szCs w:val="20"/>
          <w14:ligatures w14:val="none"/>
        </w:rPr>
        <w:t>ETS.</w:t>
      </w:r>
    </w:p>
    <w:p w14:paraId="5A6CD569" w14:textId="6126701E" w:rsidR="00A868D5" w:rsidRPr="00E82973" w:rsidRDefault="00A868D5" w:rsidP="00A868D5">
      <w:pPr>
        <w:rPr>
          <w:rFonts w:cs="Calibri"/>
          <w:szCs w:val="20"/>
        </w:rPr>
      </w:pPr>
      <w:r w:rsidRPr="00E82973">
        <w:rPr>
          <w:rFonts w:cs="Calibri"/>
          <w:kern w:val="0"/>
          <w:szCs w:val="20"/>
          <w14:ligatures w14:val="none"/>
        </w:rPr>
        <w:t xml:space="preserve">W portach lotniczych realizowane będą inwestycje wynikające z wymogów art. 12 rozporządzenia </w:t>
      </w:r>
      <w:r w:rsidR="000A6EB6">
        <w:rPr>
          <w:rFonts w:cs="Calibri"/>
          <w:kern w:val="0"/>
          <w:szCs w:val="20"/>
          <w14:ligatures w14:val="none"/>
        </w:rPr>
        <w:t>AFIR</w:t>
      </w:r>
      <w:r w:rsidRPr="00E82973">
        <w:rPr>
          <w:rFonts w:cs="Calibri"/>
          <w:kern w:val="0"/>
          <w:szCs w:val="20"/>
          <w14:ligatures w14:val="none"/>
        </w:rPr>
        <w:t>, dotyczących zapewnienia energii elektrycznej (OZE) statkom powietrznym podczas postoju.</w:t>
      </w:r>
    </w:p>
    <w:p w14:paraId="669E82CA" w14:textId="77777777" w:rsidR="00080BA7" w:rsidRPr="00C46DAA" w:rsidRDefault="00080BA7" w:rsidP="000A6EB6">
      <w:pPr>
        <w:pStyle w:val="Polityka"/>
      </w:pPr>
      <w:r w:rsidRPr="00C46DAA">
        <w:t>DZIAŁANIA</w:t>
      </w:r>
    </w:p>
    <w:p w14:paraId="7BE4C723" w14:textId="021BB012" w:rsidR="003C445B" w:rsidRPr="0092187F" w:rsidRDefault="003C445B" w:rsidP="0092187F">
      <w:pPr>
        <w:spacing w:before="240" w:after="120"/>
        <w:rPr>
          <w:b/>
          <w:bCs/>
        </w:rPr>
      </w:pPr>
      <w:r w:rsidRPr="0092187F">
        <w:rPr>
          <w:b/>
          <w:bCs/>
        </w:rPr>
        <w:t>Działania horyzontalne</w:t>
      </w:r>
      <w:r w:rsidR="00BA4318" w:rsidRPr="0092187F">
        <w:rPr>
          <w:b/>
          <w:bCs/>
        </w:rPr>
        <w:t>:</w:t>
      </w:r>
    </w:p>
    <w:p w14:paraId="08FB2F3C" w14:textId="662C838D" w:rsidR="006B7556" w:rsidRDefault="006B7556" w:rsidP="008340D5">
      <w:pPr>
        <w:pStyle w:val="Akapitzlist"/>
        <w:numPr>
          <w:ilvl w:val="0"/>
          <w:numId w:val="6"/>
        </w:numPr>
        <w:rPr>
          <w:szCs w:val="20"/>
        </w:rPr>
      </w:pPr>
      <w:r>
        <w:rPr>
          <w:szCs w:val="20"/>
        </w:rPr>
        <w:fldChar w:fldCharType="begin"/>
      </w:r>
      <w:r>
        <w:rPr>
          <w:szCs w:val="20"/>
        </w:rPr>
        <w:instrText xml:space="preserve"> REF _Ref157417713 \h </w:instrText>
      </w:r>
      <w:r>
        <w:rPr>
          <w:szCs w:val="20"/>
        </w:rPr>
      </w:r>
      <w:r>
        <w:rPr>
          <w:szCs w:val="20"/>
        </w:rPr>
        <w:fldChar w:fldCharType="separate"/>
      </w:r>
      <w:r w:rsidR="00DD3929" w:rsidRPr="00F12C9E">
        <w:t xml:space="preserve">Działanie </w:t>
      </w:r>
      <w:r w:rsidR="00DD3929">
        <w:rPr>
          <w:noProof/>
        </w:rPr>
        <w:t>1</w:t>
      </w:r>
      <w:r w:rsidR="00DD3929" w:rsidRPr="00F12C9E">
        <w:t>. Uczestnictwo w systemie handlu emisjami EU-ETS.</w:t>
      </w:r>
      <w:r>
        <w:rPr>
          <w:szCs w:val="20"/>
        </w:rPr>
        <w:fldChar w:fldCharType="end"/>
      </w:r>
    </w:p>
    <w:p w14:paraId="5FEDA6C4" w14:textId="1D3A62A0" w:rsidR="006B7556" w:rsidRDefault="006B7556" w:rsidP="008340D5">
      <w:pPr>
        <w:pStyle w:val="Akapitzlist"/>
        <w:numPr>
          <w:ilvl w:val="0"/>
          <w:numId w:val="6"/>
        </w:numPr>
        <w:rPr>
          <w:szCs w:val="20"/>
        </w:rPr>
      </w:pPr>
      <w:r>
        <w:rPr>
          <w:szCs w:val="20"/>
        </w:rPr>
        <w:fldChar w:fldCharType="begin"/>
      </w:r>
      <w:r>
        <w:rPr>
          <w:szCs w:val="20"/>
        </w:rPr>
        <w:instrText xml:space="preserve"> REF _Ref157424317 \h </w:instrText>
      </w:r>
      <w:r>
        <w:rPr>
          <w:szCs w:val="20"/>
        </w:rPr>
      </w:r>
      <w:r>
        <w:rPr>
          <w:szCs w:val="20"/>
        </w:rPr>
        <w:fldChar w:fldCharType="separate"/>
      </w:r>
      <w:r w:rsidR="00DD3929" w:rsidRPr="00F12C9E">
        <w:t xml:space="preserve">Działanie </w:t>
      </w:r>
      <w:r w:rsidR="00DD3929">
        <w:rPr>
          <w:noProof/>
        </w:rPr>
        <w:t>28</w:t>
      </w:r>
      <w:r w:rsidR="00DD3929" w:rsidRPr="00F12C9E">
        <w:t>. Inteligentne Systemy Transportowe (ITS).</w:t>
      </w:r>
      <w:r>
        <w:rPr>
          <w:szCs w:val="20"/>
        </w:rPr>
        <w:fldChar w:fldCharType="end"/>
      </w:r>
    </w:p>
    <w:p w14:paraId="5664C409" w14:textId="4C98E717" w:rsidR="00202AF4" w:rsidRDefault="00202AF4" w:rsidP="008340D5">
      <w:pPr>
        <w:pStyle w:val="Akapitzlist"/>
        <w:numPr>
          <w:ilvl w:val="0"/>
          <w:numId w:val="6"/>
        </w:numPr>
        <w:rPr>
          <w:szCs w:val="20"/>
        </w:rPr>
      </w:pPr>
      <w:r>
        <w:rPr>
          <w:szCs w:val="20"/>
        </w:rPr>
        <w:fldChar w:fldCharType="begin"/>
      </w:r>
      <w:r>
        <w:rPr>
          <w:szCs w:val="20"/>
        </w:rPr>
        <w:instrText xml:space="preserve"> REF _Ref157424755 \h </w:instrText>
      </w:r>
      <w:r>
        <w:rPr>
          <w:szCs w:val="20"/>
        </w:rPr>
      </w:r>
      <w:r>
        <w:rPr>
          <w:szCs w:val="20"/>
        </w:rPr>
        <w:fldChar w:fldCharType="separate"/>
      </w:r>
      <w:r w:rsidR="00DD3929" w:rsidRPr="00F12C9E">
        <w:t xml:space="preserve">Działanie </w:t>
      </w:r>
      <w:r w:rsidR="00DD3929">
        <w:rPr>
          <w:noProof/>
        </w:rPr>
        <w:t>36</w:t>
      </w:r>
      <w:r w:rsidR="00DD3929" w:rsidRPr="00F12C9E">
        <w:t>. Instrument</w:t>
      </w:r>
      <w:r w:rsidR="00DD3929">
        <w:t>y</w:t>
      </w:r>
      <w:r w:rsidR="00DD3929" w:rsidRPr="00F12C9E">
        <w:t xml:space="preserve"> finansow</w:t>
      </w:r>
      <w:r w:rsidR="00DD3929">
        <w:t>ego</w:t>
      </w:r>
      <w:r w:rsidR="00DD3929" w:rsidRPr="00F12C9E">
        <w:t xml:space="preserve"> wsparci</w:t>
      </w:r>
      <w:r w:rsidR="00DD3929">
        <w:t>a</w:t>
      </w:r>
      <w:r w:rsidR="00DD3929" w:rsidRPr="00F12C9E">
        <w:t xml:space="preserve"> elektromobilności.</w:t>
      </w:r>
      <w:r>
        <w:rPr>
          <w:szCs w:val="20"/>
        </w:rPr>
        <w:fldChar w:fldCharType="end"/>
      </w:r>
    </w:p>
    <w:p w14:paraId="23E2F145" w14:textId="7838952E" w:rsidR="00202AF4" w:rsidRDefault="00202AF4" w:rsidP="008340D5">
      <w:pPr>
        <w:pStyle w:val="Akapitzlist"/>
        <w:numPr>
          <w:ilvl w:val="0"/>
          <w:numId w:val="6"/>
        </w:numPr>
        <w:rPr>
          <w:szCs w:val="20"/>
        </w:rPr>
      </w:pPr>
      <w:r>
        <w:rPr>
          <w:szCs w:val="20"/>
        </w:rPr>
        <w:lastRenderedPageBreak/>
        <w:fldChar w:fldCharType="begin"/>
      </w:r>
      <w:r>
        <w:rPr>
          <w:szCs w:val="20"/>
        </w:rPr>
        <w:instrText xml:space="preserve"> REF _Ref159236917 \h </w:instrText>
      </w:r>
      <w:r>
        <w:rPr>
          <w:szCs w:val="20"/>
        </w:rPr>
      </w:r>
      <w:r>
        <w:rPr>
          <w:szCs w:val="20"/>
        </w:rPr>
        <w:fldChar w:fldCharType="separate"/>
      </w:r>
      <w:r w:rsidR="00DD3929" w:rsidRPr="00F12C9E">
        <w:t xml:space="preserve">Działanie </w:t>
      </w:r>
      <w:r w:rsidR="00DD3929">
        <w:rPr>
          <w:noProof/>
        </w:rPr>
        <w:t>37</w:t>
      </w:r>
      <w:r w:rsidR="00DD3929" w:rsidRPr="00F12C9E">
        <w:t>. Instrument</w:t>
      </w:r>
      <w:r w:rsidR="00DD3929">
        <w:t>y</w:t>
      </w:r>
      <w:r w:rsidR="00DD3929" w:rsidRPr="00F12C9E">
        <w:t xml:space="preserve"> </w:t>
      </w:r>
      <w:r w:rsidR="00DD3929">
        <w:t>poza</w:t>
      </w:r>
      <w:r w:rsidR="00DD3929" w:rsidRPr="00F12C9E">
        <w:t>finansow</w:t>
      </w:r>
      <w:r w:rsidR="00DD3929">
        <w:t>ego</w:t>
      </w:r>
      <w:r w:rsidR="00DD3929" w:rsidRPr="00F12C9E">
        <w:t xml:space="preserve"> wsparci</w:t>
      </w:r>
      <w:r w:rsidR="00DD3929">
        <w:t>a</w:t>
      </w:r>
      <w:r w:rsidR="00DD3929" w:rsidRPr="00F12C9E">
        <w:t xml:space="preserve"> elektromobilności</w:t>
      </w:r>
      <w:r w:rsidR="00DD3929">
        <w:t>.</w:t>
      </w:r>
      <w:r>
        <w:rPr>
          <w:szCs w:val="20"/>
        </w:rPr>
        <w:fldChar w:fldCharType="end"/>
      </w:r>
    </w:p>
    <w:p w14:paraId="0DF78960" w14:textId="258BD8B7" w:rsidR="00202AF4" w:rsidRDefault="00202AF4" w:rsidP="008340D5">
      <w:pPr>
        <w:pStyle w:val="Akapitzlist"/>
        <w:numPr>
          <w:ilvl w:val="0"/>
          <w:numId w:val="6"/>
        </w:numPr>
        <w:rPr>
          <w:szCs w:val="20"/>
        </w:rPr>
      </w:pPr>
      <w:r>
        <w:rPr>
          <w:szCs w:val="20"/>
        </w:rPr>
        <w:fldChar w:fldCharType="begin"/>
      </w:r>
      <w:r>
        <w:rPr>
          <w:szCs w:val="20"/>
        </w:rPr>
        <w:instrText xml:space="preserve"> REF _Ref157424782 \h </w:instrText>
      </w:r>
      <w:r>
        <w:rPr>
          <w:szCs w:val="20"/>
        </w:rPr>
      </w:r>
      <w:r>
        <w:rPr>
          <w:szCs w:val="20"/>
        </w:rPr>
        <w:fldChar w:fldCharType="separate"/>
      </w:r>
      <w:r w:rsidR="00DD3929" w:rsidRPr="00F12C9E">
        <w:t xml:space="preserve">Działanie </w:t>
      </w:r>
      <w:r w:rsidR="00DD3929">
        <w:rPr>
          <w:noProof/>
        </w:rPr>
        <w:t>38</w:t>
      </w:r>
      <w:r w:rsidR="00DD3929" w:rsidRPr="00F12C9E">
        <w:t>. Rozwój infrastruktury do ładowania pojazdów elektrycznych.</w:t>
      </w:r>
      <w:r>
        <w:rPr>
          <w:szCs w:val="20"/>
        </w:rPr>
        <w:fldChar w:fldCharType="end"/>
      </w:r>
    </w:p>
    <w:p w14:paraId="45B64535" w14:textId="1A237388" w:rsidR="00202AF4" w:rsidRDefault="00202AF4" w:rsidP="008340D5">
      <w:pPr>
        <w:pStyle w:val="Akapitzlist"/>
        <w:numPr>
          <w:ilvl w:val="0"/>
          <w:numId w:val="6"/>
        </w:numPr>
        <w:rPr>
          <w:szCs w:val="20"/>
        </w:rPr>
      </w:pPr>
      <w:r>
        <w:rPr>
          <w:szCs w:val="20"/>
        </w:rPr>
        <w:fldChar w:fldCharType="begin"/>
      </w:r>
      <w:r>
        <w:rPr>
          <w:szCs w:val="20"/>
        </w:rPr>
        <w:instrText xml:space="preserve"> REF _Ref157425010 \h </w:instrText>
      </w:r>
      <w:r>
        <w:rPr>
          <w:szCs w:val="20"/>
        </w:rPr>
      </w:r>
      <w:r>
        <w:rPr>
          <w:szCs w:val="20"/>
        </w:rPr>
        <w:fldChar w:fldCharType="separate"/>
      </w:r>
      <w:r w:rsidR="00DD3929" w:rsidRPr="00F12C9E">
        <w:t xml:space="preserve">Działanie </w:t>
      </w:r>
      <w:r w:rsidR="00DD3929">
        <w:rPr>
          <w:noProof/>
        </w:rPr>
        <w:t>39</w:t>
      </w:r>
      <w:r w:rsidR="00DD3929" w:rsidRPr="00F12C9E">
        <w:t>. Rozwój Ewidencji Infrastruktury Paliw Alternatywnych.</w:t>
      </w:r>
      <w:r>
        <w:rPr>
          <w:szCs w:val="20"/>
        </w:rPr>
        <w:fldChar w:fldCharType="end"/>
      </w:r>
    </w:p>
    <w:p w14:paraId="279B86DE" w14:textId="7A3F8656" w:rsidR="00202AF4" w:rsidRDefault="00202AF4" w:rsidP="008340D5">
      <w:pPr>
        <w:pStyle w:val="Akapitzlist"/>
        <w:numPr>
          <w:ilvl w:val="0"/>
          <w:numId w:val="6"/>
        </w:numPr>
        <w:rPr>
          <w:szCs w:val="20"/>
        </w:rPr>
      </w:pPr>
      <w:r>
        <w:rPr>
          <w:szCs w:val="20"/>
        </w:rPr>
        <w:fldChar w:fldCharType="begin"/>
      </w:r>
      <w:r>
        <w:rPr>
          <w:szCs w:val="20"/>
        </w:rPr>
        <w:instrText xml:space="preserve"> REF _Ref157425021 \h </w:instrText>
      </w:r>
      <w:r>
        <w:rPr>
          <w:szCs w:val="20"/>
        </w:rPr>
      </w:r>
      <w:r>
        <w:rPr>
          <w:szCs w:val="20"/>
        </w:rPr>
        <w:fldChar w:fldCharType="separate"/>
      </w:r>
      <w:r w:rsidR="00DD3929" w:rsidRPr="00F12C9E">
        <w:t xml:space="preserve">Działanie </w:t>
      </w:r>
      <w:r w:rsidR="00DD3929">
        <w:rPr>
          <w:noProof/>
        </w:rPr>
        <w:t>40</w:t>
      </w:r>
      <w:r w:rsidR="00DD3929" w:rsidRPr="00F12C9E">
        <w:t>. Działania w zakresie rozwoju wykorzystywania biopaliw.</w:t>
      </w:r>
      <w:r>
        <w:rPr>
          <w:szCs w:val="20"/>
        </w:rPr>
        <w:fldChar w:fldCharType="end"/>
      </w:r>
    </w:p>
    <w:p w14:paraId="0BA7CEC4" w14:textId="01501B1F" w:rsidR="00BC214E" w:rsidRDefault="00BC214E" w:rsidP="008340D5">
      <w:pPr>
        <w:pStyle w:val="Akapitzlist"/>
        <w:numPr>
          <w:ilvl w:val="0"/>
          <w:numId w:val="6"/>
        </w:numPr>
      </w:pPr>
      <w:r>
        <w:fldChar w:fldCharType="begin"/>
      </w:r>
      <w:r>
        <w:instrText xml:space="preserve"> REF _Ref174104352 \h </w:instrText>
      </w:r>
      <w:r>
        <w:fldChar w:fldCharType="separate"/>
      </w:r>
      <w:r w:rsidR="00DD3929">
        <w:t xml:space="preserve">Działanie </w:t>
      </w:r>
      <w:r w:rsidR="00DD3929">
        <w:rPr>
          <w:noProof/>
        </w:rPr>
        <w:t>9</w:t>
      </w:r>
      <w:r w:rsidR="00DD3929">
        <w:t>.</w:t>
      </w:r>
      <w:r w:rsidR="00DD3929" w:rsidRPr="00845CDE">
        <w:t xml:space="preserve"> </w:t>
      </w:r>
      <w:r w:rsidR="00DD3929">
        <w:t>Pakiet wsparcia rozwoju rynku biogazu i biometanu.</w:t>
      </w:r>
      <w:r>
        <w:fldChar w:fldCharType="end"/>
      </w:r>
    </w:p>
    <w:p w14:paraId="25A0C677" w14:textId="3E9842AE" w:rsidR="00202AF4" w:rsidRDefault="00202AF4" w:rsidP="008340D5">
      <w:pPr>
        <w:pStyle w:val="Akapitzlist"/>
        <w:numPr>
          <w:ilvl w:val="0"/>
          <w:numId w:val="6"/>
        </w:numPr>
      </w:pPr>
      <w:r w:rsidRPr="00202AF4">
        <w:fldChar w:fldCharType="begin"/>
      </w:r>
      <w:r w:rsidRPr="00202AF4">
        <w:instrText xml:space="preserve"> REF _Ref157425039 \h </w:instrText>
      </w:r>
      <w:r>
        <w:instrText xml:space="preserve"> \* MERGEFORMAT </w:instrText>
      </w:r>
      <w:r w:rsidRPr="00202AF4">
        <w:fldChar w:fldCharType="separate"/>
      </w:r>
      <w:r w:rsidR="00DD3929" w:rsidRPr="00DD3929">
        <w:t>Działanie 41. Budowanie świadomości – kształtowanie prośrodowiskowych postaw kierowców.</w:t>
      </w:r>
      <w:r w:rsidRPr="00202AF4">
        <w:fldChar w:fldCharType="end"/>
      </w:r>
    </w:p>
    <w:p w14:paraId="1EE9E1AA" w14:textId="06390D2F" w:rsidR="00202AF4" w:rsidRDefault="00202AF4" w:rsidP="008340D5">
      <w:pPr>
        <w:pStyle w:val="Akapitzlist"/>
        <w:numPr>
          <w:ilvl w:val="0"/>
          <w:numId w:val="6"/>
        </w:numPr>
      </w:pPr>
      <w:r>
        <w:fldChar w:fldCharType="begin"/>
      </w:r>
      <w:r>
        <w:instrText xml:space="preserve"> REF _Ref157425047 \h </w:instrText>
      </w:r>
      <w:r>
        <w:fldChar w:fldCharType="separate"/>
      </w:r>
      <w:r w:rsidR="00DD3929" w:rsidRPr="00F12C9E">
        <w:t xml:space="preserve">Działanie </w:t>
      </w:r>
      <w:r w:rsidR="00DD3929">
        <w:rPr>
          <w:noProof/>
        </w:rPr>
        <w:t>42</w:t>
      </w:r>
      <w:r w:rsidR="00DD3929" w:rsidRPr="00F12C9E">
        <w:t>. Zwiększanie wymagań – poprawa emisyjności pojazdów.</w:t>
      </w:r>
      <w:r>
        <w:fldChar w:fldCharType="end"/>
      </w:r>
    </w:p>
    <w:p w14:paraId="6EEA486C" w14:textId="465E9A2A" w:rsidR="00202AF4" w:rsidRDefault="00202AF4" w:rsidP="008340D5">
      <w:pPr>
        <w:pStyle w:val="Akapitzlist"/>
        <w:numPr>
          <w:ilvl w:val="0"/>
          <w:numId w:val="6"/>
        </w:numPr>
      </w:pPr>
      <w:r>
        <w:fldChar w:fldCharType="begin"/>
      </w:r>
      <w:r>
        <w:instrText xml:space="preserve"> REF _Ref157425054 \h </w:instrText>
      </w:r>
      <w:r>
        <w:fldChar w:fldCharType="separate"/>
      </w:r>
      <w:r w:rsidR="00DD3929" w:rsidRPr="00F12C9E">
        <w:t xml:space="preserve">Działanie </w:t>
      </w:r>
      <w:r w:rsidR="00DD3929">
        <w:rPr>
          <w:noProof/>
        </w:rPr>
        <w:t>43</w:t>
      </w:r>
      <w:r w:rsidR="00DD3929" w:rsidRPr="00F12C9E">
        <w:t>. Zwiększanie wymagań – redukcja emisyjności paliw stosowanych w</w:t>
      </w:r>
      <w:r w:rsidR="00DD3929">
        <w:rPr>
          <w:szCs w:val="24"/>
        </w:rPr>
        <w:t> </w:t>
      </w:r>
      <w:r w:rsidR="00DD3929" w:rsidRPr="00F12C9E">
        <w:t>transporcie.</w:t>
      </w:r>
      <w:r>
        <w:fldChar w:fldCharType="end"/>
      </w:r>
    </w:p>
    <w:p w14:paraId="356BFB10" w14:textId="374C86F3" w:rsidR="00202AF4" w:rsidRDefault="00202AF4" w:rsidP="008340D5">
      <w:pPr>
        <w:pStyle w:val="Akapitzlist"/>
        <w:numPr>
          <w:ilvl w:val="0"/>
          <w:numId w:val="6"/>
        </w:numPr>
      </w:pPr>
      <w:r>
        <w:fldChar w:fldCharType="begin"/>
      </w:r>
      <w:r>
        <w:instrText xml:space="preserve"> REF _Ref159179475 \h </w:instrText>
      </w:r>
      <w:r>
        <w:fldChar w:fldCharType="separate"/>
      </w:r>
      <w:r w:rsidR="00DD3929" w:rsidRPr="00A74EF3">
        <w:t xml:space="preserve">Działanie </w:t>
      </w:r>
      <w:r w:rsidR="00DD3929">
        <w:rPr>
          <w:noProof/>
        </w:rPr>
        <w:t>111</w:t>
      </w:r>
      <w:r w:rsidR="00DD3929" w:rsidRPr="00A74EF3">
        <w:t>. Określenie ram prawnych dla rozwoju infrastruktury do transportu wodoru.</w:t>
      </w:r>
      <w:r>
        <w:fldChar w:fldCharType="end"/>
      </w:r>
    </w:p>
    <w:p w14:paraId="13A23932" w14:textId="542F430A" w:rsidR="00202AF4" w:rsidRDefault="00202AF4" w:rsidP="008340D5">
      <w:pPr>
        <w:pStyle w:val="Akapitzlist"/>
        <w:numPr>
          <w:ilvl w:val="0"/>
          <w:numId w:val="6"/>
        </w:numPr>
      </w:pPr>
      <w:r>
        <w:fldChar w:fldCharType="begin"/>
      </w:r>
      <w:r>
        <w:instrText xml:space="preserve"> REF _Ref157429352 \h </w:instrText>
      </w:r>
      <w:r>
        <w:fldChar w:fldCharType="separate"/>
      </w:r>
      <w:r w:rsidR="00DD3929" w:rsidRPr="00F12C9E">
        <w:t xml:space="preserve">Działanie </w:t>
      </w:r>
      <w:r w:rsidR="00DD3929">
        <w:rPr>
          <w:noProof/>
        </w:rPr>
        <w:t>112</w:t>
      </w:r>
      <w:r w:rsidR="00DD3929" w:rsidRPr="00F12C9E">
        <w:t>. Rozwój infrastruktury wodorowej.</w:t>
      </w:r>
      <w:r>
        <w:fldChar w:fldCharType="end"/>
      </w:r>
    </w:p>
    <w:p w14:paraId="7F700308" w14:textId="365AF4B4" w:rsidR="00202AF4" w:rsidRDefault="00202AF4" w:rsidP="008340D5">
      <w:pPr>
        <w:pStyle w:val="Akapitzlist"/>
        <w:numPr>
          <w:ilvl w:val="0"/>
          <w:numId w:val="6"/>
        </w:numPr>
      </w:pPr>
      <w:r>
        <w:fldChar w:fldCharType="begin"/>
      </w:r>
      <w:r>
        <w:instrText xml:space="preserve"> REF _Ref157425238 \h </w:instrText>
      </w:r>
      <w:r>
        <w:fldChar w:fldCharType="separate"/>
      </w:r>
      <w:r w:rsidR="00DD3929" w:rsidRPr="00163CF0">
        <w:t xml:space="preserve">Działanie </w:t>
      </w:r>
      <w:r w:rsidR="00DD3929">
        <w:rPr>
          <w:noProof/>
        </w:rPr>
        <w:t>139</w:t>
      </w:r>
      <w:r w:rsidR="00DD3929" w:rsidRPr="00163CF0">
        <w:t>. Redukowanie emisji metanu z procesów produkcji i dystrybucji paliw.</w:t>
      </w:r>
      <w:r>
        <w:fldChar w:fldCharType="end"/>
      </w:r>
    </w:p>
    <w:p w14:paraId="40112B88" w14:textId="1AE8A4B0" w:rsidR="00202AF4" w:rsidRPr="00202AF4" w:rsidRDefault="00202AF4" w:rsidP="008340D5">
      <w:pPr>
        <w:pStyle w:val="Akapitzlist"/>
        <w:numPr>
          <w:ilvl w:val="0"/>
          <w:numId w:val="6"/>
        </w:numPr>
      </w:pPr>
      <w:r>
        <w:fldChar w:fldCharType="begin"/>
      </w:r>
      <w:r>
        <w:instrText xml:space="preserve"> REF _Ref157428874 \h </w:instrText>
      </w:r>
      <w:r>
        <w:fldChar w:fldCharType="separate"/>
      </w:r>
      <w:r w:rsidR="00DD3929" w:rsidRPr="00163CF0">
        <w:t xml:space="preserve">Działanie </w:t>
      </w:r>
      <w:r w:rsidR="00DD3929">
        <w:rPr>
          <w:noProof/>
        </w:rPr>
        <w:t>141</w:t>
      </w:r>
      <w:r w:rsidR="00DD3929" w:rsidRPr="00163CF0">
        <w:t>. Budowanie kompetencji i kreowanie świadomości – zeroemisyjny transport.</w:t>
      </w:r>
      <w:r>
        <w:fldChar w:fldCharType="end"/>
      </w:r>
    </w:p>
    <w:p w14:paraId="6470D6D5" w14:textId="3A49BA31" w:rsidR="00F24450" w:rsidRPr="000639DA" w:rsidRDefault="003C445B" w:rsidP="000639DA">
      <w:pPr>
        <w:keepNext/>
        <w:spacing w:before="360" w:after="120"/>
        <w:rPr>
          <w:b/>
          <w:bCs/>
        </w:rPr>
      </w:pPr>
      <w:r w:rsidRPr="0092187F">
        <w:rPr>
          <w:b/>
          <w:bCs/>
        </w:rPr>
        <w:t>W zakresie dekarbonizacji transportu miejskiego</w:t>
      </w:r>
      <w:r w:rsidR="00BA4318" w:rsidRPr="0092187F">
        <w:rPr>
          <w:b/>
          <w:bCs/>
        </w:rPr>
        <w:t>:</w:t>
      </w:r>
    </w:p>
    <w:p w14:paraId="68DA76F3" w14:textId="0F000C09" w:rsidR="00F24450" w:rsidRDefault="00D90430" w:rsidP="003C445B">
      <w:pPr>
        <w:pStyle w:val="Akapitzlist"/>
        <w:numPr>
          <w:ilvl w:val="0"/>
          <w:numId w:val="6"/>
        </w:numPr>
        <w:rPr>
          <w:szCs w:val="20"/>
        </w:rPr>
      </w:pPr>
      <w:r>
        <w:rPr>
          <w:szCs w:val="20"/>
        </w:rPr>
        <w:fldChar w:fldCharType="begin"/>
      </w:r>
      <w:r>
        <w:rPr>
          <w:szCs w:val="20"/>
        </w:rPr>
        <w:instrText xml:space="preserve"> REF _Ref157424685 \h </w:instrText>
      </w:r>
      <w:r>
        <w:rPr>
          <w:szCs w:val="20"/>
        </w:rPr>
      </w:r>
      <w:r>
        <w:rPr>
          <w:szCs w:val="20"/>
        </w:rPr>
        <w:fldChar w:fldCharType="separate"/>
      </w:r>
      <w:r w:rsidR="00DD3929" w:rsidRPr="00F12C9E">
        <w:t xml:space="preserve">Działanie </w:t>
      </w:r>
      <w:r w:rsidR="00DD3929">
        <w:rPr>
          <w:noProof/>
        </w:rPr>
        <w:t>31</w:t>
      </w:r>
      <w:r w:rsidR="00DD3929" w:rsidRPr="00F12C9E">
        <w:t>. Rozwój miejskich sieci transportowych.</w:t>
      </w:r>
      <w:r>
        <w:rPr>
          <w:szCs w:val="20"/>
        </w:rPr>
        <w:fldChar w:fldCharType="end"/>
      </w:r>
    </w:p>
    <w:p w14:paraId="24D8D70C" w14:textId="7A6B5C93" w:rsidR="00D90430" w:rsidRDefault="00D90430" w:rsidP="003C445B">
      <w:pPr>
        <w:pStyle w:val="Akapitzlist"/>
        <w:numPr>
          <w:ilvl w:val="0"/>
          <w:numId w:val="6"/>
        </w:numPr>
        <w:rPr>
          <w:szCs w:val="20"/>
        </w:rPr>
      </w:pPr>
      <w:r>
        <w:rPr>
          <w:szCs w:val="20"/>
        </w:rPr>
        <w:fldChar w:fldCharType="begin"/>
      </w:r>
      <w:r>
        <w:rPr>
          <w:szCs w:val="20"/>
        </w:rPr>
        <w:instrText xml:space="preserve"> REF _Ref157424690 \h </w:instrText>
      </w:r>
      <w:r>
        <w:rPr>
          <w:szCs w:val="20"/>
        </w:rPr>
      </w:r>
      <w:r>
        <w:rPr>
          <w:szCs w:val="20"/>
        </w:rPr>
        <w:fldChar w:fldCharType="separate"/>
      </w:r>
      <w:r w:rsidR="00DD3929" w:rsidRPr="00F12C9E">
        <w:t xml:space="preserve">Działanie </w:t>
      </w:r>
      <w:r w:rsidR="00DD3929">
        <w:rPr>
          <w:noProof/>
        </w:rPr>
        <w:t>32</w:t>
      </w:r>
      <w:r w:rsidR="00DD3929" w:rsidRPr="00F12C9E">
        <w:t>. Plany zrównoważonego rozwoju publicznego transportu zbiorowego.</w:t>
      </w:r>
      <w:r>
        <w:rPr>
          <w:szCs w:val="20"/>
        </w:rPr>
        <w:fldChar w:fldCharType="end"/>
      </w:r>
    </w:p>
    <w:p w14:paraId="2CF1EDC2" w14:textId="7710A965" w:rsidR="00D90430" w:rsidRDefault="00D90430" w:rsidP="003C445B">
      <w:pPr>
        <w:pStyle w:val="Akapitzlist"/>
        <w:numPr>
          <w:ilvl w:val="0"/>
          <w:numId w:val="6"/>
        </w:numPr>
        <w:rPr>
          <w:szCs w:val="20"/>
        </w:rPr>
      </w:pPr>
      <w:r>
        <w:rPr>
          <w:szCs w:val="20"/>
        </w:rPr>
        <w:fldChar w:fldCharType="begin"/>
      </w:r>
      <w:r>
        <w:rPr>
          <w:szCs w:val="20"/>
        </w:rPr>
        <w:instrText xml:space="preserve"> REF _Ref157424731 \h </w:instrText>
      </w:r>
      <w:r>
        <w:rPr>
          <w:szCs w:val="20"/>
        </w:rPr>
      </w:r>
      <w:r>
        <w:rPr>
          <w:szCs w:val="20"/>
        </w:rPr>
        <w:fldChar w:fldCharType="separate"/>
      </w:r>
      <w:r w:rsidR="00DD3929" w:rsidRPr="00F12C9E">
        <w:t xml:space="preserve">Działanie </w:t>
      </w:r>
      <w:r w:rsidR="00DD3929">
        <w:rPr>
          <w:noProof/>
        </w:rPr>
        <w:t>33</w:t>
      </w:r>
      <w:r w:rsidR="00DD3929" w:rsidRPr="00F12C9E">
        <w:t xml:space="preserve">. Rozwój zeroemisyjnego transportu </w:t>
      </w:r>
      <w:r w:rsidR="00DD3929">
        <w:t xml:space="preserve">publicznego w </w:t>
      </w:r>
      <w:r w:rsidR="00DD3929" w:rsidRPr="00F12C9E">
        <w:t>mi</w:t>
      </w:r>
      <w:r w:rsidR="00DD3929">
        <w:t>astach</w:t>
      </w:r>
      <w:r w:rsidR="00DD3929" w:rsidRPr="00F12C9E">
        <w:t>.</w:t>
      </w:r>
      <w:r>
        <w:rPr>
          <w:szCs w:val="20"/>
        </w:rPr>
        <w:fldChar w:fldCharType="end"/>
      </w:r>
    </w:p>
    <w:p w14:paraId="28463B25" w14:textId="2131678B" w:rsidR="00D90430" w:rsidRDefault="00D90430" w:rsidP="003C445B">
      <w:pPr>
        <w:pStyle w:val="Akapitzlist"/>
        <w:numPr>
          <w:ilvl w:val="0"/>
          <w:numId w:val="6"/>
        </w:numPr>
        <w:rPr>
          <w:szCs w:val="20"/>
        </w:rPr>
      </w:pPr>
      <w:r>
        <w:rPr>
          <w:szCs w:val="20"/>
        </w:rPr>
        <w:fldChar w:fldCharType="begin"/>
      </w:r>
      <w:r>
        <w:rPr>
          <w:szCs w:val="20"/>
        </w:rPr>
        <w:instrText xml:space="preserve"> REF _Ref157424740 \h </w:instrText>
      </w:r>
      <w:r>
        <w:rPr>
          <w:szCs w:val="20"/>
        </w:rPr>
      </w:r>
      <w:r>
        <w:rPr>
          <w:szCs w:val="20"/>
        </w:rPr>
        <w:fldChar w:fldCharType="separate"/>
      </w:r>
      <w:r w:rsidR="00DD3929" w:rsidRPr="00F12C9E">
        <w:t xml:space="preserve">Działanie </w:t>
      </w:r>
      <w:r w:rsidR="00DD3929">
        <w:rPr>
          <w:noProof/>
        </w:rPr>
        <w:t>34</w:t>
      </w:r>
      <w:r w:rsidR="00DD3929" w:rsidRPr="00F12C9E">
        <w:t>. Utworzenie stref czystego transportu.</w:t>
      </w:r>
      <w:r>
        <w:rPr>
          <w:szCs w:val="20"/>
        </w:rPr>
        <w:fldChar w:fldCharType="end"/>
      </w:r>
    </w:p>
    <w:p w14:paraId="35AA4139" w14:textId="5CA9E698" w:rsidR="003C445B" w:rsidRPr="0092187F" w:rsidRDefault="003C445B" w:rsidP="0092187F">
      <w:pPr>
        <w:keepNext/>
        <w:spacing w:before="360" w:after="120"/>
        <w:rPr>
          <w:b/>
          <w:bCs/>
        </w:rPr>
      </w:pPr>
      <w:r w:rsidRPr="0092187F">
        <w:rPr>
          <w:b/>
          <w:bCs/>
        </w:rPr>
        <w:t>W zakresie dekarbonizacji transportu samochodowego</w:t>
      </w:r>
      <w:r w:rsidR="00BA4318" w:rsidRPr="0092187F">
        <w:rPr>
          <w:b/>
          <w:bCs/>
        </w:rPr>
        <w:t>:</w:t>
      </w:r>
    </w:p>
    <w:p w14:paraId="24E1C4D0" w14:textId="2D33DA64" w:rsidR="00454322" w:rsidRDefault="00454322" w:rsidP="003C445B">
      <w:pPr>
        <w:pStyle w:val="Akapitzlist"/>
        <w:numPr>
          <w:ilvl w:val="0"/>
          <w:numId w:val="6"/>
        </w:numPr>
        <w:rPr>
          <w:szCs w:val="20"/>
        </w:rPr>
      </w:pPr>
      <w:r>
        <w:rPr>
          <w:szCs w:val="20"/>
        </w:rPr>
        <w:fldChar w:fldCharType="begin"/>
      </w:r>
      <w:r>
        <w:rPr>
          <w:szCs w:val="20"/>
        </w:rPr>
        <w:instrText xml:space="preserve"> REF _Ref157424651 \h </w:instrText>
      </w:r>
      <w:r>
        <w:rPr>
          <w:szCs w:val="20"/>
        </w:rPr>
      </w:r>
      <w:r>
        <w:rPr>
          <w:szCs w:val="20"/>
        </w:rPr>
        <w:fldChar w:fldCharType="separate"/>
      </w:r>
      <w:r w:rsidR="00DD3929" w:rsidRPr="00F12C9E">
        <w:t xml:space="preserve">Działanie </w:t>
      </w:r>
      <w:r w:rsidR="00DD3929">
        <w:rPr>
          <w:noProof/>
        </w:rPr>
        <w:t>29</w:t>
      </w:r>
      <w:r w:rsidR="00DD3929" w:rsidRPr="00F12C9E">
        <w:t>. Zwiększenie spójności dróg krajowych.</w:t>
      </w:r>
      <w:r>
        <w:rPr>
          <w:szCs w:val="20"/>
        </w:rPr>
        <w:fldChar w:fldCharType="end"/>
      </w:r>
    </w:p>
    <w:p w14:paraId="38929E18" w14:textId="4FB3D440" w:rsidR="000639DA" w:rsidRDefault="004E32C5" w:rsidP="003C445B">
      <w:pPr>
        <w:pStyle w:val="Akapitzlist"/>
        <w:numPr>
          <w:ilvl w:val="0"/>
          <w:numId w:val="6"/>
        </w:numPr>
        <w:rPr>
          <w:szCs w:val="20"/>
        </w:rPr>
      </w:pPr>
      <w:r>
        <w:rPr>
          <w:szCs w:val="20"/>
        </w:rPr>
        <w:fldChar w:fldCharType="begin"/>
      </w:r>
      <w:r>
        <w:rPr>
          <w:szCs w:val="20"/>
        </w:rPr>
        <w:instrText xml:space="preserve"> REF _Ref157424674 \h </w:instrText>
      </w:r>
      <w:r>
        <w:rPr>
          <w:szCs w:val="20"/>
        </w:rPr>
      </w:r>
      <w:r>
        <w:rPr>
          <w:szCs w:val="20"/>
        </w:rPr>
        <w:fldChar w:fldCharType="separate"/>
      </w:r>
      <w:r w:rsidR="00DD3929" w:rsidRPr="00F12C9E">
        <w:t xml:space="preserve">Działanie </w:t>
      </w:r>
      <w:r w:rsidR="00DD3929">
        <w:rPr>
          <w:noProof/>
        </w:rPr>
        <w:t>30</w:t>
      </w:r>
      <w:r w:rsidR="00DD3929" w:rsidRPr="00F12C9E">
        <w:t>. Instrument finansowy – Fundusz rozwoju przewozów autobusowych o</w:t>
      </w:r>
      <w:r w:rsidR="00DD3929">
        <w:t> </w:t>
      </w:r>
      <w:r w:rsidR="00DD3929" w:rsidRPr="00F12C9E">
        <w:t>charakterze użyteczności publicznej.</w:t>
      </w:r>
      <w:r>
        <w:rPr>
          <w:szCs w:val="20"/>
        </w:rPr>
        <w:fldChar w:fldCharType="end"/>
      </w:r>
    </w:p>
    <w:p w14:paraId="5F94F063" w14:textId="420E3C8E" w:rsidR="003C445B" w:rsidRPr="0092187F" w:rsidRDefault="003C445B" w:rsidP="0092187F">
      <w:pPr>
        <w:keepNext/>
        <w:spacing w:before="360" w:after="120"/>
        <w:rPr>
          <w:b/>
          <w:bCs/>
        </w:rPr>
      </w:pPr>
      <w:r w:rsidRPr="0092187F">
        <w:rPr>
          <w:b/>
          <w:bCs/>
        </w:rPr>
        <w:t>W zakresie dekarbonizacji transportu kolejowego</w:t>
      </w:r>
      <w:r w:rsidR="00BA4318" w:rsidRPr="0092187F">
        <w:rPr>
          <w:b/>
          <w:bCs/>
        </w:rPr>
        <w:t>:</w:t>
      </w:r>
    </w:p>
    <w:p w14:paraId="0C9C3930" w14:textId="3F41AA1A" w:rsidR="002E04BF" w:rsidRDefault="002E04BF" w:rsidP="003C445B">
      <w:pPr>
        <w:pStyle w:val="Akapitzlist"/>
        <w:numPr>
          <w:ilvl w:val="0"/>
          <w:numId w:val="6"/>
        </w:numPr>
        <w:rPr>
          <w:szCs w:val="20"/>
        </w:rPr>
      </w:pPr>
      <w:r>
        <w:rPr>
          <w:szCs w:val="20"/>
        </w:rPr>
        <w:fldChar w:fldCharType="begin"/>
      </w:r>
      <w:r>
        <w:rPr>
          <w:szCs w:val="20"/>
        </w:rPr>
        <w:instrText xml:space="preserve"> REF _Ref157425060 \h </w:instrText>
      </w:r>
      <w:r>
        <w:rPr>
          <w:szCs w:val="20"/>
        </w:rPr>
      </w:r>
      <w:r>
        <w:rPr>
          <w:szCs w:val="20"/>
        </w:rPr>
        <w:fldChar w:fldCharType="separate"/>
      </w:r>
      <w:r w:rsidR="00DD3929" w:rsidRPr="00F12C9E">
        <w:t xml:space="preserve">Działanie </w:t>
      </w:r>
      <w:r w:rsidR="00DD3929">
        <w:rPr>
          <w:noProof/>
        </w:rPr>
        <w:t>44</w:t>
      </w:r>
      <w:r w:rsidR="00DD3929" w:rsidRPr="00F12C9E">
        <w:t>. Modernizacja infrastruktury kolejowej</w:t>
      </w:r>
      <w:r w:rsidR="00DD3929">
        <w:t xml:space="preserve"> oraz rozbudowa lokalnej i regionalnej </w:t>
      </w:r>
      <w:r w:rsidR="00DD3929" w:rsidRPr="00F12C9E">
        <w:t>infrastruktury kolejowej.</w:t>
      </w:r>
      <w:r>
        <w:rPr>
          <w:szCs w:val="20"/>
        </w:rPr>
        <w:fldChar w:fldCharType="end"/>
      </w:r>
    </w:p>
    <w:p w14:paraId="5D9355B9" w14:textId="5757214E" w:rsidR="002E04BF" w:rsidRDefault="002E04BF" w:rsidP="003C445B">
      <w:pPr>
        <w:pStyle w:val="Akapitzlist"/>
        <w:numPr>
          <w:ilvl w:val="0"/>
          <w:numId w:val="6"/>
        </w:numPr>
        <w:rPr>
          <w:szCs w:val="20"/>
        </w:rPr>
      </w:pPr>
      <w:r>
        <w:rPr>
          <w:szCs w:val="20"/>
        </w:rPr>
        <w:fldChar w:fldCharType="begin"/>
      </w:r>
      <w:r>
        <w:rPr>
          <w:szCs w:val="20"/>
        </w:rPr>
        <w:instrText xml:space="preserve"> REF _Ref157425072 \h </w:instrText>
      </w:r>
      <w:r>
        <w:rPr>
          <w:szCs w:val="20"/>
        </w:rPr>
      </w:r>
      <w:r>
        <w:rPr>
          <w:szCs w:val="20"/>
        </w:rPr>
        <w:fldChar w:fldCharType="separate"/>
      </w:r>
      <w:r w:rsidR="00DD3929" w:rsidRPr="00F12C9E">
        <w:t xml:space="preserve">Działanie </w:t>
      </w:r>
      <w:r w:rsidR="00DD3929">
        <w:rPr>
          <w:noProof/>
        </w:rPr>
        <w:t>45</w:t>
      </w:r>
      <w:r w:rsidR="00DD3929" w:rsidRPr="00F12C9E">
        <w:t>. Integracja transportu kolejowego z pozostałymi gałęziami transportu.</w:t>
      </w:r>
      <w:r>
        <w:rPr>
          <w:szCs w:val="20"/>
        </w:rPr>
        <w:fldChar w:fldCharType="end"/>
      </w:r>
    </w:p>
    <w:p w14:paraId="4C1A859E" w14:textId="4AC2B508" w:rsidR="002E04BF" w:rsidRDefault="002E04BF" w:rsidP="003C445B">
      <w:pPr>
        <w:pStyle w:val="Akapitzlist"/>
        <w:numPr>
          <w:ilvl w:val="0"/>
          <w:numId w:val="6"/>
        </w:numPr>
        <w:rPr>
          <w:szCs w:val="20"/>
        </w:rPr>
      </w:pPr>
      <w:r>
        <w:rPr>
          <w:szCs w:val="20"/>
        </w:rPr>
        <w:fldChar w:fldCharType="begin"/>
      </w:r>
      <w:r>
        <w:rPr>
          <w:szCs w:val="20"/>
        </w:rPr>
        <w:instrText xml:space="preserve"> REF _Ref159237120 \h </w:instrText>
      </w:r>
      <w:r>
        <w:rPr>
          <w:szCs w:val="20"/>
        </w:rPr>
      </w:r>
      <w:r>
        <w:rPr>
          <w:szCs w:val="20"/>
        </w:rPr>
        <w:fldChar w:fldCharType="separate"/>
      </w:r>
      <w:r w:rsidR="00DD3929" w:rsidRPr="00BA3E0C">
        <w:t xml:space="preserve">Działanie </w:t>
      </w:r>
      <w:r w:rsidR="00DD3929">
        <w:rPr>
          <w:noProof/>
        </w:rPr>
        <w:t>82</w:t>
      </w:r>
      <w:r w:rsidR="00DD3929" w:rsidRPr="00BA3E0C">
        <w:t>.</w:t>
      </w:r>
      <w:r w:rsidR="00DD3929">
        <w:t xml:space="preserve"> </w:t>
      </w:r>
      <w:r w:rsidR="00DD3929" w:rsidRPr="00CE5AEF">
        <w:t>Wsparcie</w:t>
      </w:r>
      <w:r w:rsidR="00DD3929">
        <w:t xml:space="preserve"> b</w:t>
      </w:r>
      <w:r w:rsidR="00DD3929" w:rsidRPr="00B039E7">
        <w:t>udow</w:t>
      </w:r>
      <w:r w:rsidR="00DD3929">
        <w:t>y</w:t>
      </w:r>
      <w:r w:rsidR="00DD3929" w:rsidRPr="00B039E7">
        <w:t xml:space="preserve"> innowacyjnych jednostek transportowych napędzanych wodorem</w:t>
      </w:r>
      <w:r w:rsidR="00DD3929">
        <w:t>.</w:t>
      </w:r>
      <w:r>
        <w:rPr>
          <w:szCs w:val="20"/>
        </w:rPr>
        <w:fldChar w:fldCharType="end"/>
      </w:r>
    </w:p>
    <w:p w14:paraId="6FD6E725" w14:textId="3EB66CF2" w:rsidR="003C445B" w:rsidRPr="0092187F" w:rsidRDefault="003C445B" w:rsidP="0092187F">
      <w:pPr>
        <w:keepNext/>
        <w:spacing w:before="360" w:after="120"/>
        <w:rPr>
          <w:b/>
          <w:bCs/>
        </w:rPr>
      </w:pPr>
      <w:r w:rsidRPr="0092187F">
        <w:rPr>
          <w:b/>
          <w:bCs/>
        </w:rPr>
        <w:t>W zakresie dekarbonizacji żeglugi śródlądowej</w:t>
      </w:r>
      <w:r w:rsidR="00BA4318" w:rsidRPr="0092187F">
        <w:rPr>
          <w:b/>
          <w:bCs/>
        </w:rPr>
        <w:t>:</w:t>
      </w:r>
    </w:p>
    <w:p w14:paraId="43DD4747" w14:textId="2122D401" w:rsidR="00C41F0D" w:rsidRDefault="00C41F0D" w:rsidP="00520D25">
      <w:pPr>
        <w:pStyle w:val="Akapitzlist"/>
        <w:numPr>
          <w:ilvl w:val="0"/>
          <w:numId w:val="6"/>
        </w:numPr>
        <w:rPr>
          <w:szCs w:val="20"/>
        </w:rPr>
      </w:pPr>
      <w:r>
        <w:rPr>
          <w:szCs w:val="20"/>
        </w:rPr>
        <w:fldChar w:fldCharType="begin"/>
      </w:r>
      <w:r>
        <w:rPr>
          <w:szCs w:val="20"/>
        </w:rPr>
        <w:instrText xml:space="preserve"> REF _Ref157425165 \h </w:instrText>
      </w:r>
      <w:r>
        <w:rPr>
          <w:szCs w:val="20"/>
        </w:rPr>
      </w:r>
      <w:r>
        <w:rPr>
          <w:szCs w:val="20"/>
        </w:rPr>
        <w:fldChar w:fldCharType="separate"/>
      </w:r>
      <w:r w:rsidR="00DD3929" w:rsidRPr="00F12C9E">
        <w:t xml:space="preserve">Działanie </w:t>
      </w:r>
      <w:r w:rsidR="00DD3929">
        <w:rPr>
          <w:noProof/>
        </w:rPr>
        <w:t>48</w:t>
      </w:r>
      <w:r w:rsidR="00DD3929" w:rsidRPr="00F12C9E">
        <w:t>. Rozwój śródlądowych dróg wodnych o znaczeniu transportowym.</w:t>
      </w:r>
      <w:r>
        <w:rPr>
          <w:szCs w:val="20"/>
        </w:rPr>
        <w:fldChar w:fldCharType="end"/>
      </w:r>
    </w:p>
    <w:p w14:paraId="73AC3FB6" w14:textId="04C8DE36" w:rsidR="00C41F0D" w:rsidRDefault="00C41F0D" w:rsidP="00520D25">
      <w:pPr>
        <w:pStyle w:val="Akapitzlist"/>
        <w:numPr>
          <w:ilvl w:val="0"/>
          <w:numId w:val="6"/>
        </w:numPr>
        <w:rPr>
          <w:szCs w:val="20"/>
        </w:rPr>
      </w:pPr>
      <w:r>
        <w:rPr>
          <w:szCs w:val="20"/>
        </w:rPr>
        <w:fldChar w:fldCharType="begin"/>
      </w:r>
      <w:r>
        <w:rPr>
          <w:szCs w:val="20"/>
        </w:rPr>
        <w:instrText xml:space="preserve"> REF _Ref157425172 \h </w:instrText>
      </w:r>
      <w:r>
        <w:rPr>
          <w:szCs w:val="20"/>
        </w:rPr>
      </w:r>
      <w:r>
        <w:rPr>
          <w:szCs w:val="20"/>
        </w:rPr>
        <w:fldChar w:fldCharType="separate"/>
      </w:r>
      <w:r w:rsidR="00DD3929" w:rsidRPr="00F12C9E">
        <w:t xml:space="preserve">Działanie </w:t>
      </w:r>
      <w:r w:rsidR="00DD3929">
        <w:rPr>
          <w:noProof/>
        </w:rPr>
        <w:t>49</w:t>
      </w:r>
      <w:r w:rsidR="00DD3929" w:rsidRPr="00F12C9E">
        <w:t xml:space="preserve">. </w:t>
      </w:r>
      <w:r w:rsidR="00DD3929">
        <w:t>W</w:t>
      </w:r>
      <w:r w:rsidR="00DD3929" w:rsidRPr="00F12C9E">
        <w:t>drażanie wymagań dla silników spalinowych stosowanych w żegludze śródlądowej.</w:t>
      </w:r>
      <w:r>
        <w:rPr>
          <w:szCs w:val="20"/>
        </w:rPr>
        <w:fldChar w:fldCharType="end"/>
      </w:r>
    </w:p>
    <w:p w14:paraId="6D32E66F" w14:textId="3358C6CB" w:rsidR="00520D25" w:rsidRPr="0092187F" w:rsidRDefault="00520D25" w:rsidP="0092187F">
      <w:pPr>
        <w:keepNext/>
        <w:spacing w:before="360" w:after="120"/>
        <w:rPr>
          <w:b/>
          <w:bCs/>
        </w:rPr>
      </w:pPr>
      <w:r w:rsidRPr="0092187F">
        <w:rPr>
          <w:b/>
          <w:bCs/>
        </w:rPr>
        <w:t>W zakresie dekarbonizacji żeglugi morskiej</w:t>
      </w:r>
      <w:r w:rsidR="00BA4318" w:rsidRPr="0092187F">
        <w:rPr>
          <w:b/>
          <w:bCs/>
        </w:rPr>
        <w:t>:</w:t>
      </w:r>
    </w:p>
    <w:p w14:paraId="6A6CE2DE" w14:textId="5EF47313" w:rsidR="006F3302" w:rsidRDefault="006F3302" w:rsidP="003C445B">
      <w:pPr>
        <w:pStyle w:val="Akapitzlist"/>
        <w:numPr>
          <w:ilvl w:val="0"/>
          <w:numId w:val="6"/>
        </w:numPr>
        <w:rPr>
          <w:szCs w:val="20"/>
        </w:rPr>
      </w:pPr>
      <w:r>
        <w:rPr>
          <w:szCs w:val="20"/>
        </w:rPr>
        <w:fldChar w:fldCharType="begin"/>
      </w:r>
      <w:r>
        <w:rPr>
          <w:szCs w:val="20"/>
        </w:rPr>
        <w:instrText xml:space="preserve"> REF _Ref157425147 \h </w:instrText>
      </w:r>
      <w:r>
        <w:rPr>
          <w:szCs w:val="20"/>
        </w:rPr>
      </w:r>
      <w:r>
        <w:rPr>
          <w:szCs w:val="20"/>
        </w:rPr>
        <w:fldChar w:fldCharType="separate"/>
      </w:r>
      <w:r w:rsidR="00DD3929" w:rsidRPr="00F12C9E">
        <w:t xml:space="preserve">Działanie </w:t>
      </w:r>
      <w:r w:rsidR="00DD3929">
        <w:rPr>
          <w:noProof/>
        </w:rPr>
        <w:t>46</w:t>
      </w:r>
      <w:r w:rsidR="00DD3929" w:rsidRPr="00F12C9E">
        <w:t xml:space="preserve">. </w:t>
      </w:r>
      <w:r w:rsidR="00DD3929">
        <w:t>Zapewnienie dostępności paliw alternatywnych w portach morskich</w:t>
      </w:r>
      <w:r w:rsidR="00DD3929" w:rsidRPr="00F12C9E">
        <w:t>.</w:t>
      </w:r>
      <w:r>
        <w:rPr>
          <w:szCs w:val="20"/>
        </w:rPr>
        <w:fldChar w:fldCharType="end"/>
      </w:r>
    </w:p>
    <w:p w14:paraId="31A3EA4D" w14:textId="3DBEF562" w:rsidR="006F3302" w:rsidRDefault="006F3302" w:rsidP="003C445B">
      <w:pPr>
        <w:pStyle w:val="Akapitzlist"/>
        <w:numPr>
          <w:ilvl w:val="0"/>
          <w:numId w:val="6"/>
        </w:numPr>
        <w:rPr>
          <w:szCs w:val="20"/>
        </w:rPr>
      </w:pPr>
      <w:r>
        <w:rPr>
          <w:szCs w:val="20"/>
        </w:rPr>
        <w:fldChar w:fldCharType="begin"/>
      </w:r>
      <w:r>
        <w:rPr>
          <w:szCs w:val="20"/>
        </w:rPr>
        <w:instrText xml:space="preserve"> REF _Ref157425152 \h </w:instrText>
      </w:r>
      <w:r>
        <w:rPr>
          <w:szCs w:val="20"/>
        </w:rPr>
      </w:r>
      <w:r>
        <w:rPr>
          <w:szCs w:val="20"/>
        </w:rPr>
        <w:fldChar w:fldCharType="separate"/>
      </w:r>
      <w:r w:rsidR="00DD3929" w:rsidRPr="00F12C9E">
        <w:t xml:space="preserve">Działanie </w:t>
      </w:r>
      <w:r w:rsidR="00DD3929">
        <w:rPr>
          <w:noProof/>
        </w:rPr>
        <w:t>47</w:t>
      </w:r>
      <w:r w:rsidR="00DD3929" w:rsidRPr="00F12C9E">
        <w:t>. Wdrażanie innowacyjnych technologii w zarządzaniu ruchem statków</w:t>
      </w:r>
      <w:r w:rsidR="00DD3929" w:rsidRPr="00BA3E0C">
        <w:rPr>
          <w:szCs w:val="24"/>
        </w:rPr>
        <w:t xml:space="preserve"> </w:t>
      </w:r>
      <w:r w:rsidR="00DD3929" w:rsidRPr="00F12C9E">
        <w:t>morskich.</w:t>
      </w:r>
      <w:r>
        <w:rPr>
          <w:szCs w:val="20"/>
        </w:rPr>
        <w:fldChar w:fldCharType="end"/>
      </w:r>
    </w:p>
    <w:p w14:paraId="1D350F12" w14:textId="150D4827" w:rsidR="003C445B" w:rsidRPr="0092187F" w:rsidRDefault="003C445B" w:rsidP="00845A87">
      <w:pPr>
        <w:keepNext/>
        <w:spacing w:before="480" w:after="120"/>
        <w:rPr>
          <w:b/>
          <w:bCs/>
        </w:rPr>
      </w:pPr>
      <w:r w:rsidRPr="0092187F">
        <w:rPr>
          <w:b/>
          <w:bCs/>
        </w:rPr>
        <w:t>W zakresie dekarbonizacji lotnictwa</w:t>
      </w:r>
      <w:r w:rsidR="00BA4318" w:rsidRPr="0092187F">
        <w:rPr>
          <w:b/>
          <w:bCs/>
        </w:rPr>
        <w:t>:</w:t>
      </w:r>
    </w:p>
    <w:p w14:paraId="18B64ECE" w14:textId="4BB02771" w:rsidR="006F3302" w:rsidRDefault="006F3302" w:rsidP="008340D5">
      <w:pPr>
        <w:pStyle w:val="Akapitzlist"/>
        <w:numPr>
          <w:ilvl w:val="0"/>
          <w:numId w:val="6"/>
        </w:numPr>
        <w:rPr>
          <w:szCs w:val="20"/>
        </w:rPr>
      </w:pPr>
      <w:r>
        <w:rPr>
          <w:szCs w:val="20"/>
        </w:rPr>
        <w:fldChar w:fldCharType="begin"/>
      </w:r>
      <w:r>
        <w:rPr>
          <w:szCs w:val="20"/>
        </w:rPr>
        <w:instrText xml:space="preserve"> REF _Ref157425184 \h </w:instrText>
      </w:r>
      <w:r>
        <w:rPr>
          <w:szCs w:val="20"/>
        </w:rPr>
      </w:r>
      <w:r>
        <w:rPr>
          <w:szCs w:val="20"/>
        </w:rPr>
        <w:fldChar w:fldCharType="separate"/>
      </w:r>
      <w:r w:rsidR="00DD3929" w:rsidRPr="00F12C9E">
        <w:t xml:space="preserve">Działanie </w:t>
      </w:r>
      <w:r w:rsidR="00DD3929">
        <w:rPr>
          <w:noProof/>
        </w:rPr>
        <w:t>50</w:t>
      </w:r>
      <w:r w:rsidR="00DD3929" w:rsidRPr="00F12C9E">
        <w:t>. Poprawa infrastruktury portów lotniczych.</w:t>
      </w:r>
      <w:r>
        <w:rPr>
          <w:szCs w:val="20"/>
        </w:rPr>
        <w:fldChar w:fldCharType="end"/>
      </w:r>
    </w:p>
    <w:p w14:paraId="14454596" w14:textId="3E37C8A0" w:rsidR="006F3302" w:rsidRDefault="006F3302" w:rsidP="008340D5">
      <w:pPr>
        <w:pStyle w:val="Akapitzlist"/>
        <w:numPr>
          <w:ilvl w:val="0"/>
          <w:numId w:val="6"/>
        </w:numPr>
        <w:rPr>
          <w:szCs w:val="20"/>
        </w:rPr>
      </w:pPr>
      <w:r>
        <w:rPr>
          <w:szCs w:val="20"/>
        </w:rPr>
        <w:fldChar w:fldCharType="begin"/>
      </w:r>
      <w:r>
        <w:rPr>
          <w:szCs w:val="20"/>
        </w:rPr>
        <w:instrText xml:space="preserve"> REF _Ref157425188 \h </w:instrText>
      </w:r>
      <w:r>
        <w:rPr>
          <w:szCs w:val="20"/>
        </w:rPr>
      </w:r>
      <w:r>
        <w:rPr>
          <w:szCs w:val="20"/>
        </w:rPr>
        <w:fldChar w:fldCharType="separate"/>
      </w:r>
      <w:r w:rsidR="00DD3929" w:rsidRPr="00F12C9E">
        <w:t xml:space="preserve">Działanie </w:t>
      </w:r>
      <w:r w:rsidR="00DD3929">
        <w:rPr>
          <w:noProof/>
        </w:rPr>
        <w:t>51</w:t>
      </w:r>
      <w:r w:rsidR="00DD3929" w:rsidRPr="00F12C9E">
        <w:t>. Wdrożenie innowacyjnych rozwiązań w ruchu lotniczym.</w:t>
      </w:r>
      <w:r>
        <w:rPr>
          <w:szCs w:val="20"/>
        </w:rPr>
        <w:fldChar w:fldCharType="end"/>
      </w:r>
    </w:p>
    <w:p w14:paraId="6EE27C2E" w14:textId="5D9D4BCD" w:rsidR="006F3302" w:rsidRDefault="006F3302" w:rsidP="008340D5">
      <w:pPr>
        <w:pStyle w:val="Akapitzlist"/>
        <w:numPr>
          <w:ilvl w:val="0"/>
          <w:numId w:val="6"/>
        </w:numPr>
        <w:rPr>
          <w:szCs w:val="20"/>
        </w:rPr>
      </w:pPr>
      <w:r>
        <w:rPr>
          <w:szCs w:val="20"/>
        </w:rPr>
        <w:fldChar w:fldCharType="begin"/>
      </w:r>
      <w:r>
        <w:rPr>
          <w:szCs w:val="20"/>
        </w:rPr>
        <w:instrText xml:space="preserve"> REF _Ref157425194 \h </w:instrText>
      </w:r>
      <w:r>
        <w:rPr>
          <w:szCs w:val="20"/>
        </w:rPr>
      </w:r>
      <w:r>
        <w:rPr>
          <w:szCs w:val="20"/>
        </w:rPr>
        <w:fldChar w:fldCharType="separate"/>
      </w:r>
      <w:r w:rsidR="00DD3929" w:rsidRPr="00F12C9E">
        <w:t xml:space="preserve">Działanie </w:t>
      </w:r>
      <w:r w:rsidR="00DD3929">
        <w:rPr>
          <w:noProof/>
        </w:rPr>
        <w:t>52</w:t>
      </w:r>
      <w:r w:rsidR="00DD3929" w:rsidRPr="00F12C9E">
        <w:t>. Uczestnictwo w systemie offsetu lotnictwa międzynarodowego (CORSIA).</w:t>
      </w:r>
      <w:r>
        <w:rPr>
          <w:szCs w:val="20"/>
        </w:rPr>
        <w:fldChar w:fldCharType="end"/>
      </w:r>
    </w:p>
    <w:p w14:paraId="5F4352AB" w14:textId="08CE377C" w:rsidR="009B599C" w:rsidRDefault="006F3302" w:rsidP="009B599C">
      <w:pPr>
        <w:pStyle w:val="Akapitzlist"/>
        <w:numPr>
          <w:ilvl w:val="0"/>
          <w:numId w:val="6"/>
        </w:numPr>
        <w:rPr>
          <w:szCs w:val="20"/>
        </w:rPr>
      </w:pPr>
      <w:r>
        <w:rPr>
          <w:szCs w:val="20"/>
        </w:rPr>
        <w:fldChar w:fldCharType="begin"/>
      </w:r>
      <w:r>
        <w:rPr>
          <w:szCs w:val="20"/>
        </w:rPr>
        <w:instrText xml:space="preserve"> REF _Ref157425202 \h </w:instrText>
      </w:r>
      <w:r>
        <w:rPr>
          <w:szCs w:val="20"/>
        </w:rPr>
      </w:r>
      <w:r>
        <w:rPr>
          <w:szCs w:val="20"/>
        </w:rPr>
        <w:fldChar w:fldCharType="separate"/>
      </w:r>
      <w:r w:rsidR="00DD3929" w:rsidRPr="00F12C9E">
        <w:t xml:space="preserve">Działanie </w:t>
      </w:r>
      <w:r w:rsidR="00DD3929">
        <w:rPr>
          <w:noProof/>
        </w:rPr>
        <w:t>53</w:t>
      </w:r>
      <w:r w:rsidR="00DD3929" w:rsidRPr="00F12C9E">
        <w:t>. Poprawa efektywności operacyjnej transportu lotniczego.</w:t>
      </w:r>
      <w:r>
        <w:rPr>
          <w:szCs w:val="20"/>
        </w:rPr>
        <w:fldChar w:fldCharType="end"/>
      </w:r>
    </w:p>
    <w:p w14:paraId="70BD16B8" w14:textId="632867D2" w:rsidR="004E000C" w:rsidRPr="00C06AA6" w:rsidRDefault="001039C9" w:rsidP="00C06AA6">
      <w:pPr>
        <w:pStyle w:val="Nagwek4"/>
        <w:rPr>
          <w:color w:val="70AD47" w:themeColor="accent6"/>
        </w:rPr>
      </w:pPr>
      <w:bookmarkStart w:id="58" w:name="_Toc175494519"/>
      <w:bookmarkStart w:id="59" w:name="_Toc175518126"/>
      <w:bookmarkStart w:id="60" w:name="_Ref159313182"/>
      <w:bookmarkStart w:id="61" w:name="_Toc159598292"/>
      <w:bookmarkStart w:id="62" w:name="_Toc179536940"/>
      <w:bookmarkStart w:id="63" w:name="_Hlk173431820"/>
      <w:bookmarkEnd w:id="58"/>
      <w:bookmarkEnd w:id="59"/>
      <w:r>
        <w:rPr>
          <w:color w:val="70AD47" w:themeColor="accent6"/>
        </w:rPr>
        <w:lastRenderedPageBreak/>
        <w:t>R</w:t>
      </w:r>
      <w:r w:rsidR="00270892">
        <w:rPr>
          <w:color w:val="70AD47" w:themeColor="accent6"/>
        </w:rPr>
        <w:t>edukcj</w:t>
      </w:r>
      <w:r>
        <w:rPr>
          <w:color w:val="70AD47" w:themeColor="accent6"/>
        </w:rPr>
        <w:t>a</w:t>
      </w:r>
      <w:r w:rsidR="00270892">
        <w:rPr>
          <w:color w:val="70AD47" w:themeColor="accent6"/>
        </w:rPr>
        <w:t xml:space="preserve"> emisji GC w </w:t>
      </w:r>
      <w:r w:rsidR="004E000C" w:rsidRPr="00C06AA6">
        <w:rPr>
          <w:color w:val="70AD47" w:themeColor="accent6"/>
        </w:rPr>
        <w:t>przemy</w:t>
      </w:r>
      <w:r>
        <w:rPr>
          <w:color w:val="70AD47" w:themeColor="accent6"/>
        </w:rPr>
        <w:t>śle</w:t>
      </w:r>
      <w:bookmarkEnd w:id="60"/>
      <w:bookmarkEnd w:id="61"/>
      <w:bookmarkEnd w:id="62"/>
    </w:p>
    <w:p w14:paraId="79290A8F" w14:textId="5E05C4AB" w:rsidR="00780CE3" w:rsidRDefault="00093D74" w:rsidP="00093D74">
      <w:r w:rsidRPr="00B35066">
        <w:t>Przemysł odpowiada za</w:t>
      </w:r>
      <w:r w:rsidR="00780CE3">
        <w:t xml:space="preserve"> ok.</w:t>
      </w:r>
      <w:r w:rsidRPr="00B35066">
        <w:t xml:space="preserve"> </w:t>
      </w:r>
      <w:r>
        <w:t xml:space="preserve">¼ </w:t>
      </w:r>
      <w:r w:rsidRPr="00B35066">
        <w:t xml:space="preserve">zużycia energii </w:t>
      </w:r>
      <w:r w:rsidR="001451E9">
        <w:t xml:space="preserve">w </w:t>
      </w:r>
      <w:r w:rsidRPr="00B35066">
        <w:t>U</w:t>
      </w:r>
      <w:r>
        <w:t>E, dlatego obok budynków został objęty szczególną uwagą w</w:t>
      </w:r>
      <w:r w:rsidR="00C10860">
        <w:t> </w:t>
      </w:r>
      <w:r>
        <w:t xml:space="preserve">zakresie redukcji wpływu na środowisko. </w:t>
      </w:r>
      <w:r w:rsidR="0066590E">
        <w:t>Energochłonność procesów i koszty zużywanej energii wpływają w dużej mierze na konkurencyjność naszego kraju, dlatego zapewnienie odpowiedniej wydajności prowadzonej działalności ma ważne znaczenie gospodarcze. Coraz większe znaczenie zarówno dla krajowych, jak i zagranicznych inwestorów mają także aspekty środowiskowe</w:t>
      </w:r>
      <w:r w:rsidR="00476C70">
        <w:t>, co stanowi dodatkowy impuls do działań</w:t>
      </w:r>
      <w:r w:rsidR="0066590E">
        <w:t>.</w:t>
      </w:r>
      <w:r w:rsidR="00923D47">
        <w:t xml:space="preserve"> </w:t>
      </w:r>
    </w:p>
    <w:p w14:paraId="461ED743" w14:textId="6742654A" w:rsidR="00ED12EE" w:rsidRDefault="00952815" w:rsidP="00093D74">
      <w:r>
        <w:rPr>
          <w:i/>
          <w:iCs/>
        </w:rPr>
        <w:t>P</w:t>
      </w:r>
      <w:r w:rsidR="00ED12EE" w:rsidRPr="00ED12EE">
        <w:rPr>
          <w:i/>
          <w:iCs/>
        </w:rPr>
        <w:t>rzemysł</w:t>
      </w:r>
      <w:r w:rsidR="00ED12EE">
        <w:t xml:space="preserve"> </w:t>
      </w:r>
      <w:r>
        <w:t xml:space="preserve">obejmuje </w:t>
      </w:r>
      <w:r w:rsidR="00ED12EE">
        <w:t xml:space="preserve">różne podsektory, dlatego </w:t>
      </w:r>
      <w:r w:rsidR="00780CE3">
        <w:t>działania dekarbonizacyjn</w:t>
      </w:r>
      <w:r w:rsidR="009900B2">
        <w:t>e muszą być adekwatne do typów działalności</w:t>
      </w:r>
      <w:r w:rsidR="00ED12EE">
        <w:t xml:space="preserve">. </w:t>
      </w:r>
      <w:r w:rsidR="0066590E">
        <w:t xml:space="preserve">W </w:t>
      </w:r>
      <w:r w:rsidR="0099413F">
        <w:t>wi</w:t>
      </w:r>
      <w:r w:rsidR="00FE0033">
        <w:t>ększości</w:t>
      </w:r>
      <w:r w:rsidR="0099413F">
        <w:t xml:space="preserve"> przemysł</w:t>
      </w:r>
      <w:r w:rsidR="00FE0033">
        <w:t>ów</w:t>
      </w:r>
      <w:r w:rsidR="0099413F">
        <w:t xml:space="preserve"> ciężkich (</w:t>
      </w:r>
      <w:r w:rsidR="009900B2">
        <w:t>np</w:t>
      </w:r>
      <w:r w:rsidR="0099413F">
        <w:t xml:space="preserve">. cementowym, </w:t>
      </w:r>
      <w:r w:rsidR="009900B2">
        <w:t xml:space="preserve">aluminiowym, </w:t>
      </w:r>
      <w:r w:rsidR="00070D86">
        <w:t xml:space="preserve">chemicznym, </w:t>
      </w:r>
      <w:r w:rsidR="0099413F">
        <w:t>petrochemicznym</w:t>
      </w:r>
      <w:r w:rsidR="007068FA">
        <w:t xml:space="preserve">, </w:t>
      </w:r>
      <w:r w:rsidR="00070D86">
        <w:t>nawozowym</w:t>
      </w:r>
      <w:r w:rsidR="0099413F">
        <w:t>) występują także</w:t>
      </w:r>
      <w:r w:rsidR="0000074A">
        <w:t xml:space="preserve"> znaczące</w:t>
      </w:r>
      <w:r w:rsidR="0099413F">
        <w:t xml:space="preserve"> </w:t>
      </w:r>
      <w:r w:rsidR="0099413F" w:rsidRPr="0000074A">
        <w:rPr>
          <w:b/>
          <w:bCs/>
        </w:rPr>
        <w:t>emisje procesowe</w:t>
      </w:r>
      <w:r w:rsidR="007068FA">
        <w:rPr>
          <w:b/>
          <w:bCs/>
        </w:rPr>
        <w:t xml:space="preserve"> </w:t>
      </w:r>
      <w:r w:rsidR="007068FA" w:rsidRPr="007068FA">
        <w:t xml:space="preserve">(emisje z </w:t>
      </w:r>
      <w:r w:rsidR="00E60002">
        <w:t xml:space="preserve">przetwarzanych </w:t>
      </w:r>
      <w:r w:rsidR="007068FA" w:rsidRPr="007068FA">
        <w:t>surowców)</w:t>
      </w:r>
      <w:r w:rsidR="0099413F">
        <w:t xml:space="preserve">, których uniknięcie jest znacznie </w:t>
      </w:r>
      <w:r w:rsidR="00FE0033">
        <w:t xml:space="preserve">trudniejsze niż </w:t>
      </w:r>
      <w:r w:rsidR="00E60002">
        <w:t xml:space="preserve">ograniczenie emisji </w:t>
      </w:r>
      <w:r w:rsidR="00FE0033">
        <w:t>pochodzących z produkcji energii na potrzeby procesów</w:t>
      </w:r>
      <w:r w:rsidR="009900B2">
        <w:rPr>
          <w:rStyle w:val="Odwoanieprzypisudolnego"/>
        </w:rPr>
        <w:footnoteReference w:id="31"/>
      </w:r>
      <w:r w:rsidR="00FE0033">
        <w:t>.</w:t>
      </w:r>
    </w:p>
    <w:p w14:paraId="40D0844F" w14:textId="03446E06" w:rsidR="003E2139" w:rsidRDefault="003E2139" w:rsidP="003E2139">
      <w:r>
        <w:t>Przemysł energochłonny objęty jest system</w:t>
      </w:r>
      <w:r w:rsidR="00F523F2">
        <w:t>em</w:t>
      </w:r>
      <w:r>
        <w:t xml:space="preserve"> EU ETS, </w:t>
      </w:r>
      <w:r w:rsidR="00E311A2">
        <w:t xml:space="preserve">a ideą ponoszenia kosztów uprawnień do emisji miało być motywowanie </w:t>
      </w:r>
      <w:r>
        <w:t xml:space="preserve">do działań proefektywnościowych i ograniczających zużycie paliw kopalnych lub umożliwiających </w:t>
      </w:r>
      <w:r w:rsidRPr="00923D47">
        <w:rPr>
          <w:b/>
          <w:bCs/>
        </w:rPr>
        <w:t>ich zastępowanie przez nowoczesne nisko- i zeroemisyjne technologie</w:t>
      </w:r>
      <w:r>
        <w:t>. Zmiany są jednak kosztowne i </w:t>
      </w:r>
      <w:r w:rsidR="00886194">
        <w:t>czasochłonne, a</w:t>
      </w:r>
      <w:r w:rsidR="001B1984">
        <w:t> </w:t>
      </w:r>
      <w:r>
        <w:t>w</w:t>
      </w:r>
      <w:r w:rsidR="00886194">
        <w:t> </w:t>
      </w:r>
      <w:r>
        <w:t xml:space="preserve">wielu przypadkach ograniczone technologicznie. </w:t>
      </w:r>
      <w:r w:rsidR="00E311A2">
        <w:t xml:space="preserve">Dlatego </w:t>
      </w:r>
      <w:r w:rsidR="00FA697F">
        <w:t xml:space="preserve">przemysł energochłonny </w:t>
      </w:r>
      <w:r w:rsidR="00E311A2">
        <w:t xml:space="preserve">pokrywa część emisji gazów cieplarnianych </w:t>
      </w:r>
      <w:r w:rsidR="00FA697F">
        <w:t>darmowy</w:t>
      </w:r>
      <w:r w:rsidR="00E311A2">
        <w:t>mi</w:t>
      </w:r>
      <w:r w:rsidR="00FA697F">
        <w:t xml:space="preserve"> uprawnie</w:t>
      </w:r>
      <w:r w:rsidR="00E311A2">
        <w:t>niami</w:t>
      </w:r>
      <w:r w:rsidR="00FA697F">
        <w:t xml:space="preserve">, </w:t>
      </w:r>
      <w:r w:rsidR="000C0215">
        <w:t xml:space="preserve">lecz </w:t>
      </w:r>
      <w:r w:rsidR="000C0215" w:rsidRPr="00F022DF">
        <w:rPr>
          <w:b/>
          <w:bCs/>
        </w:rPr>
        <w:t>po 2030 r. nastąpi istotny spadek dostępnej liczby bezpłatnych uprawnień</w:t>
      </w:r>
      <w:r w:rsidR="000C0215">
        <w:t>, a pełne wycofanie przewidziano do 2034 r.</w:t>
      </w:r>
      <w:r w:rsidR="000C0215">
        <w:rPr>
          <w:rStyle w:val="Odwoanieprzypisudolnego"/>
        </w:rPr>
        <w:footnoteReference w:id="32"/>
      </w:r>
      <w:r w:rsidR="000C0215">
        <w:rPr>
          <w:rStyle w:val="Odwoaniedokomentarza"/>
        </w:rPr>
        <w:t xml:space="preserve"> </w:t>
      </w:r>
      <w:r w:rsidR="000C0215">
        <w:t xml:space="preserve"> Choć system EU ETS to silny motywator dekarbonizacji, w</w:t>
      </w:r>
      <w:r w:rsidR="000C0215" w:rsidRPr="00E311A2">
        <w:t xml:space="preserve"> części przypadków koszty</w:t>
      </w:r>
      <w:r w:rsidR="000C0215">
        <w:t xml:space="preserve"> EUA</w:t>
      </w:r>
      <w:r w:rsidR="000C0215" w:rsidRPr="00E311A2">
        <w:t xml:space="preserve"> utrudniają nowe inwestycje poprzez zmniejszenie zasobów finansowych przedsiębiorstw</w:t>
      </w:r>
      <w:r w:rsidR="000C0215">
        <w:t>, dlatego</w:t>
      </w:r>
      <w:r w:rsidR="000C0215" w:rsidRPr="00E311A2">
        <w:t xml:space="preserve"> </w:t>
      </w:r>
      <w:r w:rsidR="000C0215">
        <w:t>może okazać się zbyt dużym obciążeniem dla wielu przedsiębiorstw, mimo wdrożenia tzw. podatku granicznego (CBAM</w:t>
      </w:r>
      <w:r w:rsidR="000C0215">
        <w:rPr>
          <w:rStyle w:val="Odwoanieprzypisudolnego"/>
        </w:rPr>
        <w:footnoteReference w:id="33"/>
      </w:r>
      <w:r w:rsidR="000C0215">
        <w:t>)</w:t>
      </w:r>
      <w:r w:rsidR="00FA697F">
        <w:t>.</w:t>
      </w:r>
      <w:r w:rsidR="00DC0731">
        <w:t xml:space="preserve"> </w:t>
      </w:r>
    </w:p>
    <w:p w14:paraId="3C2AC5DA" w14:textId="59ACADEB" w:rsidR="00FA697F" w:rsidRDefault="003E2139" w:rsidP="00093D74">
      <w:r>
        <w:t xml:space="preserve">Pozostała część działalności przemysłowej przyczynia się do realizacji wspólnego celu redukcyjnego (sektor non-ETS). </w:t>
      </w:r>
      <w:r w:rsidR="00093D74">
        <w:t xml:space="preserve">Istotna część energii cieplnej wykorzystywanej w </w:t>
      </w:r>
      <w:r w:rsidR="00780CE3">
        <w:t xml:space="preserve">tych podsektorach przemysłu </w:t>
      </w:r>
      <w:r w:rsidR="00093D74">
        <w:t>nie wymaga wysokich temperatur, co zwiększa wachlarz wykorzystania tańszych odnawialnych źródeł energii</w:t>
      </w:r>
      <w:r w:rsidR="00E86742">
        <w:t xml:space="preserve">. Pewną </w:t>
      </w:r>
      <w:r w:rsidR="00093D74">
        <w:t xml:space="preserve">rolę w dekarbonizacji tego sektora </w:t>
      </w:r>
      <w:r w:rsidR="00093D74" w:rsidRPr="00FA697F">
        <w:t xml:space="preserve">ma </w:t>
      </w:r>
      <w:r w:rsidR="00093D74" w:rsidRPr="00923D47">
        <w:rPr>
          <w:b/>
          <w:bCs/>
        </w:rPr>
        <w:t>poprawa efektywności energetycznej realizowanych procesów</w:t>
      </w:r>
      <w:r w:rsidR="00923D47">
        <w:rPr>
          <w:b/>
          <w:bCs/>
        </w:rPr>
        <w:t xml:space="preserve"> i optymalizacja procesów</w:t>
      </w:r>
      <w:r w:rsidR="00093D74">
        <w:t>, w</w:t>
      </w:r>
      <w:r w:rsidR="00AA0D6B">
        <w:t> </w:t>
      </w:r>
      <w:r w:rsidR="00093D74">
        <w:t>szczególności ze względu na potencjał spadku energochłonności i redukcji kosztów działalności.</w:t>
      </w:r>
      <w:r w:rsidR="008E420F">
        <w:t xml:space="preserve"> </w:t>
      </w:r>
    </w:p>
    <w:p w14:paraId="196C3B9E" w14:textId="253B778B" w:rsidR="00BB2C1E" w:rsidRPr="00076810" w:rsidRDefault="00E650DE" w:rsidP="00093D74">
      <w:r>
        <w:t xml:space="preserve">Trzeba również zauważyć, że </w:t>
      </w:r>
      <w:r w:rsidR="00076810">
        <w:t xml:space="preserve">rosnący sektor technologii informacyjno-komunikacyjnych (ICT, ang. </w:t>
      </w:r>
      <w:r w:rsidR="00076810" w:rsidRPr="00076810">
        <w:rPr>
          <w:i/>
          <w:iCs/>
        </w:rPr>
        <w:t>information and communication technologies</w:t>
      </w:r>
      <w:r w:rsidR="00076810">
        <w:t xml:space="preserve">) staje się nową gałęzią gospodarki o charakterze </w:t>
      </w:r>
      <w:r w:rsidR="00DD00E1">
        <w:t>przemysłu energochłonnego. Stanowi to dodatkowe obciążenie dla systemu elektroenergetycznego, ale cechuje się również wysokim poziomem innowacyjności, co może oddziaływać na</w:t>
      </w:r>
      <w:r w:rsidR="00B910BB">
        <w:t xml:space="preserve"> kreowanie nowych rozwiązań w obszarze produkcji i optymalizacji zużycia energii, wartych </w:t>
      </w:r>
      <w:r w:rsidR="00A8039D">
        <w:t>powielenia</w:t>
      </w:r>
      <w:r w:rsidR="00B910BB">
        <w:t xml:space="preserve"> w innych częściach gospodarki.</w:t>
      </w:r>
      <w:r w:rsidR="00BB2C1E">
        <w:t xml:space="preserve"> Szacuje się, że w 2020 r. sektor ICT </w:t>
      </w:r>
      <w:r w:rsidR="00BA55EF">
        <w:t>odpowiadał</w:t>
      </w:r>
      <w:r w:rsidR="00BB2C1E">
        <w:t xml:space="preserve"> za zużycie ok. 3,6 TWh, prognoza wskazuje, że w 2030 r. </w:t>
      </w:r>
      <w:r w:rsidR="00BA55EF">
        <w:t>przekroczy ono</w:t>
      </w:r>
      <w:r w:rsidR="00BB2C1E">
        <w:t xml:space="preserve"> 6 TWh.</w:t>
      </w:r>
    </w:p>
    <w:p w14:paraId="160BC78A" w14:textId="18CAA3D9" w:rsidR="00A8039D" w:rsidRDefault="008D41B7" w:rsidP="0031259F">
      <w:pPr>
        <w:pStyle w:val="Cele"/>
        <w:rPr>
          <w:b/>
          <w:bCs/>
        </w:rPr>
      </w:pPr>
      <w:r>
        <w:rPr>
          <w:noProof/>
        </w:rPr>
        <w:lastRenderedPageBreak/>
        <w:drawing>
          <wp:anchor distT="0" distB="0" distL="114300" distR="114300" simplePos="0" relativeHeight="251773952" behindDoc="0" locked="0" layoutInCell="1" allowOverlap="1" wp14:anchorId="30FF61CC" wp14:editId="11C45424">
            <wp:simplePos x="0" y="0"/>
            <wp:positionH relativeFrom="margin">
              <wp:posOffset>3208020</wp:posOffset>
            </wp:positionH>
            <wp:positionV relativeFrom="paragraph">
              <wp:posOffset>65405</wp:posOffset>
            </wp:positionV>
            <wp:extent cx="2876550" cy="2134235"/>
            <wp:effectExtent l="0" t="0" r="0" b="18415"/>
            <wp:wrapTight wrapText="bothSides">
              <wp:wrapPolygon edited="0">
                <wp:start x="0" y="0"/>
                <wp:lineTo x="0" y="21594"/>
                <wp:lineTo x="21457" y="21594"/>
                <wp:lineTo x="21457" y="0"/>
                <wp:lineTo x="0" y="0"/>
              </wp:wrapPolygon>
            </wp:wrapTight>
            <wp:docPr id="602303321" name="Wykres 1">
              <a:extLst xmlns:a="http://schemas.openxmlformats.org/drawingml/2006/main">
                <a:ext uri="{FF2B5EF4-FFF2-40B4-BE49-F238E27FC236}">
                  <a16:creationId xmlns:a16="http://schemas.microsoft.com/office/drawing/2014/main" id="{03D9CA89-DA3F-BDFA-AB30-CD971B3C5F4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14:sizeRelH relativeFrom="margin">
              <wp14:pctWidth>0</wp14:pctWidth>
            </wp14:sizeRelH>
            <wp14:sizeRelV relativeFrom="margin">
              <wp14:pctHeight>0</wp14:pctHeight>
            </wp14:sizeRelV>
          </wp:anchor>
        </w:drawing>
      </w:r>
      <w:r w:rsidR="00093D74" w:rsidRPr="00A03664">
        <w:rPr>
          <w:b/>
          <w:bCs/>
        </w:rPr>
        <w:t xml:space="preserve">Prognozy wskazują, że </w:t>
      </w:r>
      <w:r w:rsidR="00F52AFC">
        <w:rPr>
          <w:b/>
          <w:bCs/>
        </w:rPr>
        <w:t>emisje procesowe w </w:t>
      </w:r>
      <w:r w:rsidR="00F32DA5">
        <w:rPr>
          <w:b/>
          <w:bCs/>
        </w:rPr>
        <w:t>sektor</w:t>
      </w:r>
      <w:r w:rsidR="00F52AFC">
        <w:rPr>
          <w:b/>
          <w:bCs/>
        </w:rPr>
        <w:t>ze</w:t>
      </w:r>
      <w:r w:rsidR="00F32DA5">
        <w:rPr>
          <w:b/>
          <w:bCs/>
        </w:rPr>
        <w:t xml:space="preserve"> przemysłu</w:t>
      </w:r>
      <w:r w:rsidR="002D26C3">
        <w:rPr>
          <w:rStyle w:val="Odwoanieprzypisudolnego"/>
          <w:b/>
          <w:bCs/>
        </w:rPr>
        <w:footnoteReference w:id="34"/>
      </w:r>
      <w:r w:rsidR="00F32DA5">
        <w:rPr>
          <w:b/>
          <w:bCs/>
        </w:rPr>
        <w:t xml:space="preserve"> w</w:t>
      </w:r>
      <w:r>
        <w:rPr>
          <w:b/>
          <w:bCs/>
        </w:rPr>
        <w:t> </w:t>
      </w:r>
      <w:r w:rsidR="00F32DA5">
        <w:rPr>
          <w:b/>
          <w:bCs/>
        </w:rPr>
        <w:t xml:space="preserve">Polsce może </w:t>
      </w:r>
      <w:r w:rsidR="00A8039D">
        <w:rPr>
          <w:b/>
          <w:bCs/>
        </w:rPr>
        <w:t xml:space="preserve">generować </w:t>
      </w:r>
      <w:r w:rsidR="00F32DA5">
        <w:rPr>
          <w:b/>
          <w:bCs/>
        </w:rPr>
        <w:t>emisję ok.</w:t>
      </w:r>
      <w:r w:rsidR="006E709D">
        <w:rPr>
          <w:b/>
          <w:bCs/>
        </w:rPr>
        <w:t> </w:t>
      </w:r>
      <w:r w:rsidR="00F32DA5">
        <w:rPr>
          <w:b/>
          <w:bCs/>
        </w:rPr>
        <w:t>23,5</w:t>
      </w:r>
      <w:r w:rsidR="006E709D">
        <w:rPr>
          <w:b/>
          <w:bCs/>
        </w:rPr>
        <w:t> </w:t>
      </w:r>
      <w:r w:rsidR="00162C82">
        <w:rPr>
          <w:b/>
          <w:bCs/>
        </w:rPr>
        <w:t>mln</w:t>
      </w:r>
      <w:r w:rsidR="006E709D">
        <w:rPr>
          <w:b/>
          <w:bCs/>
        </w:rPr>
        <w:t> </w:t>
      </w:r>
      <w:r w:rsidR="00162C82">
        <w:rPr>
          <w:b/>
          <w:bCs/>
        </w:rPr>
        <w:t>t</w:t>
      </w:r>
      <w:r w:rsidR="006E709D">
        <w:rPr>
          <w:b/>
          <w:bCs/>
        </w:rPr>
        <w:t> </w:t>
      </w:r>
      <w:r w:rsidR="00F32DA5">
        <w:rPr>
          <w:b/>
          <w:bCs/>
        </w:rPr>
        <w:t>ekw.</w:t>
      </w:r>
      <w:r w:rsidR="006E709D">
        <w:rPr>
          <w:b/>
          <w:bCs/>
        </w:rPr>
        <w:t> </w:t>
      </w:r>
      <w:r w:rsidR="00F32DA5">
        <w:rPr>
          <w:b/>
          <w:bCs/>
        </w:rPr>
        <w:t>CO</w:t>
      </w:r>
      <w:r w:rsidR="00F32DA5" w:rsidRPr="00F32DA5">
        <w:rPr>
          <w:b/>
          <w:bCs/>
          <w:vertAlign w:val="subscript"/>
        </w:rPr>
        <w:t>2</w:t>
      </w:r>
      <w:r w:rsidR="00F32DA5">
        <w:rPr>
          <w:b/>
          <w:bCs/>
        </w:rPr>
        <w:t xml:space="preserve"> w 2030 r.</w:t>
      </w:r>
      <w:r w:rsidR="00162C82">
        <w:rPr>
          <w:b/>
          <w:bCs/>
        </w:rPr>
        <w:t xml:space="preserve"> </w:t>
      </w:r>
      <w:r w:rsidR="006E709D">
        <w:t>i</w:t>
      </w:r>
      <w:r>
        <w:t> </w:t>
      </w:r>
      <w:r w:rsidR="006E709D">
        <w:t>ok.</w:t>
      </w:r>
      <w:r>
        <w:t> </w:t>
      </w:r>
      <w:r w:rsidR="006E709D">
        <w:t>22,7</w:t>
      </w:r>
      <w:r>
        <w:t> </w:t>
      </w:r>
      <w:r w:rsidR="006E709D">
        <w:t>mln t ekw. CO</w:t>
      </w:r>
      <w:r w:rsidR="006E709D" w:rsidRPr="006E709D">
        <w:rPr>
          <w:vertAlign w:val="subscript"/>
        </w:rPr>
        <w:t>2</w:t>
      </w:r>
      <w:r w:rsidR="006E709D">
        <w:t xml:space="preserve"> w 2040 r. </w:t>
      </w:r>
      <w:r w:rsidR="0031259F">
        <w:br/>
      </w:r>
      <w:r w:rsidR="00A8039D" w:rsidRPr="00A50E90">
        <w:rPr>
          <w:i/>
          <w:iCs/>
        </w:rPr>
        <w:t>[szacunki</w:t>
      </w:r>
      <w:r w:rsidR="00A8039D" w:rsidRPr="00A03664">
        <w:rPr>
          <w:i/>
          <w:iCs/>
        </w:rPr>
        <w:t xml:space="preserve"> nie mają charakteru celu]</w:t>
      </w:r>
    </w:p>
    <w:p w14:paraId="10E30E95" w14:textId="214D2877" w:rsidR="00093D74" w:rsidRPr="00162C82" w:rsidRDefault="00A8039D" w:rsidP="00A8039D">
      <w:r>
        <w:t>Powyższa wartość o</w:t>
      </w:r>
      <w:r w:rsidR="00F32DA5">
        <w:t>znacza nieznaczny wzrost</w:t>
      </w:r>
      <w:r>
        <w:t xml:space="preserve"> emisji</w:t>
      </w:r>
      <w:r w:rsidR="00AA0D6B">
        <w:t xml:space="preserve"> </w:t>
      </w:r>
      <w:r w:rsidR="00093D74">
        <w:t>w stosunku do p</w:t>
      </w:r>
      <w:r w:rsidR="00093D74" w:rsidRPr="00A50E90">
        <w:t>oziomu z 1990</w:t>
      </w:r>
      <w:r w:rsidR="00A50E90" w:rsidRPr="00A50E90">
        <w:t xml:space="preserve"> </w:t>
      </w:r>
      <w:r w:rsidR="00093D74" w:rsidRPr="00A50E90">
        <w:t>r.</w:t>
      </w:r>
      <w:r w:rsidR="00F32DA5">
        <w:t xml:space="preserve">, </w:t>
      </w:r>
      <w:r>
        <w:t xml:space="preserve">ale jednocześnie utrzymany zostanie trend spadkowy, występujący od 2018 r.   </w:t>
      </w:r>
      <w:r w:rsidR="00093D74" w:rsidRPr="00A50E90">
        <w:t xml:space="preserve"> </w:t>
      </w:r>
    </w:p>
    <w:p w14:paraId="550F1732" w14:textId="289C6ED4" w:rsidR="00AC4C6D" w:rsidRDefault="00F32DA5" w:rsidP="00F523F2">
      <w:pPr>
        <w:spacing w:after="80"/>
      </w:pPr>
      <w:r>
        <w:t xml:space="preserve">Dążeniu do </w:t>
      </w:r>
      <w:r w:rsidR="00476C70">
        <w:t>redukcji</w:t>
      </w:r>
      <w:r w:rsidR="00AC4C6D">
        <w:t xml:space="preserve"> w zakresie e</w:t>
      </w:r>
      <w:r>
        <w:t>misyjności</w:t>
      </w:r>
      <w:r w:rsidR="00AC4C6D">
        <w:t xml:space="preserve"> gazów cieplarnianych w sektorze przemysłu sprzyjać powinny dodatkowe cele dotyczące:</w:t>
      </w:r>
    </w:p>
    <w:p w14:paraId="6A86E4DA" w14:textId="71571024" w:rsidR="00AC4C6D" w:rsidRDefault="00AC4C6D" w:rsidP="00612B5D">
      <w:pPr>
        <w:pStyle w:val="Akapitzlist"/>
        <w:numPr>
          <w:ilvl w:val="0"/>
          <w:numId w:val="43"/>
        </w:numPr>
      </w:pPr>
      <w:r>
        <w:t xml:space="preserve">przyrostu </w:t>
      </w:r>
      <w:r w:rsidRPr="00563B07">
        <w:rPr>
          <w:b/>
          <w:bCs/>
        </w:rPr>
        <w:t xml:space="preserve">wykorzystania OZE </w:t>
      </w:r>
      <w:r w:rsidRPr="00563B07">
        <w:t>w przemyśle</w:t>
      </w:r>
      <w:r w:rsidR="00F523F2">
        <w:t>,</w:t>
      </w:r>
    </w:p>
    <w:p w14:paraId="3006B145" w14:textId="77777777" w:rsidR="00883055" w:rsidRDefault="00AC4C6D" w:rsidP="00612B5D">
      <w:pPr>
        <w:pStyle w:val="Akapitzlist"/>
        <w:numPr>
          <w:ilvl w:val="0"/>
          <w:numId w:val="43"/>
        </w:numPr>
      </w:pPr>
      <w:r>
        <w:t xml:space="preserve">wykorzystania </w:t>
      </w:r>
      <w:r w:rsidRPr="00563B07">
        <w:rPr>
          <w:b/>
          <w:bCs/>
        </w:rPr>
        <w:t>„zielonego” wodoru</w:t>
      </w:r>
      <w:r>
        <w:t xml:space="preserve"> w przemyśle</w:t>
      </w:r>
      <w:r w:rsidR="00883055">
        <w:t>,</w:t>
      </w:r>
    </w:p>
    <w:p w14:paraId="31E2B806" w14:textId="36FB3171" w:rsidR="00AC4C6D" w:rsidRDefault="00563B07" w:rsidP="00612B5D">
      <w:pPr>
        <w:pStyle w:val="Akapitzlist"/>
        <w:numPr>
          <w:ilvl w:val="0"/>
          <w:numId w:val="43"/>
        </w:numPr>
      </w:pPr>
      <w:r>
        <w:t xml:space="preserve">zapewniania warunków rozwoju technologii </w:t>
      </w:r>
      <w:r w:rsidRPr="00E05AA0">
        <w:rPr>
          <w:b/>
          <w:bCs/>
          <w:szCs w:val="20"/>
        </w:rPr>
        <w:t>wychwytu</w:t>
      </w:r>
      <w:r w:rsidR="00F52AFC">
        <w:rPr>
          <w:b/>
          <w:bCs/>
          <w:szCs w:val="20"/>
        </w:rPr>
        <w:t xml:space="preserve"> i</w:t>
      </w:r>
      <w:r w:rsidR="00F52AFC" w:rsidRPr="00E05AA0">
        <w:rPr>
          <w:b/>
          <w:bCs/>
          <w:szCs w:val="20"/>
        </w:rPr>
        <w:t xml:space="preserve"> składowania CO</w:t>
      </w:r>
      <w:r w:rsidR="00F52AFC" w:rsidRPr="00E05AA0">
        <w:rPr>
          <w:b/>
          <w:bCs/>
          <w:szCs w:val="20"/>
          <w:vertAlign w:val="subscript"/>
        </w:rPr>
        <w:t>2</w:t>
      </w:r>
      <w:r w:rsidR="00F52AFC">
        <w:rPr>
          <w:szCs w:val="20"/>
        </w:rPr>
        <w:t xml:space="preserve"> (ang. </w:t>
      </w:r>
      <w:r w:rsidR="00F52AFC">
        <w:rPr>
          <w:i/>
          <w:iCs/>
          <w:szCs w:val="20"/>
        </w:rPr>
        <w:t>c</w:t>
      </w:r>
      <w:r w:rsidR="00F52AFC" w:rsidRPr="005457D4">
        <w:rPr>
          <w:i/>
          <w:iCs/>
          <w:szCs w:val="20"/>
        </w:rPr>
        <w:t xml:space="preserve">arbon </w:t>
      </w:r>
      <w:r w:rsidR="00F52AFC">
        <w:rPr>
          <w:i/>
          <w:iCs/>
          <w:szCs w:val="20"/>
        </w:rPr>
        <w:t>c</w:t>
      </w:r>
      <w:r w:rsidR="00F52AFC" w:rsidRPr="005457D4">
        <w:rPr>
          <w:i/>
          <w:iCs/>
          <w:szCs w:val="20"/>
        </w:rPr>
        <w:t>apture</w:t>
      </w:r>
      <w:r w:rsidR="00F52AFC">
        <w:rPr>
          <w:i/>
          <w:iCs/>
          <w:szCs w:val="20"/>
        </w:rPr>
        <w:t xml:space="preserve"> </w:t>
      </w:r>
      <w:r w:rsidR="00F52AFC" w:rsidRPr="005457D4">
        <w:rPr>
          <w:i/>
          <w:iCs/>
          <w:szCs w:val="20"/>
        </w:rPr>
        <w:t xml:space="preserve">and </w:t>
      </w:r>
      <w:r w:rsidR="00F52AFC">
        <w:rPr>
          <w:i/>
          <w:iCs/>
          <w:szCs w:val="20"/>
        </w:rPr>
        <w:t>s</w:t>
      </w:r>
      <w:r w:rsidR="00F52AFC" w:rsidRPr="005457D4">
        <w:rPr>
          <w:i/>
          <w:iCs/>
          <w:szCs w:val="20"/>
        </w:rPr>
        <w:t>torage</w:t>
      </w:r>
      <w:r w:rsidR="00F52AFC">
        <w:rPr>
          <w:szCs w:val="20"/>
        </w:rPr>
        <w:t xml:space="preserve">, CCS) oraz </w:t>
      </w:r>
      <w:r w:rsidR="00F52AFC" w:rsidRPr="00FE7B64">
        <w:rPr>
          <w:b/>
          <w:bCs/>
          <w:szCs w:val="20"/>
        </w:rPr>
        <w:t>wychwytu i wykorzystania CO</w:t>
      </w:r>
      <w:r w:rsidR="00F52AFC" w:rsidRPr="00FE7B64">
        <w:rPr>
          <w:b/>
          <w:bCs/>
          <w:szCs w:val="20"/>
          <w:vertAlign w:val="subscript"/>
        </w:rPr>
        <w:t>2</w:t>
      </w:r>
      <w:r w:rsidR="00F52AFC">
        <w:rPr>
          <w:szCs w:val="20"/>
        </w:rPr>
        <w:t xml:space="preserve"> (ang. </w:t>
      </w:r>
      <w:r w:rsidR="00F52AFC">
        <w:rPr>
          <w:i/>
          <w:iCs/>
          <w:szCs w:val="20"/>
        </w:rPr>
        <w:t>c</w:t>
      </w:r>
      <w:r w:rsidR="00F52AFC" w:rsidRPr="005457D4">
        <w:rPr>
          <w:i/>
          <w:iCs/>
          <w:szCs w:val="20"/>
        </w:rPr>
        <w:t xml:space="preserve">arbon </w:t>
      </w:r>
      <w:r w:rsidR="00F52AFC">
        <w:rPr>
          <w:i/>
          <w:iCs/>
          <w:szCs w:val="20"/>
        </w:rPr>
        <w:t>c</w:t>
      </w:r>
      <w:r w:rsidR="00F52AFC" w:rsidRPr="005457D4">
        <w:rPr>
          <w:i/>
          <w:iCs/>
          <w:szCs w:val="20"/>
        </w:rPr>
        <w:t>apture</w:t>
      </w:r>
      <w:r w:rsidR="00F52AFC">
        <w:rPr>
          <w:i/>
          <w:iCs/>
          <w:szCs w:val="20"/>
        </w:rPr>
        <w:t xml:space="preserve"> </w:t>
      </w:r>
      <w:r w:rsidR="00F52AFC" w:rsidRPr="005457D4">
        <w:rPr>
          <w:i/>
          <w:iCs/>
          <w:szCs w:val="20"/>
        </w:rPr>
        <w:t xml:space="preserve">and </w:t>
      </w:r>
      <w:r w:rsidR="00F52AFC">
        <w:rPr>
          <w:i/>
          <w:iCs/>
          <w:szCs w:val="20"/>
        </w:rPr>
        <w:t>utilisation</w:t>
      </w:r>
      <w:r w:rsidR="00F52AFC">
        <w:rPr>
          <w:szCs w:val="20"/>
        </w:rPr>
        <w:t>, CCU)</w:t>
      </w:r>
      <w:r w:rsidR="00F523F2">
        <w:t>.</w:t>
      </w:r>
    </w:p>
    <w:p w14:paraId="68C69A7D" w14:textId="6CE48135" w:rsidR="00F523F2" w:rsidRPr="00BD1024" w:rsidRDefault="00256586" w:rsidP="00BD1024">
      <w:pPr>
        <w:rPr>
          <w:szCs w:val="20"/>
        </w:rPr>
      </w:pPr>
      <w:r>
        <w:t xml:space="preserve">Czynnikiem sprzyjającym </w:t>
      </w:r>
      <w:r w:rsidR="00923D47">
        <w:t xml:space="preserve">dekarbonizacji przemysłu </w:t>
      </w:r>
      <w:r w:rsidR="00374D0F">
        <w:t xml:space="preserve">może </w:t>
      </w:r>
      <w:r>
        <w:t>być</w:t>
      </w:r>
      <w:r w:rsidR="00923D47">
        <w:t xml:space="preserve"> </w:t>
      </w:r>
      <w:r w:rsidR="00F523F2" w:rsidRPr="00F523F2">
        <w:rPr>
          <w:b/>
          <w:bCs/>
        </w:rPr>
        <w:t xml:space="preserve">rozwój badań i rozwoju </w:t>
      </w:r>
      <w:r w:rsidR="00476C70" w:rsidRPr="00F523F2">
        <w:rPr>
          <w:b/>
          <w:bCs/>
        </w:rPr>
        <w:t>(B+R)</w:t>
      </w:r>
      <w:r w:rsidR="00476C70" w:rsidRPr="00476C70">
        <w:t xml:space="preserve"> </w:t>
      </w:r>
      <w:r w:rsidR="00476C70" w:rsidRPr="00F523F2">
        <w:rPr>
          <w:b/>
          <w:bCs/>
        </w:rPr>
        <w:t>w</w:t>
      </w:r>
      <w:r>
        <w:rPr>
          <w:b/>
          <w:bCs/>
        </w:rPr>
        <w:t> </w:t>
      </w:r>
      <w:r w:rsidR="00476C70" w:rsidRPr="00F523F2">
        <w:rPr>
          <w:b/>
          <w:bCs/>
        </w:rPr>
        <w:t>obszarze procesów przemysłowych i produkcji energii</w:t>
      </w:r>
      <w:r w:rsidR="00F523F2">
        <w:rPr>
          <w:szCs w:val="20"/>
        </w:rPr>
        <w:t>.</w:t>
      </w:r>
      <w:r>
        <w:rPr>
          <w:szCs w:val="20"/>
        </w:rPr>
        <w:t xml:space="preserve"> Istotną rolę motywującą do działań będzie mieć także </w:t>
      </w:r>
      <w:r>
        <w:t xml:space="preserve">popularyzacja </w:t>
      </w:r>
      <w:r w:rsidRPr="00923D47">
        <w:rPr>
          <w:b/>
          <w:bCs/>
        </w:rPr>
        <w:t xml:space="preserve">standardów zrównoważonego rozwoju i ich raportowania </w:t>
      </w:r>
      <w:r w:rsidRPr="00923D47">
        <w:t>(ESG</w:t>
      </w:r>
      <w:r>
        <w:t xml:space="preserve">, ang. </w:t>
      </w:r>
      <w:r w:rsidRPr="00923D47">
        <w:rPr>
          <w:i/>
          <w:iCs/>
        </w:rPr>
        <w:t>environment, society, corporate governance</w:t>
      </w:r>
      <w:r>
        <w:t>)</w:t>
      </w:r>
      <w:r w:rsidR="00BD1024">
        <w:rPr>
          <w:rStyle w:val="Odwoanieprzypisudolnego"/>
        </w:rPr>
        <w:footnoteReference w:id="35"/>
      </w:r>
      <w:r>
        <w:t xml:space="preserve"> znacznie ułatwia dostęp do zunifikowanych informacji, które można porównywać</w:t>
      </w:r>
      <w:r w:rsidR="00287DE6">
        <w:t xml:space="preserve"> i na ich podstawie podejmować decyzje biznesowe.</w:t>
      </w:r>
    </w:p>
    <w:tbl>
      <w:tblPr>
        <w:tblStyle w:val="Tabela-Siatka"/>
        <w:tblpPr w:leftFromText="141" w:rightFromText="141" w:vertAnchor="text" w:horzAnchor="margin" w:tblpXSpec="right" w:tblpY="35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02"/>
      </w:tblGrid>
      <w:tr w:rsidR="001B1984" w14:paraId="576A4092" w14:textId="77777777" w:rsidTr="000D2EC4">
        <w:trPr>
          <w:trHeight w:val="340"/>
        </w:trPr>
        <w:tc>
          <w:tcPr>
            <w:tcW w:w="0" w:type="auto"/>
            <w:vAlign w:val="center"/>
          </w:tcPr>
          <w:p w14:paraId="5ECF728C" w14:textId="4993144F" w:rsidR="001B1984" w:rsidRPr="001B1984" w:rsidRDefault="001B1984" w:rsidP="000D2EC4">
            <w:pPr>
              <w:jc w:val="center"/>
              <w:rPr>
                <w:rFonts w:ascii="Bahnschrift" w:hAnsi="Bahnschrift"/>
                <w:color w:val="70AD47" w:themeColor="accent6"/>
                <w:sz w:val="48"/>
                <w:szCs w:val="48"/>
              </w:rPr>
            </w:pPr>
            <w:r>
              <w:rPr>
                <w:rFonts w:ascii="Bahnschrift" w:hAnsi="Bahnschrift"/>
                <w:color w:val="70AD47" w:themeColor="accent6"/>
                <w:sz w:val="48"/>
                <w:szCs w:val="48"/>
              </w:rPr>
              <w:t>OZE</w:t>
            </w:r>
          </w:p>
        </w:tc>
      </w:tr>
      <w:tr w:rsidR="001B1984" w14:paraId="73F745AE" w14:textId="77777777" w:rsidTr="000D2EC4">
        <w:trPr>
          <w:trHeight w:val="340"/>
        </w:trPr>
        <w:tc>
          <w:tcPr>
            <w:tcW w:w="0" w:type="auto"/>
            <w:vAlign w:val="center"/>
          </w:tcPr>
          <w:p w14:paraId="223C0778" w14:textId="77777777" w:rsidR="001B1984" w:rsidRPr="001B1984" w:rsidRDefault="001B1984" w:rsidP="000D2EC4">
            <w:pPr>
              <w:jc w:val="center"/>
              <w:rPr>
                <w:rFonts w:ascii="Bahnschrift" w:hAnsi="Bahnschrift"/>
                <w:color w:val="70AD47" w:themeColor="accent6"/>
                <w:sz w:val="26"/>
                <w:szCs w:val="26"/>
              </w:rPr>
            </w:pPr>
            <w:r w:rsidRPr="001B1984">
              <w:rPr>
                <w:rFonts w:ascii="Bahnschrift" w:hAnsi="Bahnschrift"/>
                <w:color w:val="70AD47" w:themeColor="accent6"/>
                <w:sz w:val="26"/>
                <w:szCs w:val="26"/>
              </w:rPr>
              <w:t>w przemyśle</w:t>
            </w:r>
          </w:p>
        </w:tc>
      </w:tr>
    </w:tbl>
    <w:p w14:paraId="40B2FD0E" w14:textId="77777777" w:rsidR="000D2EC4" w:rsidRDefault="000D2EC4" w:rsidP="000D2EC4">
      <w:pPr>
        <w:pStyle w:val="Bezodstpw"/>
      </w:pPr>
    </w:p>
    <w:p w14:paraId="7B16DBF2" w14:textId="51E55623" w:rsidR="008A327D" w:rsidRDefault="00093D74" w:rsidP="00291F7D">
      <w:pPr>
        <w:rPr>
          <w:vertAlign w:val="superscript"/>
        </w:rPr>
      </w:pPr>
      <w:r>
        <w:t>Zgodnie z dyrektywą RED III p</w:t>
      </w:r>
      <w:r w:rsidRPr="00BD1C89">
        <w:t xml:space="preserve">aństwa członkowskie </w:t>
      </w:r>
      <w:r>
        <w:t xml:space="preserve">zostały zobligowane do </w:t>
      </w:r>
      <w:r w:rsidRPr="00BD1C89">
        <w:t>dąż</w:t>
      </w:r>
      <w:r>
        <w:t>enia</w:t>
      </w:r>
      <w:r w:rsidRPr="00BD1C89">
        <w:t xml:space="preserve"> </w:t>
      </w:r>
      <w:r w:rsidR="00AA0D6B">
        <w:t>na rzecz</w:t>
      </w:r>
      <w:r w:rsidRPr="00BD1C89">
        <w:t xml:space="preserve"> </w:t>
      </w:r>
      <w:r w:rsidRPr="008E75AC">
        <w:rPr>
          <w:b/>
          <w:bCs/>
        </w:rPr>
        <w:t>zwiększenia udziału źródeł odnawialnych</w:t>
      </w:r>
      <w:r w:rsidRPr="00BD1C89">
        <w:t xml:space="preserve"> </w:t>
      </w:r>
      <w:r w:rsidR="00AA0D6B">
        <w:t>w zużyciu energii</w:t>
      </w:r>
      <w:r w:rsidRPr="00BD1C89">
        <w:t xml:space="preserve"> </w:t>
      </w:r>
      <w:r w:rsidRPr="009A0EE5">
        <w:rPr>
          <w:b/>
          <w:bCs/>
        </w:rPr>
        <w:t xml:space="preserve">w sektorze przemysłu o orientacyjny wzrost o co najmniej 1,6 pkt proc. średniorocznie </w:t>
      </w:r>
      <w:r w:rsidR="00265497">
        <w:rPr>
          <w:b/>
          <w:bCs/>
        </w:rPr>
        <w:t>w </w:t>
      </w:r>
      <w:r w:rsidRPr="009A0EE5">
        <w:rPr>
          <w:b/>
          <w:bCs/>
        </w:rPr>
        <w:t>latach 2021–2025 oraz 2026–2030</w:t>
      </w:r>
      <w:r w:rsidRPr="00BD1C89">
        <w:t>.</w:t>
      </w:r>
      <w:r>
        <w:rPr>
          <w:rStyle w:val="Odwoanieprzypisudolnego"/>
        </w:rPr>
        <w:footnoteReference w:id="36"/>
      </w:r>
      <w:r w:rsidR="00030513">
        <w:rPr>
          <w:rStyle w:val="Odwoaniedokomentarza"/>
        </w:rPr>
        <w:t xml:space="preserve"> </w:t>
      </w:r>
      <w:r w:rsidR="008A327D">
        <w:rPr>
          <w:vertAlign w:val="superscript"/>
        </w:rPr>
        <w:t xml:space="preserve"> </w:t>
      </w:r>
    </w:p>
    <w:p w14:paraId="19818C72" w14:textId="1A890708" w:rsidR="00291F7D" w:rsidRPr="008A327D" w:rsidRDefault="008A327D" w:rsidP="00291F7D">
      <w:r>
        <w:t>Dotychczas kluczow</w:t>
      </w:r>
      <w:r w:rsidR="00030513">
        <w:t xml:space="preserve">ą rolę w zakresie udziału OZE w przemyśle odgrywała biomasa, lecz </w:t>
      </w:r>
      <w:r w:rsidR="00682C83">
        <w:t>przewiduje</w:t>
      </w:r>
      <w:r w:rsidR="00030513">
        <w:t xml:space="preserve"> się, że coraz większe znaczenie będzie mieć </w:t>
      </w:r>
      <w:r w:rsidR="00526C96">
        <w:t xml:space="preserve">biometan i energetyka słoneczna. </w:t>
      </w:r>
    </w:p>
    <w:p w14:paraId="05176590" w14:textId="23AFDC78" w:rsidR="00EA143C" w:rsidRPr="000D2EC4" w:rsidRDefault="00EA143C" w:rsidP="000D2EC4">
      <w:pPr>
        <w:pStyle w:val="Cele"/>
        <w:rPr>
          <w:b/>
          <w:bCs/>
        </w:rPr>
      </w:pPr>
      <w:r w:rsidRPr="00A03664">
        <w:rPr>
          <w:b/>
          <w:bCs/>
        </w:rPr>
        <w:t xml:space="preserve">Prognozy wskazują, że w 2030 r. Polska może </w:t>
      </w:r>
      <w:r>
        <w:rPr>
          <w:b/>
          <w:bCs/>
        </w:rPr>
        <w:t xml:space="preserve">osiągnąć ok. </w:t>
      </w:r>
      <w:r w:rsidR="008A327D">
        <w:rPr>
          <w:b/>
          <w:bCs/>
        </w:rPr>
        <w:t>23,6</w:t>
      </w:r>
      <w:r>
        <w:rPr>
          <w:b/>
          <w:bCs/>
        </w:rPr>
        <w:t xml:space="preserve">% </w:t>
      </w:r>
      <w:r w:rsidR="00AA0248">
        <w:rPr>
          <w:b/>
          <w:bCs/>
        </w:rPr>
        <w:t xml:space="preserve">udziału </w:t>
      </w:r>
      <w:r>
        <w:rPr>
          <w:b/>
          <w:bCs/>
        </w:rPr>
        <w:t>OZE w</w:t>
      </w:r>
      <w:r w:rsidR="00AA0248">
        <w:rPr>
          <w:b/>
          <w:bCs/>
        </w:rPr>
        <w:t> zużyciu energii w sektorze przemysłu</w:t>
      </w:r>
      <w:r w:rsidR="00265497">
        <w:rPr>
          <w:b/>
          <w:bCs/>
        </w:rPr>
        <w:t xml:space="preserve"> </w:t>
      </w:r>
      <w:r w:rsidR="00265497" w:rsidRPr="005150A3">
        <w:t xml:space="preserve">i ok. </w:t>
      </w:r>
      <w:r w:rsidR="005150A3" w:rsidRPr="005150A3">
        <w:t>41,8% w 2040 r.</w:t>
      </w:r>
      <w:r w:rsidR="00030513">
        <w:rPr>
          <w:rStyle w:val="Odwoanieprzypisudolnego"/>
        </w:rPr>
        <w:footnoteReference w:id="37"/>
      </w:r>
    </w:p>
    <w:tbl>
      <w:tblPr>
        <w:tblStyle w:val="Tabela-Siatka"/>
        <w:tblpPr w:leftFromText="141" w:rightFromText="141" w:vertAnchor="text" w:horzAnchor="margin" w:tblpXSpec="right" w:tblpY="35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02"/>
      </w:tblGrid>
      <w:tr w:rsidR="001B1984" w14:paraId="6DABA808" w14:textId="578CE0BF" w:rsidTr="00DC6163">
        <w:trPr>
          <w:trHeight w:val="340"/>
        </w:trPr>
        <w:tc>
          <w:tcPr>
            <w:tcW w:w="0" w:type="auto"/>
            <w:vAlign w:val="center"/>
          </w:tcPr>
          <w:p w14:paraId="3A997654" w14:textId="77777777" w:rsidR="001B1984" w:rsidRPr="001B1984" w:rsidRDefault="001B1984" w:rsidP="00DC6163">
            <w:pPr>
              <w:jc w:val="center"/>
              <w:rPr>
                <w:rFonts w:ascii="Bahnschrift" w:hAnsi="Bahnschrift"/>
                <w:color w:val="70AD47" w:themeColor="accent6"/>
                <w:sz w:val="48"/>
                <w:szCs w:val="48"/>
              </w:rPr>
            </w:pPr>
            <w:r w:rsidRPr="001B1984">
              <w:rPr>
                <w:rFonts w:ascii="Bahnschrift" w:hAnsi="Bahnschrift"/>
                <w:color w:val="70AD47" w:themeColor="accent6"/>
                <w:sz w:val="48"/>
                <w:szCs w:val="48"/>
              </w:rPr>
              <w:t>wodór</w:t>
            </w:r>
          </w:p>
        </w:tc>
      </w:tr>
      <w:tr w:rsidR="001B1984" w14:paraId="38CB7C3B" w14:textId="5F847192" w:rsidTr="00DC6163">
        <w:trPr>
          <w:trHeight w:val="340"/>
        </w:trPr>
        <w:tc>
          <w:tcPr>
            <w:tcW w:w="0" w:type="auto"/>
            <w:vAlign w:val="center"/>
          </w:tcPr>
          <w:p w14:paraId="12ECE6B9" w14:textId="77777777" w:rsidR="001B1984" w:rsidRPr="001B1984" w:rsidRDefault="001B1984" w:rsidP="00563B07">
            <w:pPr>
              <w:spacing w:after="80"/>
              <w:jc w:val="center"/>
              <w:rPr>
                <w:rFonts w:ascii="Bahnschrift" w:hAnsi="Bahnschrift"/>
                <w:color w:val="70AD47" w:themeColor="accent6"/>
                <w:sz w:val="26"/>
                <w:szCs w:val="26"/>
              </w:rPr>
            </w:pPr>
            <w:r w:rsidRPr="001B1984">
              <w:rPr>
                <w:rFonts w:ascii="Bahnschrift" w:hAnsi="Bahnschrift"/>
                <w:color w:val="70AD47" w:themeColor="accent6"/>
                <w:sz w:val="26"/>
                <w:szCs w:val="26"/>
              </w:rPr>
              <w:t>w przemyśle</w:t>
            </w:r>
          </w:p>
        </w:tc>
      </w:tr>
    </w:tbl>
    <w:p w14:paraId="4DEE95E7" w14:textId="77777777" w:rsidR="00860390" w:rsidRDefault="00860390" w:rsidP="00860390">
      <w:pPr>
        <w:pStyle w:val="Bezodstpw"/>
      </w:pPr>
    </w:p>
    <w:p w14:paraId="479E71B5" w14:textId="7EB89474" w:rsidR="00DB29E1" w:rsidRDefault="00860390" w:rsidP="00093D74">
      <w:r>
        <w:t xml:space="preserve">Rozwój gospodarki wodorowej </w:t>
      </w:r>
      <w:r w:rsidR="00564807">
        <w:t>to nowy trend globalny, który może zrewolucjonizować różne branże gospodarcze</w:t>
      </w:r>
      <w:r>
        <w:t xml:space="preserve">. </w:t>
      </w:r>
      <w:r w:rsidR="00564807">
        <w:t>Również u</w:t>
      </w:r>
      <w:r w:rsidR="00ED1F94">
        <w:t xml:space="preserve">nijna polityka klimatyczna silnie stawia na wzrost wykorzystania wodoru jako alternatywy dla paliw kopalnych. Jednym z głównych obszarów rozwoju </w:t>
      </w:r>
      <w:r w:rsidR="0049628E">
        <w:t>rynku</w:t>
      </w:r>
      <w:r w:rsidR="00ED1F94">
        <w:t xml:space="preserve"> tego surowca jest </w:t>
      </w:r>
      <w:r w:rsidR="00093D74">
        <w:t>wykorzystanie „zielonego” wodoru w</w:t>
      </w:r>
      <w:r w:rsidR="00F07099">
        <w:t xml:space="preserve"> </w:t>
      </w:r>
      <w:r w:rsidR="00093D74">
        <w:t xml:space="preserve">przemyśle. Z tego względu zobowiązano państwa </w:t>
      </w:r>
      <w:r w:rsidR="00093D74">
        <w:lastRenderedPageBreak/>
        <w:t xml:space="preserve">członkowskie, aby </w:t>
      </w:r>
      <w:r w:rsidR="00893ACA" w:rsidRPr="00892B71">
        <w:rPr>
          <w:b/>
          <w:bCs/>
        </w:rPr>
        <w:t xml:space="preserve">„zielony” </w:t>
      </w:r>
      <w:r w:rsidR="00093D74" w:rsidRPr="00892B71">
        <w:rPr>
          <w:b/>
          <w:bCs/>
        </w:rPr>
        <w:t>wodór</w:t>
      </w:r>
      <w:r w:rsidR="00093D74" w:rsidRPr="000B393A">
        <w:rPr>
          <w:b/>
          <w:bCs/>
        </w:rPr>
        <w:t xml:space="preserve"> </w:t>
      </w:r>
      <w:r w:rsidR="00893ACA">
        <w:rPr>
          <w:b/>
          <w:bCs/>
        </w:rPr>
        <w:t xml:space="preserve">(rozumiany jako </w:t>
      </w:r>
      <w:r w:rsidR="00C65C18">
        <w:rPr>
          <w:b/>
          <w:bCs/>
        </w:rPr>
        <w:t xml:space="preserve">wodór odnawialny, w tym wodór </w:t>
      </w:r>
      <w:r w:rsidR="008E75AC">
        <w:rPr>
          <w:b/>
          <w:bCs/>
        </w:rPr>
        <w:t>RFNBO</w:t>
      </w:r>
      <w:r w:rsidR="00893ACA">
        <w:rPr>
          <w:b/>
          <w:bCs/>
        </w:rPr>
        <w:t>)</w:t>
      </w:r>
      <w:r w:rsidR="008E75AC">
        <w:rPr>
          <w:b/>
          <w:bCs/>
        </w:rPr>
        <w:t xml:space="preserve"> </w:t>
      </w:r>
      <w:r w:rsidR="00093D74" w:rsidRPr="000B393A">
        <w:rPr>
          <w:b/>
          <w:bCs/>
        </w:rPr>
        <w:t>stanowił 42% do 2030 r. i</w:t>
      </w:r>
      <w:r w:rsidR="00C65C18">
        <w:rPr>
          <w:b/>
          <w:bCs/>
        </w:rPr>
        <w:t xml:space="preserve"> </w:t>
      </w:r>
      <w:r w:rsidR="00093D74" w:rsidRPr="000B393A">
        <w:rPr>
          <w:b/>
          <w:bCs/>
        </w:rPr>
        <w:t xml:space="preserve">60% do 2035 r. w strukturze </w:t>
      </w:r>
      <w:r w:rsidR="008E75AC">
        <w:rPr>
          <w:b/>
          <w:bCs/>
        </w:rPr>
        <w:t xml:space="preserve">wodoru </w:t>
      </w:r>
      <w:r w:rsidR="00093D74" w:rsidRPr="000B393A">
        <w:rPr>
          <w:b/>
          <w:bCs/>
        </w:rPr>
        <w:t>stosowan</w:t>
      </w:r>
      <w:r w:rsidR="008E75AC">
        <w:rPr>
          <w:b/>
          <w:bCs/>
        </w:rPr>
        <w:t>ego</w:t>
      </w:r>
      <w:r w:rsidR="00093D74" w:rsidRPr="000B393A">
        <w:rPr>
          <w:b/>
          <w:bCs/>
        </w:rPr>
        <w:t xml:space="preserve"> do celów związanych z energią końcową i</w:t>
      </w:r>
      <w:r w:rsidR="00892B71">
        <w:rPr>
          <w:b/>
          <w:bCs/>
        </w:rPr>
        <w:t xml:space="preserve"> </w:t>
      </w:r>
      <w:r w:rsidR="00093D74" w:rsidRPr="000B393A">
        <w:rPr>
          <w:b/>
          <w:bCs/>
        </w:rPr>
        <w:t>celów innych niż energetyczne</w:t>
      </w:r>
      <w:bookmarkStart w:id="64" w:name="_Hlk159553584"/>
      <w:r w:rsidR="00ED1F94">
        <w:rPr>
          <w:b/>
          <w:bCs/>
        </w:rPr>
        <w:t xml:space="preserve"> </w:t>
      </w:r>
      <w:r w:rsidR="00ED1F94">
        <w:t>(wod</w:t>
      </w:r>
      <w:r w:rsidR="00DB29E1">
        <w:t>ór</w:t>
      </w:r>
      <w:r w:rsidR="00ED1F94">
        <w:t xml:space="preserve"> wykorzystywany do procesów przemysłowych)</w:t>
      </w:r>
      <w:r w:rsidR="00DB29E1">
        <w:t xml:space="preserve">. </w:t>
      </w:r>
      <w:r w:rsidR="00A3757E">
        <w:t>To szczególnie ważne w branży produkcji nawozów sztucznych, czy w petrochemii. Przy czym trzeba podkreślić, że aby wykorzystany wodór został zaliczony do powyższego celu, musi zostać wytworzony w</w:t>
      </w:r>
      <w:r w:rsidR="00867C06">
        <w:t> </w:t>
      </w:r>
      <w:r w:rsidR="00A3757E">
        <w:t xml:space="preserve">nowej instalacji OZE. Instalacja OZE powinna być sprzężona z elektrolizerem również dla efektywności procesu, </w:t>
      </w:r>
      <w:r w:rsidR="00AA0248">
        <w:t>ale</w:t>
      </w:r>
      <w:r w:rsidR="00A3757E">
        <w:t xml:space="preserve"> ograniczy </w:t>
      </w:r>
      <w:r w:rsidR="00AA0248">
        <w:t xml:space="preserve">to </w:t>
      </w:r>
      <w:r w:rsidR="00A3757E">
        <w:t>potencjał wykorzystania nadwyżek OZE z rynku energii elektrycznej</w:t>
      </w:r>
      <w:r w:rsidR="008F7063">
        <w:t>.</w:t>
      </w:r>
    </w:p>
    <w:p w14:paraId="318433D7" w14:textId="4E9A70D5" w:rsidR="00893ACA" w:rsidRDefault="002318D0" w:rsidP="00093D74">
      <w:r>
        <w:t>Polska jest jednym z</w:t>
      </w:r>
      <w:r w:rsidR="00F07099">
        <w:t xml:space="preserve"> </w:t>
      </w:r>
      <w:r>
        <w:t xml:space="preserve">największych producentów wodoru w Europie, ale pochodzi on głównie z reformingu parowego </w:t>
      </w:r>
      <w:r w:rsidR="004F2F78">
        <w:t>gazu ziemnego</w:t>
      </w:r>
      <w:r>
        <w:t>.</w:t>
      </w:r>
      <w:r w:rsidR="002C7399">
        <w:t xml:space="preserve"> </w:t>
      </w:r>
      <w:r w:rsidR="00952815" w:rsidRPr="00196891">
        <w:t>Osiągnięcie celu zwiększenia udziału „zielonego” wodoru do 2030 r. jest oceniane jako szczególnie trudne</w:t>
      </w:r>
      <w:r w:rsidR="00952815">
        <w:t>.</w:t>
      </w:r>
      <w:r>
        <w:t xml:space="preserve"> </w:t>
      </w:r>
      <w:r w:rsidR="004B517D">
        <w:t>Zgodnie z</w:t>
      </w:r>
      <w:r>
        <w:t xml:space="preserve"> </w:t>
      </w:r>
      <w:r w:rsidR="004B517D">
        <w:t>szacunkami Ministerstwa Klimatu i Środowiska</w:t>
      </w:r>
      <w:r w:rsidR="00F07099">
        <w:t>,</w:t>
      </w:r>
      <w:r w:rsidR="004B517D">
        <w:t xml:space="preserve"> realizacja </w:t>
      </w:r>
      <w:r>
        <w:t xml:space="preserve">powyższego </w:t>
      </w:r>
      <w:r w:rsidR="004B517D">
        <w:t>celu na 2030 r</w:t>
      </w:r>
      <w:r w:rsidR="004B517D" w:rsidRPr="00F61C46">
        <w:rPr>
          <w:b/>
          <w:bCs/>
        </w:rPr>
        <w:t>. wymaga ok. 270 tys. t wodoru RFNBO</w:t>
      </w:r>
      <w:r w:rsidR="004B517D">
        <w:t xml:space="preserve"> </w:t>
      </w:r>
      <w:r w:rsidR="004B517D" w:rsidRPr="008E75AC">
        <w:t>jako surowc</w:t>
      </w:r>
      <w:r w:rsidR="00952815">
        <w:t>a</w:t>
      </w:r>
      <w:r w:rsidR="004B517D" w:rsidRPr="008E75AC">
        <w:t xml:space="preserve"> docelow</w:t>
      </w:r>
      <w:r w:rsidR="00952815">
        <w:t>ego</w:t>
      </w:r>
      <w:r w:rsidR="004B517D" w:rsidRPr="008E75AC">
        <w:t xml:space="preserve"> lub pośredni</w:t>
      </w:r>
      <w:r w:rsidR="00952815">
        <w:t>ego</w:t>
      </w:r>
      <w:r w:rsidR="004B517D" w:rsidRPr="008E75AC">
        <w:t xml:space="preserve"> do produkcji amoniaku</w:t>
      </w:r>
      <w:r w:rsidR="004B517D">
        <w:t xml:space="preserve">. Przez ostatnie 10 lat w Polsce największym odbiorcą wodoru był sektor nawozowy – dlatego </w:t>
      </w:r>
      <w:r w:rsidR="00FF001C">
        <w:t>większa część krajowego zużycia wodoru RFNBO (ok. 225 tys.</w:t>
      </w:r>
      <w:r w:rsidR="00C65C18">
        <w:t xml:space="preserve"> t</w:t>
      </w:r>
      <w:r w:rsidR="00FF001C">
        <w:t>) będzie związana z wytwarzaniem</w:t>
      </w:r>
      <w:r w:rsidR="004B517D">
        <w:t xml:space="preserve"> amoniaku do utrzymania produkcji nawozów. </w:t>
      </w:r>
    </w:p>
    <w:p w14:paraId="0233ABEE" w14:textId="60FD3848" w:rsidR="00893ACA" w:rsidRDefault="004B517D" w:rsidP="00893ACA">
      <w:pPr>
        <w:pStyle w:val="Cele"/>
      </w:pPr>
      <w:r w:rsidRPr="008E420F">
        <w:t xml:space="preserve">Do 2030 r. możliwe jest wybudowanie w Polsce </w:t>
      </w:r>
      <w:r w:rsidRPr="008F7063">
        <w:rPr>
          <w:b/>
          <w:bCs/>
        </w:rPr>
        <w:t>mocy produkcyjnych wodoru odnawialnego w wysokości ok. 43 tys. t</w:t>
      </w:r>
      <w:r w:rsidR="007C455C">
        <w:rPr>
          <w:b/>
          <w:bCs/>
        </w:rPr>
        <w:t xml:space="preserve"> </w:t>
      </w:r>
      <w:r w:rsidRPr="008F7063">
        <w:rPr>
          <w:rStyle w:val="Odwoanieprzypisudolnego"/>
          <w:b/>
          <w:bCs/>
        </w:rPr>
        <w:footnoteReference w:id="38"/>
      </w:r>
      <w:r w:rsidR="008F7063">
        <w:rPr>
          <w:b/>
          <w:bCs/>
        </w:rPr>
        <w:t xml:space="preserve">. Projektowany kontrakt </w:t>
      </w:r>
      <w:r w:rsidR="00A3757E">
        <w:rPr>
          <w:b/>
          <w:bCs/>
        </w:rPr>
        <w:t>różnicowy</w:t>
      </w:r>
      <w:r w:rsidR="008F7063">
        <w:rPr>
          <w:b/>
          <w:bCs/>
        </w:rPr>
        <w:t xml:space="preserve"> może zapewnić wytworzenie do</w:t>
      </w:r>
      <w:r w:rsidRPr="008F7063">
        <w:rPr>
          <w:b/>
          <w:bCs/>
        </w:rPr>
        <w:t xml:space="preserve"> 113</w:t>
      </w:r>
      <w:r w:rsidR="008E420F" w:rsidRPr="008F7063">
        <w:rPr>
          <w:b/>
          <w:bCs/>
        </w:rPr>
        <w:t> </w:t>
      </w:r>
      <w:r w:rsidRPr="008F7063">
        <w:rPr>
          <w:b/>
          <w:bCs/>
        </w:rPr>
        <w:t>tys. t</w:t>
      </w:r>
      <w:r w:rsidRPr="008E420F">
        <w:t xml:space="preserve"> </w:t>
      </w:r>
      <w:r w:rsidR="00AA0248">
        <w:t>tego surowca</w:t>
      </w:r>
      <w:r>
        <w:t xml:space="preserve">. </w:t>
      </w:r>
    </w:p>
    <w:p w14:paraId="5C5A944C" w14:textId="6D651EE9" w:rsidR="00093D74" w:rsidRDefault="004B517D" w:rsidP="00093D74">
      <w:r>
        <w:t xml:space="preserve">Pokrycie pozostałej części zapotrzebowania, czyli ok. 113 tys. t, </w:t>
      </w:r>
      <w:r w:rsidR="00896B12">
        <w:t>musiałoby</w:t>
      </w:r>
      <w:r>
        <w:t xml:space="preserve"> nastąpić w drodze importu wodoru odnawialnego lub zielonego amoniaku</w:t>
      </w:r>
      <w:r w:rsidR="00867C06">
        <w:t>, co aktualnie również jest problematyczne ze względu na trudności w transporcie wodoru</w:t>
      </w:r>
      <w:r w:rsidR="000D2EC4">
        <w:t>.</w:t>
      </w:r>
      <w:r w:rsidR="000D2EC4" w:rsidRPr="000D2EC4">
        <w:t xml:space="preserve"> </w:t>
      </w:r>
      <w:r w:rsidR="000D2EC4">
        <w:t>Realizacja celów RED III w zakresie wodoru RFNBO</w:t>
      </w:r>
      <w:r w:rsidR="00A3757E">
        <w:t>,</w:t>
      </w:r>
      <w:r w:rsidR="000D2EC4">
        <w:t xml:space="preserve"> to ogromne w</w:t>
      </w:r>
      <w:r w:rsidR="00A3757E">
        <w:t>y</w:t>
      </w:r>
      <w:r w:rsidR="000D2EC4">
        <w:t>zywanie</w:t>
      </w:r>
      <w:r w:rsidR="00867C06">
        <w:t xml:space="preserve"> najbliższych lat</w:t>
      </w:r>
      <w:r w:rsidR="000D2EC4">
        <w:t xml:space="preserve"> dla wielu państw członkowskich, co wraz z ograniczoną dostępnością importu surowca wpływa również na konkurencję w tym zakresie</w:t>
      </w:r>
      <w:r>
        <w:t>.</w:t>
      </w:r>
      <w:r>
        <w:rPr>
          <w:rStyle w:val="Odwoanieprzypisudolnego"/>
        </w:rPr>
        <w:footnoteReference w:id="39"/>
      </w:r>
    </w:p>
    <w:bookmarkEnd w:id="64"/>
    <w:p w14:paraId="0F5D409F" w14:textId="3717AEA2" w:rsidR="00256586" w:rsidRDefault="00256586" w:rsidP="00256586">
      <w:pPr>
        <w:pStyle w:val="Bezodstpw"/>
      </w:pPr>
    </w:p>
    <w:tbl>
      <w:tblPr>
        <w:tblStyle w:val="Tabela-Siatka"/>
        <w:tblpPr w:leftFromText="141" w:rightFromText="141" w:vertAnchor="text" w:horzAnchor="margin" w:tblpXSpec="right" w:tblpY="14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77"/>
      </w:tblGrid>
      <w:tr w:rsidR="00256586" w14:paraId="25751BA6" w14:textId="77777777" w:rsidTr="00256586">
        <w:trPr>
          <w:trHeight w:val="340"/>
        </w:trPr>
        <w:tc>
          <w:tcPr>
            <w:tcW w:w="0" w:type="auto"/>
            <w:vAlign w:val="center"/>
          </w:tcPr>
          <w:p w14:paraId="0DAF9F0B" w14:textId="44BE9C99" w:rsidR="00256586" w:rsidRPr="001B1984" w:rsidRDefault="00256586" w:rsidP="00256586">
            <w:pPr>
              <w:jc w:val="center"/>
              <w:rPr>
                <w:rFonts w:ascii="Bahnschrift" w:hAnsi="Bahnschrift"/>
                <w:color w:val="70AD47" w:themeColor="accent6"/>
                <w:sz w:val="48"/>
                <w:szCs w:val="48"/>
              </w:rPr>
            </w:pPr>
            <w:r>
              <w:rPr>
                <w:rFonts w:ascii="Bahnschrift" w:hAnsi="Bahnschrift"/>
                <w:color w:val="70AD47" w:themeColor="accent6"/>
                <w:sz w:val="48"/>
                <w:szCs w:val="48"/>
              </w:rPr>
              <w:t>CCS</w:t>
            </w:r>
            <w:r w:rsidR="00304093">
              <w:rPr>
                <w:rFonts w:ascii="Bahnschrift" w:hAnsi="Bahnschrift"/>
                <w:color w:val="70AD47" w:themeColor="accent6"/>
                <w:sz w:val="48"/>
                <w:szCs w:val="48"/>
              </w:rPr>
              <w:t>/CCU</w:t>
            </w:r>
          </w:p>
        </w:tc>
      </w:tr>
      <w:tr w:rsidR="00256586" w14:paraId="130DB015" w14:textId="77777777" w:rsidTr="00256586">
        <w:trPr>
          <w:trHeight w:val="340"/>
        </w:trPr>
        <w:tc>
          <w:tcPr>
            <w:tcW w:w="0" w:type="auto"/>
            <w:vAlign w:val="center"/>
          </w:tcPr>
          <w:p w14:paraId="18B2810E" w14:textId="77777777" w:rsidR="00256586" w:rsidRPr="001B1984" w:rsidRDefault="00256586" w:rsidP="00256586">
            <w:pPr>
              <w:jc w:val="center"/>
              <w:rPr>
                <w:rFonts w:ascii="Bahnschrift" w:hAnsi="Bahnschrift"/>
                <w:color w:val="70AD47" w:themeColor="accent6"/>
                <w:sz w:val="26"/>
                <w:szCs w:val="26"/>
              </w:rPr>
            </w:pPr>
            <w:r w:rsidRPr="001B1984">
              <w:rPr>
                <w:rFonts w:ascii="Bahnschrift" w:hAnsi="Bahnschrift"/>
                <w:color w:val="70AD47" w:themeColor="accent6"/>
                <w:sz w:val="26"/>
                <w:szCs w:val="26"/>
              </w:rPr>
              <w:t>w przemyśle</w:t>
            </w:r>
          </w:p>
        </w:tc>
      </w:tr>
    </w:tbl>
    <w:p w14:paraId="4956412E" w14:textId="61B412FB" w:rsidR="00304093" w:rsidRDefault="005457D4" w:rsidP="00325CD4">
      <w:pPr>
        <w:spacing w:before="120" w:after="120" w:line="276" w:lineRule="auto"/>
        <w:rPr>
          <w:szCs w:val="20"/>
        </w:rPr>
      </w:pPr>
      <w:r>
        <w:rPr>
          <w:szCs w:val="20"/>
        </w:rPr>
        <w:t xml:space="preserve">Jednym </w:t>
      </w:r>
      <w:r w:rsidR="00E05AA0">
        <w:rPr>
          <w:szCs w:val="20"/>
        </w:rPr>
        <w:t>ze sposób</w:t>
      </w:r>
      <w:r>
        <w:rPr>
          <w:szCs w:val="20"/>
        </w:rPr>
        <w:t xml:space="preserve"> </w:t>
      </w:r>
      <w:r w:rsidRPr="00737BF2">
        <w:rPr>
          <w:szCs w:val="20"/>
        </w:rPr>
        <w:t>redukcj</w:t>
      </w:r>
      <w:r>
        <w:rPr>
          <w:szCs w:val="20"/>
        </w:rPr>
        <w:t>i</w:t>
      </w:r>
      <w:r w:rsidRPr="00737BF2">
        <w:rPr>
          <w:szCs w:val="20"/>
        </w:rPr>
        <w:t xml:space="preserve"> emisji</w:t>
      </w:r>
      <w:r>
        <w:rPr>
          <w:szCs w:val="20"/>
        </w:rPr>
        <w:t xml:space="preserve"> </w:t>
      </w:r>
      <w:r w:rsidR="00E05AA0">
        <w:rPr>
          <w:szCs w:val="20"/>
        </w:rPr>
        <w:t xml:space="preserve">procesowych </w:t>
      </w:r>
      <w:r>
        <w:rPr>
          <w:szCs w:val="20"/>
        </w:rPr>
        <w:t>w przemyśle</w:t>
      </w:r>
      <w:r w:rsidRPr="00737BF2">
        <w:rPr>
          <w:szCs w:val="20"/>
        </w:rPr>
        <w:t xml:space="preserve"> </w:t>
      </w:r>
      <w:r>
        <w:rPr>
          <w:szCs w:val="20"/>
        </w:rPr>
        <w:t xml:space="preserve">są również </w:t>
      </w:r>
      <w:r w:rsidRPr="00E05AA0">
        <w:rPr>
          <w:b/>
          <w:bCs/>
          <w:szCs w:val="20"/>
        </w:rPr>
        <w:t>technologie wychwytu, składowania i wykorzystania CO</w:t>
      </w:r>
      <w:r w:rsidRPr="00E05AA0">
        <w:rPr>
          <w:b/>
          <w:bCs/>
          <w:szCs w:val="20"/>
          <w:vertAlign w:val="subscript"/>
        </w:rPr>
        <w:t>2</w:t>
      </w:r>
      <w:r>
        <w:rPr>
          <w:szCs w:val="20"/>
        </w:rPr>
        <w:t>. Zastosowanie tego rodzaju instalacji może pozwolić na obniżenie emisji w sektorach o trudnych do uniknięcia emisjach, jak</w:t>
      </w:r>
      <w:r w:rsidR="00144326">
        <w:rPr>
          <w:szCs w:val="20"/>
        </w:rPr>
        <w:t xml:space="preserve"> </w:t>
      </w:r>
      <w:r>
        <w:rPr>
          <w:szCs w:val="20"/>
        </w:rPr>
        <w:t xml:space="preserve">przemysł cementowy, stalowy, chemiczny. </w:t>
      </w:r>
    </w:p>
    <w:p w14:paraId="1007697E" w14:textId="75EE96DB" w:rsidR="00304093" w:rsidRDefault="00304093" w:rsidP="00325CD4">
      <w:pPr>
        <w:spacing w:before="120" w:after="120" w:line="276" w:lineRule="auto"/>
        <w:rPr>
          <w:szCs w:val="20"/>
        </w:rPr>
      </w:pPr>
      <w:r w:rsidRPr="00304093">
        <w:rPr>
          <w:szCs w:val="20"/>
        </w:rPr>
        <w:t xml:space="preserve">CCS umożliwia potencjalne wykorzystanie efektów skali bowiem z tych samych elementów infrastruktury (np. rurociągów, stacji zatłaczania) skorzystać mogą </w:t>
      </w:r>
      <w:r>
        <w:rPr>
          <w:szCs w:val="20"/>
        </w:rPr>
        <w:t xml:space="preserve">różne </w:t>
      </w:r>
      <w:r w:rsidRPr="00304093">
        <w:rPr>
          <w:szCs w:val="20"/>
        </w:rPr>
        <w:t>branże. Zarazem wiele innych branż przemysłu wykorzystuje CO</w:t>
      </w:r>
      <w:r w:rsidRPr="00304093">
        <w:rPr>
          <w:szCs w:val="20"/>
          <w:vertAlign w:val="subscript"/>
        </w:rPr>
        <w:t>2</w:t>
      </w:r>
      <w:r w:rsidRPr="00304093">
        <w:rPr>
          <w:szCs w:val="20"/>
        </w:rPr>
        <w:t xml:space="preserve"> jako surowiec do produkcji swoich produktów, takich jak paliwa, chemikalia czy materiały budowlane, a dwutlenek węgla jest szeroko wykorzystywany w procesach przemysłowych do przepływów cieczy w obrębie procesów produkcyjnych. Część wychwyconego </w:t>
      </w:r>
      <w:r>
        <w:rPr>
          <w:szCs w:val="20"/>
        </w:rPr>
        <w:t>CO</w:t>
      </w:r>
      <w:r w:rsidRPr="00304093">
        <w:rPr>
          <w:szCs w:val="20"/>
          <w:vertAlign w:val="subscript"/>
        </w:rPr>
        <w:t>2</w:t>
      </w:r>
      <w:r>
        <w:rPr>
          <w:szCs w:val="20"/>
        </w:rPr>
        <w:t xml:space="preserve"> </w:t>
      </w:r>
      <w:r w:rsidRPr="00304093">
        <w:rPr>
          <w:szCs w:val="20"/>
        </w:rPr>
        <w:t>mogłaby być wykorzystywana na potrzeby krajowej produkcji w przemyśle, a część składowana w odpowiednich dla tego rozwiązania lokalizacjach.</w:t>
      </w:r>
    </w:p>
    <w:p w14:paraId="0FB30C25" w14:textId="1B02F225" w:rsidR="005457D4" w:rsidRDefault="00A00822" w:rsidP="00325CD4">
      <w:pPr>
        <w:spacing w:before="120" w:after="120" w:line="276" w:lineRule="auto"/>
        <w:rPr>
          <w:szCs w:val="20"/>
        </w:rPr>
      </w:pPr>
      <w:r>
        <w:rPr>
          <w:szCs w:val="20"/>
        </w:rPr>
        <w:t>P</w:t>
      </w:r>
      <w:r>
        <w:rPr>
          <w:rFonts w:eastAsia="Times New Roman" w:cs="Arial"/>
          <w:color w:val="000000"/>
          <w:kern w:val="0"/>
          <w:szCs w:val="20"/>
          <w:lang w:eastAsia="pl-PL"/>
          <w14:ligatures w14:val="none"/>
        </w:rPr>
        <w:t xml:space="preserve">odjęcie decyzji inwestycyjnych i </w:t>
      </w:r>
      <w:r w:rsidRPr="0034459F">
        <w:rPr>
          <w:rFonts w:eastAsia="Times New Roman" w:cs="Arial"/>
          <w:color w:val="000000"/>
          <w:kern w:val="0"/>
          <w:szCs w:val="20"/>
          <w:lang w:eastAsia="pl-PL"/>
          <w14:ligatures w14:val="none"/>
        </w:rPr>
        <w:t>udział podmiotów w projektach CCS</w:t>
      </w:r>
      <w:r w:rsidR="00F022DF">
        <w:rPr>
          <w:rFonts w:eastAsia="Times New Roman" w:cs="Arial"/>
          <w:color w:val="000000"/>
          <w:kern w:val="0"/>
          <w:szCs w:val="20"/>
          <w:lang w:eastAsia="pl-PL"/>
          <w14:ligatures w14:val="none"/>
        </w:rPr>
        <w:t>/CCU</w:t>
      </w:r>
      <w:r w:rsidRPr="0034459F">
        <w:rPr>
          <w:rFonts w:eastAsia="Times New Roman" w:cs="Arial"/>
          <w:color w:val="000000"/>
          <w:kern w:val="0"/>
          <w:szCs w:val="20"/>
          <w:lang w:eastAsia="pl-PL"/>
          <w14:ligatures w14:val="none"/>
        </w:rPr>
        <w:t xml:space="preserve"> zależ</w:t>
      </w:r>
      <w:r>
        <w:rPr>
          <w:rFonts w:eastAsia="Times New Roman" w:cs="Arial"/>
          <w:color w:val="000000"/>
          <w:kern w:val="0"/>
          <w:szCs w:val="20"/>
          <w:lang w:eastAsia="pl-PL"/>
          <w14:ligatures w14:val="none"/>
        </w:rPr>
        <w:t>eć będzie</w:t>
      </w:r>
      <w:r w:rsidRPr="0034459F">
        <w:rPr>
          <w:rFonts w:eastAsia="Times New Roman" w:cs="Arial"/>
          <w:color w:val="000000"/>
          <w:kern w:val="0"/>
          <w:szCs w:val="20"/>
          <w:lang w:eastAsia="pl-PL"/>
          <w14:ligatures w14:val="none"/>
        </w:rPr>
        <w:t xml:space="preserve"> od szeregu czynników</w:t>
      </w:r>
      <w:r>
        <w:rPr>
          <w:rFonts w:eastAsia="Times New Roman" w:cs="Arial"/>
          <w:color w:val="000000"/>
          <w:kern w:val="0"/>
          <w:szCs w:val="20"/>
          <w:lang w:eastAsia="pl-PL"/>
          <w14:ligatures w14:val="none"/>
        </w:rPr>
        <w:t>, takich jak</w:t>
      </w:r>
      <w:r w:rsidRPr="0034459F">
        <w:rPr>
          <w:rFonts w:eastAsia="Times New Roman" w:cs="Arial"/>
          <w:color w:val="000000"/>
          <w:kern w:val="0"/>
          <w:szCs w:val="20"/>
          <w:lang w:eastAsia="pl-PL"/>
          <w14:ligatures w14:val="none"/>
        </w:rPr>
        <w:t xml:space="preserve"> </w:t>
      </w:r>
      <w:r>
        <w:rPr>
          <w:rFonts w:eastAsia="Times New Roman" w:cs="Arial"/>
          <w:color w:val="000000"/>
          <w:kern w:val="0"/>
          <w:szCs w:val="20"/>
          <w:lang w:eastAsia="pl-PL"/>
          <w14:ligatures w14:val="none"/>
        </w:rPr>
        <w:t xml:space="preserve">m.in. </w:t>
      </w:r>
      <w:r w:rsidRPr="0034459F">
        <w:rPr>
          <w:rFonts w:eastAsia="Times New Roman" w:cs="Arial"/>
          <w:color w:val="000000"/>
          <w:kern w:val="0"/>
          <w:szCs w:val="20"/>
          <w:lang w:eastAsia="pl-PL"/>
          <w14:ligatures w14:val="none"/>
        </w:rPr>
        <w:t>koszt uprawnień do emisji, cen</w:t>
      </w:r>
      <w:r>
        <w:rPr>
          <w:rFonts w:eastAsia="Times New Roman" w:cs="Arial"/>
          <w:color w:val="000000"/>
          <w:kern w:val="0"/>
          <w:szCs w:val="20"/>
          <w:lang w:eastAsia="pl-PL"/>
          <w14:ligatures w14:val="none"/>
        </w:rPr>
        <w:t>y</w:t>
      </w:r>
      <w:r w:rsidRPr="0034459F">
        <w:rPr>
          <w:rFonts w:eastAsia="Times New Roman" w:cs="Arial"/>
          <w:color w:val="000000"/>
          <w:kern w:val="0"/>
          <w:szCs w:val="20"/>
          <w:lang w:eastAsia="pl-PL"/>
          <w14:ligatures w14:val="none"/>
        </w:rPr>
        <w:t xml:space="preserve"> paliw i energii elektrycznej</w:t>
      </w:r>
      <w:r>
        <w:rPr>
          <w:rFonts w:eastAsia="Times New Roman" w:cs="Arial"/>
          <w:color w:val="000000"/>
          <w:kern w:val="0"/>
          <w:szCs w:val="20"/>
          <w:lang w:eastAsia="pl-PL"/>
          <w14:ligatures w14:val="none"/>
        </w:rPr>
        <w:t xml:space="preserve">, a także od </w:t>
      </w:r>
      <w:r w:rsidRPr="0034459F">
        <w:rPr>
          <w:rFonts w:eastAsia="Times New Roman" w:cs="Arial"/>
          <w:color w:val="000000"/>
          <w:kern w:val="0"/>
          <w:szCs w:val="20"/>
          <w:lang w:eastAsia="pl-PL"/>
          <w14:ligatures w14:val="none"/>
        </w:rPr>
        <w:t>dostępnoś</w:t>
      </w:r>
      <w:r w:rsidR="00E05AA0">
        <w:rPr>
          <w:rFonts w:eastAsia="Times New Roman" w:cs="Arial"/>
          <w:color w:val="000000"/>
          <w:kern w:val="0"/>
          <w:szCs w:val="20"/>
          <w:lang w:eastAsia="pl-PL"/>
          <w14:ligatures w14:val="none"/>
        </w:rPr>
        <w:t>ci</w:t>
      </w:r>
      <w:r w:rsidRPr="0034459F">
        <w:rPr>
          <w:rFonts w:eastAsia="Times New Roman" w:cs="Arial"/>
          <w:color w:val="000000"/>
          <w:kern w:val="0"/>
          <w:szCs w:val="20"/>
          <w:lang w:eastAsia="pl-PL"/>
          <w14:ligatures w14:val="none"/>
        </w:rPr>
        <w:t xml:space="preserve"> alternatyw w zakresie redukcji emisji </w:t>
      </w:r>
      <w:r w:rsidR="00F022DF">
        <w:rPr>
          <w:rFonts w:eastAsia="Times New Roman" w:cs="Arial"/>
          <w:color w:val="000000"/>
          <w:kern w:val="0"/>
          <w:szCs w:val="20"/>
          <w:lang w:eastAsia="pl-PL"/>
          <w14:ligatures w14:val="none"/>
        </w:rPr>
        <w:t>GC</w:t>
      </w:r>
      <w:r>
        <w:rPr>
          <w:rFonts w:eastAsia="Times New Roman" w:cs="Arial"/>
          <w:color w:val="000000"/>
          <w:kern w:val="0"/>
          <w:szCs w:val="20"/>
          <w:lang w:eastAsia="pl-PL"/>
          <w14:ligatures w14:val="none"/>
        </w:rPr>
        <w:t>. Wyzwaniem dla rozwoju projektów CCS są wysokie koszty budowy infrastruktury</w:t>
      </w:r>
      <w:r w:rsidR="00325CD4">
        <w:rPr>
          <w:rFonts w:eastAsia="Times New Roman" w:cs="Arial"/>
          <w:color w:val="000000"/>
          <w:kern w:val="0"/>
          <w:szCs w:val="20"/>
          <w:lang w:eastAsia="pl-PL"/>
          <w14:ligatures w14:val="none"/>
        </w:rPr>
        <w:t xml:space="preserve">, </w:t>
      </w:r>
      <w:r w:rsidR="00726240">
        <w:rPr>
          <w:rFonts w:eastAsia="Times New Roman" w:cs="Arial"/>
          <w:color w:val="000000"/>
          <w:kern w:val="0"/>
          <w:szCs w:val="20"/>
          <w:lang w:eastAsia="pl-PL"/>
          <w14:ligatures w14:val="none"/>
        </w:rPr>
        <w:t xml:space="preserve">potencjalna i </w:t>
      </w:r>
      <w:r w:rsidR="00325CD4">
        <w:rPr>
          <w:rFonts w:eastAsia="Times New Roman" w:cs="Arial"/>
          <w:color w:val="000000"/>
          <w:kern w:val="0"/>
          <w:szCs w:val="20"/>
          <w:lang w:eastAsia="pl-PL"/>
          <w14:ligatures w14:val="none"/>
        </w:rPr>
        <w:t>realna dostępność infrastruktury magazynowej i transportowej CO</w:t>
      </w:r>
      <w:r w:rsidR="00325CD4" w:rsidRPr="00325CD4">
        <w:rPr>
          <w:rFonts w:eastAsia="Times New Roman" w:cs="Arial"/>
          <w:color w:val="000000"/>
          <w:kern w:val="0"/>
          <w:szCs w:val="20"/>
          <w:vertAlign w:val="subscript"/>
          <w:lang w:eastAsia="pl-PL"/>
          <w14:ligatures w14:val="none"/>
        </w:rPr>
        <w:t>2</w:t>
      </w:r>
      <w:r>
        <w:rPr>
          <w:rFonts w:eastAsia="Times New Roman" w:cs="Arial"/>
          <w:color w:val="000000"/>
          <w:kern w:val="0"/>
          <w:szCs w:val="20"/>
          <w:lang w:eastAsia="pl-PL"/>
          <w14:ligatures w14:val="none"/>
        </w:rPr>
        <w:t xml:space="preserve"> oraz konieczność koordynacji w ramach całego łańcucha wartości.</w:t>
      </w:r>
      <w:r w:rsidRPr="00737BF2">
        <w:rPr>
          <w:rFonts w:eastAsia="Times New Roman" w:cs="Arial"/>
          <w:color w:val="000000"/>
          <w:kern w:val="0"/>
          <w:szCs w:val="20"/>
          <w:lang w:eastAsia="pl-PL"/>
          <w14:ligatures w14:val="none"/>
        </w:rPr>
        <w:t xml:space="preserve"> </w:t>
      </w:r>
      <w:r w:rsidRPr="004E144B">
        <w:rPr>
          <w:szCs w:val="20"/>
        </w:rPr>
        <w:t xml:space="preserve">Równie ważnym czynnikiem mającym wpływ </w:t>
      </w:r>
      <w:r w:rsidR="004C5D61">
        <w:rPr>
          <w:szCs w:val="20"/>
        </w:rPr>
        <w:t>na rozwój tej technologii</w:t>
      </w:r>
      <w:r w:rsidR="00AA0248">
        <w:rPr>
          <w:szCs w:val="20"/>
        </w:rPr>
        <w:t xml:space="preserve"> i</w:t>
      </w:r>
      <w:r w:rsidRPr="004E144B">
        <w:rPr>
          <w:szCs w:val="20"/>
        </w:rPr>
        <w:t xml:space="preserve"> </w:t>
      </w:r>
      <w:r w:rsidR="00AA0248" w:rsidRPr="004E144B">
        <w:rPr>
          <w:szCs w:val="20"/>
        </w:rPr>
        <w:t xml:space="preserve">szerokiego wdrożenia w skali komercyjnej </w:t>
      </w:r>
      <w:r w:rsidR="00F52AFC">
        <w:rPr>
          <w:szCs w:val="20"/>
        </w:rPr>
        <w:t>może mieć</w:t>
      </w:r>
      <w:r w:rsidRPr="004E144B">
        <w:rPr>
          <w:szCs w:val="20"/>
        </w:rPr>
        <w:t xml:space="preserve"> uzyskanie akceptacji społecznej.</w:t>
      </w:r>
    </w:p>
    <w:p w14:paraId="0AACBF83" w14:textId="27097968" w:rsidR="00BC214E" w:rsidRDefault="004F2F78" w:rsidP="00A00822">
      <w:pPr>
        <w:spacing w:before="120" w:after="120" w:line="276" w:lineRule="auto"/>
      </w:pPr>
      <w:bookmarkStart w:id="65" w:name="_Hlk177548707"/>
      <w:r>
        <w:rPr>
          <w:szCs w:val="20"/>
        </w:rPr>
        <w:lastRenderedPageBreak/>
        <w:t xml:space="preserve">Aktualnie </w:t>
      </w:r>
      <w:r w:rsidR="00A3757E">
        <w:rPr>
          <w:szCs w:val="20"/>
        </w:rPr>
        <w:t xml:space="preserve">tego rodzaju </w:t>
      </w:r>
      <w:r>
        <w:rPr>
          <w:szCs w:val="20"/>
        </w:rPr>
        <w:t xml:space="preserve">technologia nie jest spopularyzowana, dlatego </w:t>
      </w:r>
      <w:r w:rsidR="00A537A6">
        <w:rPr>
          <w:szCs w:val="20"/>
        </w:rPr>
        <w:t>UE</w:t>
      </w:r>
      <w:r>
        <w:rPr>
          <w:szCs w:val="20"/>
        </w:rPr>
        <w:t xml:space="preserve"> postawiła </w:t>
      </w:r>
      <w:r w:rsidR="00A3757E">
        <w:rPr>
          <w:szCs w:val="20"/>
        </w:rPr>
        <w:t xml:space="preserve">za </w:t>
      </w:r>
      <w:r>
        <w:rPr>
          <w:szCs w:val="20"/>
        </w:rPr>
        <w:t>cel</w:t>
      </w:r>
      <w:r w:rsidR="00A537A6">
        <w:rPr>
          <w:szCs w:val="20"/>
        </w:rPr>
        <w:t xml:space="preserve"> </w:t>
      </w:r>
      <w:r w:rsidR="00A537A6" w:rsidRPr="00A537A6">
        <w:rPr>
          <w:szCs w:val="20"/>
        </w:rPr>
        <w:t>osiągnię</w:t>
      </w:r>
      <w:r>
        <w:rPr>
          <w:szCs w:val="20"/>
        </w:rPr>
        <w:t>cie do 2030 r.</w:t>
      </w:r>
      <w:r w:rsidR="00A537A6" w:rsidRPr="00A537A6">
        <w:rPr>
          <w:szCs w:val="20"/>
        </w:rPr>
        <w:t xml:space="preserve"> roczn</w:t>
      </w:r>
      <w:r>
        <w:rPr>
          <w:szCs w:val="20"/>
        </w:rPr>
        <w:t>ej</w:t>
      </w:r>
      <w:r w:rsidR="00A537A6" w:rsidRPr="00A537A6">
        <w:rPr>
          <w:szCs w:val="20"/>
        </w:rPr>
        <w:t xml:space="preserve"> moc</w:t>
      </w:r>
      <w:r>
        <w:rPr>
          <w:szCs w:val="20"/>
        </w:rPr>
        <w:t>y</w:t>
      </w:r>
      <w:r w:rsidR="00A537A6" w:rsidRPr="00A537A6">
        <w:rPr>
          <w:szCs w:val="20"/>
        </w:rPr>
        <w:t xml:space="preserve"> zatłaczania wynosząc</w:t>
      </w:r>
      <w:r w:rsidR="00023909">
        <w:rPr>
          <w:szCs w:val="20"/>
        </w:rPr>
        <w:t>ej</w:t>
      </w:r>
      <w:r w:rsidR="00A537A6" w:rsidRPr="00A537A6">
        <w:rPr>
          <w:szCs w:val="20"/>
        </w:rPr>
        <w:t xml:space="preserve"> co najmniej 50 mln t CO</w:t>
      </w:r>
      <w:r w:rsidR="00A537A6" w:rsidRPr="00E57B0A">
        <w:rPr>
          <w:szCs w:val="20"/>
          <w:vertAlign w:val="subscript"/>
        </w:rPr>
        <w:t>2</w:t>
      </w:r>
      <w:r w:rsidR="00A537A6" w:rsidRPr="00A537A6">
        <w:rPr>
          <w:szCs w:val="20"/>
        </w:rPr>
        <w:t xml:space="preserve"> w</w:t>
      </w:r>
      <w:r>
        <w:rPr>
          <w:szCs w:val="20"/>
        </w:rPr>
        <w:t> </w:t>
      </w:r>
      <w:r w:rsidR="00A537A6" w:rsidRPr="00A537A6">
        <w:rPr>
          <w:szCs w:val="20"/>
        </w:rPr>
        <w:t>składowiskach</w:t>
      </w:r>
      <w:r w:rsidR="00E57B0A">
        <w:rPr>
          <w:szCs w:val="20"/>
        </w:rPr>
        <w:t xml:space="preserve"> </w:t>
      </w:r>
      <w:r w:rsidR="00A537A6" w:rsidRPr="00A537A6">
        <w:rPr>
          <w:szCs w:val="20"/>
        </w:rPr>
        <w:t xml:space="preserve">na terytorium </w:t>
      </w:r>
      <w:r w:rsidR="00E57B0A">
        <w:rPr>
          <w:szCs w:val="20"/>
        </w:rPr>
        <w:t>U</w:t>
      </w:r>
      <w:r>
        <w:rPr>
          <w:szCs w:val="20"/>
        </w:rPr>
        <w:t>E</w:t>
      </w:r>
      <w:r w:rsidR="00E57B0A">
        <w:rPr>
          <w:szCs w:val="20"/>
        </w:rPr>
        <w:t xml:space="preserve">. </w:t>
      </w:r>
      <w:r w:rsidR="00A67B83" w:rsidRPr="002F406F">
        <w:rPr>
          <w:szCs w:val="20"/>
        </w:rPr>
        <w:t xml:space="preserve">Wdrażanie technologii CCS oraz obowiązków </w:t>
      </w:r>
      <w:r w:rsidR="002F406F" w:rsidRPr="002F406F">
        <w:rPr>
          <w:szCs w:val="20"/>
        </w:rPr>
        <w:t xml:space="preserve">w tym obszarze </w:t>
      </w:r>
      <w:r w:rsidR="00A67B83" w:rsidRPr="002F406F">
        <w:rPr>
          <w:szCs w:val="20"/>
        </w:rPr>
        <w:t>wynikających z rozporządzenia</w:t>
      </w:r>
      <w:r w:rsidR="002F406F">
        <w:rPr>
          <w:szCs w:val="20"/>
        </w:rPr>
        <w:t xml:space="preserve"> UE 2024/1735, tzw.</w:t>
      </w:r>
      <w:r w:rsidR="00A67B83" w:rsidRPr="002F406F">
        <w:rPr>
          <w:szCs w:val="20"/>
        </w:rPr>
        <w:t xml:space="preserve"> </w:t>
      </w:r>
      <w:r w:rsidR="00A67B83" w:rsidRPr="00E36BEA">
        <w:rPr>
          <w:i/>
          <w:iCs/>
          <w:szCs w:val="20"/>
        </w:rPr>
        <w:t>Net Zero Industry Act</w:t>
      </w:r>
      <w:r w:rsidR="00A67B83" w:rsidRPr="002F406F">
        <w:rPr>
          <w:szCs w:val="20"/>
        </w:rPr>
        <w:t xml:space="preserve"> </w:t>
      </w:r>
      <w:r w:rsidR="002F406F">
        <w:rPr>
          <w:szCs w:val="20"/>
        </w:rPr>
        <w:t xml:space="preserve">– </w:t>
      </w:r>
      <w:r w:rsidR="00A67B83" w:rsidRPr="002F406F">
        <w:rPr>
          <w:szCs w:val="20"/>
        </w:rPr>
        <w:t>NZIA</w:t>
      </w:r>
      <w:r w:rsidR="002F406F">
        <w:rPr>
          <w:szCs w:val="20"/>
        </w:rPr>
        <w:t>,</w:t>
      </w:r>
      <w:r w:rsidR="00A67B83" w:rsidRPr="002F406F">
        <w:rPr>
          <w:szCs w:val="20"/>
        </w:rPr>
        <w:t xml:space="preserve"> spoczywać będzie zarówno na państwach członkowskich</w:t>
      </w:r>
      <w:r w:rsidR="002F406F">
        <w:rPr>
          <w:szCs w:val="20"/>
        </w:rPr>
        <w:t>.</w:t>
      </w:r>
      <w:r w:rsidR="00A67B83" w:rsidRPr="002F406F">
        <w:rPr>
          <w:szCs w:val="20"/>
        </w:rPr>
        <w:t xml:space="preserve"> jak i na firmach wydobywających węglowodory (w Polski będzie to przede wszystkim Orlen</w:t>
      </w:r>
      <w:r w:rsidR="002F406F" w:rsidRPr="002F406F">
        <w:rPr>
          <w:szCs w:val="20"/>
        </w:rPr>
        <w:t xml:space="preserve"> S.A.).</w:t>
      </w:r>
      <w:r w:rsidR="00A67B83">
        <w:rPr>
          <w:b/>
          <w:bCs/>
          <w:szCs w:val="20"/>
        </w:rPr>
        <w:t xml:space="preserve"> </w:t>
      </w:r>
      <w:r w:rsidR="00B35CD0">
        <w:rPr>
          <w:szCs w:val="20"/>
        </w:rPr>
        <w:t xml:space="preserve">Państwa członkowskie mają </w:t>
      </w:r>
      <w:r>
        <w:rPr>
          <w:szCs w:val="20"/>
        </w:rPr>
        <w:t>o</w:t>
      </w:r>
      <w:r w:rsidR="00B35CD0">
        <w:rPr>
          <w:szCs w:val="20"/>
        </w:rPr>
        <w:t>kreśl</w:t>
      </w:r>
      <w:r>
        <w:rPr>
          <w:szCs w:val="20"/>
        </w:rPr>
        <w:t>ić</w:t>
      </w:r>
      <w:r w:rsidR="00B35CD0">
        <w:rPr>
          <w:szCs w:val="20"/>
        </w:rPr>
        <w:t xml:space="preserve"> </w:t>
      </w:r>
      <w:r w:rsidR="00B35CD0" w:rsidRPr="00B35CD0">
        <w:rPr>
          <w:szCs w:val="20"/>
        </w:rPr>
        <w:t>obszar</w:t>
      </w:r>
      <w:r>
        <w:rPr>
          <w:szCs w:val="20"/>
        </w:rPr>
        <w:t>y</w:t>
      </w:r>
      <w:r w:rsidR="00B35CD0" w:rsidRPr="00B35CD0">
        <w:rPr>
          <w:szCs w:val="20"/>
        </w:rPr>
        <w:t>, na których składowiska CO</w:t>
      </w:r>
      <w:r w:rsidR="00B35CD0" w:rsidRPr="00B35CD0">
        <w:rPr>
          <w:szCs w:val="20"/>
          <w:vertAlign w:val="subscript"/>
        </w:rPr>
        <w:t>2</w:t>
      </w:r>
      <w:r w:rsidR="00B35CD0" w:rsidRPr="00B35CD0">
        <w:rPr>
          <w:szCs w:val="20"/>
        </w:rPr>
        <w:t xml:space="preserve"> mogą być dozwolone</w:t>
      </w:r>
      <w:r w:rsidR="00306029">
        <w:rPr>
          <w:szCs w:val="20"/>
        </w:rPr>
        <w:t xml:space="preserve">. Ponadto podmioty wydobywające węglowodory powinny podać </w:t>
      </w:r>
      <w:r w:rsidR="00306029">
        <w:t>do wiadomości publicznej dane geologiczne dotyczące zakładów produkcyjnych, które zostały zlikwidowane lub zostały zgłoszone do likwidacji – jako potencjalne miejsca składowania</w:t>
      </w:r>
      <w:r w:rsidR="00726240">
        <w:t xml:space="preserve"> CO</w:t>
      </w:r>
      <w:r w:rsidR="00726240" w:rsidRPr="00726240">
        <w:rPr>
          <w:vertAlign w:val="subscript"/>
        </w:rPr>
        <w:t>2</w:t>
      </w:r>
      <w:r w:rsidR="00306029">
        <w:t xml:space="preserve">. </w:t>
      </w:r>
    </w:p>
    <w:bookmarkEnd w:id="65"/>
    <w:p w14:paraId="55CDB417" w14:textId="5758F723" w:rsidR="007C094D" w:rsidRPr="00BC214E" w:rsidRDefault="00023909" w:rsidP="00A00822">
      <w:pPr>
        <w:spacing w:before="120" w:after="120" w:line="276" w:lineRule="auto"/>
      </w:pPr>
      <w:r>
        <w:t xml:space="preserve">W lipcu 2024 r. podjęto inicjatywę </w:t>
      </w:r>
      <w:r w:rsidRPr="007C094D">
        <w:t>zawarcia</w:t>
      </w:r>
      <w:r w:rsidRPr="007C094D">
        <w:rPr>
          <w:i/>
          <w:iCs/>
        </w:rPr>
        <w:t xml:space="preserve"> listu intencyjnego w sprawie rozwoju technologii sekwestracji </w:t>
      </w:r>
      <w:r>
        <w:rPr>
          <w:i/>
          <w:iCs/>
        </w:rPr>
        <w:t>CO</w:t>
      </w:r>
      <w:r w:rsidRPr="007C094D">
        <w:rPr>
          <w:i/>
          <w:iCs/>
          <w:vertAlign w:val="subscript"/>
        </w:rPr>
        <w:t>2</w:t>
      </w:r>
      <w:r w:rsidRPr="007C094D">
        <w:rPr>
          <w:i/>
          <w:iCs/>
        </w:rPr>
        <w:t xml:space="preserve"> w Polsce</w:t>
      </w:r>
      <w:r w:rsidRPr="007C094D">
        <w:t xml:space="preserve"> </w:t>
      </w:r>
      <w:r>
        <w:t xml:space="preserve">pomiędzy </w:t>
      </w:r>
      <w:r>
        <w:rPr>
          <w:rFonts w:eastAsia="Times New Roman" w:cs="Arial"/>
          <w:color w:val="000000"/>
          <w:kern w:val="0"/>
          <w:szCs w:val="20"/>
          <w:lang w:eastAsia="pl-PL"/>
          <w14:ligatures w14:val="none"/>
        </w:rPr>
        <w:t xml:space="preserve">Ministerstwem Klimatu i Środowiska a </w:t>
      </w:r>
      <w:r w:rsidRPr="00A4426E">
        <w:rPr>
          <w:rFonts w:eastAsia="Times New Roman" w:cs="Arial"/>
          <w:color w:val="000000"/>
          <w:kern w:val="0"/>
          <w:szCs w:val="20"/>
          <w:lang w:eastAsia="pl-PL"/>
          <w14:ligatures w14:val="none"/>
        </w:rPr>
        <w:t>przedstawicielami przedsiębiorców, nauki oraz organizacji pozarządowych</w:t>
      </w:r>
      <w:r>
        <w:rPr>
          <w:rFonts w:eastAsia="Times New Roman" w:cs="Arial"/>
          <w:color w:val="000000"/>
          <w:kern w:val="0"/>
          <w:szCs w:val="20"/>
          <w:lang w:eastAsia="pl-PL"/>
          <w14:ligatures w14:val="none"/>
        </w:rPr>
        <w:t>. Zawarcie listu intencyjnego oraz podjęcie i intensyfikacja określonych w nim działań pozwolą na o</w:t>
      </w:r>
      <w:r w:rsidRPr="00737BF2">
        <w:rPr>
          <w:rFonts w:eastAsia="Times New Roman" w:cs="Arial"/>
          <w:color w:val="000000"/>
          <w:kern w:val="0"/>
          <w:szCs w:val="20"/>
          <w:lang w:eastAsia="pl-PL"/>
          <w14:ligatures w14:val="none"/>
        </w:rPr>
        <w:t>stateczn</w:t>
      </w:r>
      <w:r>
        <w:rPr>
          <w:rFonts w:eastAsia="Times New Roman" w:cs="Arial"/>
          <w:color w:val="000000"/>
          <w:kern w:val="0"/>
          <w:szCs w:val="20"/>
          <w:lang w:eastAsia="pl-PL"/>
          <w14:ligatures w14:val="none"/>
        </w:rPr>
        <w:t>ą</w:t>
      </w:r>
      <w:r w:rsidRPr="00737BF2">
        <w:rPr>
          <w:rFonts w:eastAsia="Times New Roman" w:cs="Arial"/>
          <w:color w:val="000000"/>
          <w:kern w:val="0"/>
          <w:szCs w:val="20"/>
          <w:lang w:eastAsia="pl-PL"/>
          <w14:ligatures w14:val="none"/>
        </w:rPr>
        <w:t xml:space="preserve"> ocen</w:t>
      </w:r>
      <w:r>
        <w:rPr>
          <w:rFonts w:eastAsia="Times New Roman" w:cs="Arial"/>
          <w:color w:val="000000"/>
          <w:kern w:val="0"/>
          <w:szCs w:val="20"/>
          <w:lang w:eastAsia="pl-PL"/>
          <w14:ligatures w14:val="none"/>
        </w:rPr>
        <w:t>ę</w:t>
      </w:r>
      <w:r w:rsidRPr="00737BF2">
        <w:rPr>
          <w:rFonts w:eastAsia="Times New Roman" w:cs="Arial"/>
          <w:color w:val="000000"/>
          <w:kern w:val="0"/>
          <w:szCs w:val="20"/>
          <w:lang w:eastAsia="pl-PL"/>
          <w14:ligatures w14:val="none"/>
        </w:rPr>
        <w:t xml:space="preserve"> potencjału rozwoju technologii CCS</w:t>
      </w:r>
      <w:r>
        <w:rPr>
          <w:rFonts w:eastAsia="Times New Roman" w:cs="Arial"/>
          <w:color w:val="000000"/>
          <w:kern w:val="0"/>
          <w:szCs w:val="20"/>
          <w:lang w:eastAsia="pl-PL"/>
          <w14:ligatures w14:val="none"/>
        </w:rPr>
        <w:t>/CCUS</w:t>
      </w:r>
      <w:r w:rsidRPr="00737BF2">
        <w:rPr>
          <w:rFonts w:eastAsia="Times New Roman" w:cs="Arial"/>
          <w:color w:val="000000"/>
          <w:kern w:val="0"/>
          <w:szCs w:val="20"/>
          <w:lang w:eastAsia="pl-PL"/>
          <w14:ligatures w14:val="none"/>
        </w:rPr>
        <w:t xml:space="preserve"> w Polsce</w:t>
      </w:r>
      <w:r>
        <w:rPr>
          <w:rFonts w:eastAsia="Times New Roman" w:cs="Arial"/>
          <w:color w:val="000000"/>
          <w:kern w:val="0"/>
          <w:szCs w:val="20"/>
          <w:lang w:eastAsia="pl-PL"/>
          <w14:ligatures w14:val="none"/>
        </w:rPr>
        <w:t xml:space="preserve">, która jest </w:t>
      </w:r>
      <w:r w:rsidRPr="00737BF2">
        <w:rPr>
          <w:rFonts w:eastAsia="Times New Roman" w:cs="Arial"/>
          <w:color w:val="000000"/>
          <w:kern w:val="0"/>
          <w:szCs w:val="20"/>
          <w:lang w:eastAsia="pl-PL"/>
          <w14:ligatures w14:val="none"/>
        </w:rPr>
        <w:t xml:space="preserve">silnie uzależniona od weryfikacji szacunków </w:t>
      </w:r>
      <w:r w:rsidRPr="003C784D">
        <w:rPr>
          <w:rFonts w:eastAsia="Times New Roman" w:cs="Arial"/>
          <w:color w:val="000000"/>
          <w:kern w:val="0"/>
          <w:szCs w:val="20"/>
          <w:lang w:eastAsia="pl-PL"/>
          <w14:ligatures w14:val="none"/>
        </w:rPr>
        <w:t>w zakresie pojemności kompleksów podziemnych składowisk CO</w:t>
      </w:r>
      <w:r w:rsidRPr="003C784D">
        <w:rPr>
          <w:rFonts w:eastAsia="Times New Roman" w:cs="Arial"/>
          <w:color w:val="000000"/>
          <w:kern w:val="0"/>
          <w:szCs w:val="20"/>
          <w:vertAlign w:val="subscript"/>
          <w:lang w:eastAsia="pl-PL"/>
          <w14:ligatures w14:val="none"/>
        </w:rPr>
        <w:t>2</w:t>
      </w:r>
      <w:r w:rsidRPr="003C784D">
        <w:rPr>
          <w:rFonts w:eastAsia="Times New Roman" w:cs="Arial"/>
          <w:color w:val="000000"/>
          <w:kern w:val="0"/>
          <w:szCs w:val="20"/>
          <w:lang w:eastAsia="pl-PL"/>
          <w14:ligatures w14:val="none"/>
        </w:rPr>
        <w:t xml:space="preserve"> w Polsce</w:t>
      </w:r>
      <w:r>
        <w:rPr>
          <w:rFonts w:eastAsia="Times New Roman" w:cs="Arial"/>
          <w:color w:val="000000"/>
          <w:kern w:val="0"/>
          <w:szCs w:val="20"/>
          <w:lang w:eastAsia="pl-PL"/>
          <w14:ligatures w14:val="none"/>
        </w:rPr>
        <w:t xml:space="preserve">. Z tego względu dokładne szacunki dla Polski w zakresie m.in. </w:t>
      </w:r>
      <w:r w:rsidRPr="00551FBE">
        <w:rPr>
          <w:rFonts w:eastAsia="Times New Roman" w:cs="Arial"/>
          <w:color w:val="000000"/>
          <w:kern w:val="0"/>
          <w:szCs w:val="20"/>
          <w:lang w:eastAsia="pl-PL"/>
          <w14:ligatures w14:val="none"/>
        </w:rPr>
        <w:t>iloś</w:t>
      </w:r>
      <w:r>
        <w:rPr>
          <w:rFonts w:eastAsia="Times New Roman" w:cs="Arial"/>
          <w:color w:val="000000"/>
          <w:kern w:val="0"/>
          <w:szCs w:val="20"/>
          <w:lang w:eastAsia="pl-PL"/>
          <w14:ligatures w14:val="none"/>
        </w:rPr>
        <w:t>ci</w:t>
      </w:r>
      <w:r w:rsidRPr="00551FBE">
        <w:rPr>
          <w:rFonts w:eastAsia="Times New Roman" w:cs="Arial"/>
          <w:color w:val="000000"/>
          <w:kern w:val="0"/>
          <w:szCs w:val="20"/>
          <w:lang w:eastAsia="pl-PL"/>
          <w14:ligatures w14:val="none"/>
        </w:rPr>
        <w:t xml:space="preserve"> emisji CO</w:t>
      </w:r>
      <w:r w:rsidRPr="004F2F78">
        <w:rPr>
          <w:rFonts w:eastAsia="Times New Roman" w:cs="Arial"/>
          <w:color w:val="000000"/>
          <w:kern w:val="0"/>
          <w:szCs w:val="20"/>
          <w:vertAlign w:val="subscript"/>
          <w:lang w:eastAsia="pl-PL"/>
          <w14:ligatures w14:val="none"/>
        </w:rPr>
        <w:t>2</w:t>
      </w:r>
      <w:r w:rsidRPr="00551FBE">
        <w:rPr>
          <w:rFonts w:eastAsia="Times New Roman" w:cs="Arial"/>
          <w:color w:val="000000"/>
          <w:kern w:val="0"/>
          <w:szCs w:val="20"/>
          <w:lang w:eastAsia="pl-PL"/>
          <w14:ligatures w14:val="none"/>
        </w:rPr>
        <w:t>, którą można wychwycić rocznie do 2030</w:t>
      </w:r>
      <w:r>
        <w:rPr>
          <w:rFonts w:eastAsia="Times New Roman" w:cs="Arial"/>
          <w:color w:val="000000"/>
          <w:kern w:val="0"/>
          <w:szCs w:val="20"/>
          <w:lang w:eastAsia="pl-PL"/>
          <w14:ligatures w14:val="none"/>
        </w:rPr>
        <w:t xml:space="preserve"> </w:t>
      </w:r>
      <w:r w:rsidRPr="00551FBE">
        <w:rPr>
          <w:rFonts w:eastAsia="Times New Roman" w:cs="Arial"/>
          <w:color w:val="000000"/>
          <w:kern w:val="0"/>
          <w:szCs w:val="20"/>
          <w:lang w:eastAsia="pl-PL"/>
          <w14:ligatures w14:val="none"/>
        </w:rPr>
        <w:t>r., sposobu transportu wychwyconego CO</w:t>
      </w:r>
      <w:r w:rsidRPr="007C094D">
        <w:rPr>
          <w:rFonts w:eastAsia="Times New Roman" w:cs="Arial"/>
          <w:color w:val="000000"/>
          <w:kern w:val="0"/>
          <w:szCs w:val="20"/>
          <w:vertAlign w:val="subscript"/>
          <w:lang w:eastAsia="pl-PL"/>
          <w14:ligatures w14:val="none"/>
        </w:rPr>
        <w:t>2</w:t>
      </w:r>
      <w:r>
        <w:rPr>
          <w:rFonts w:eastAsia="Times New Roman" w:cs="Arial"/>
          <w:color w:val="000000"/>
          <w:kern w:val="0"/>
          <w:szCs w:val="20"/>
          <w:lang w:eastAsia="pl-PL"/>
          <w14:ligatures w14:val="none"/>
        </w:rPr>
        <w:t xml:space="preserve">, czy </w:t>
      </w:r>
      <w:r w:rsidRPr="00551FBE">
        <w:rPr>
          <w:rFonts w:eastAsia="Times New Roman" w:cs="Arial"/>
          <w:color w:val="000000"/>
          <w:kern w:val="0"/>
          <w:szCs w:val="20"/>
          <w:lang w:eastAsia="pl-PL"/>
          <w14:ligatures w14:val="none"/>
        </w:rPr>
        <w:t>zdolnoś</w:t>
      </w:r>
      <w:r>
        <w:rPr>
          <w:rFonts w:eastAsia="Times New Roman" w:cs="Arial"/>
          <w:color w:val="000000"/>
          <w:kern w:val="0"/>
          <w:szCs w:val="20"/>
          <w:lang w:eastAsia="pl-PL"/>
          <w14:ligatures w14:val="none"/>
        </w:rPr>
        <w:t>ci</w:t>
      </w:r>
      <w:r w:rsidRPr="00551FBE">
        <w:rPr>
          <w:rFonts w:eastAsia="Times New Roman" w:cs="Arial"/>
          <w:color w:val="000000"/>
          <w:kern w:val="0"/>
          <w:szCs w:val="20"/>
          <w:lang w:eastAsia="pl-PL"/>
          <w14:ligatures w14:val="none"/>
        </w:rPr>
        <w:t xml:space="preserve"> </w:t>
      </w:r>
      <w:r w:rsidR="00726240">
        <w:rPr>
          <w:rFonts w:eastAsia="Times New Roman" w:cs="Arial"/>
          <w:color w:val="000000"/>
          <w:kern w:val="0"/>
          <w:szCs w:val="20"/>
          <w:lang w:eastAsia="pl-PL"/>
          <w14:ligatures w14:val="none"/>
        </w:rPr>
        <w:t>składowania</w:t>
      </w:r>
      <w:r w:rsidRPr="00551FBE">
        <w:rPr>
          <w:rFonts w:eastAsia="Times New Roman" w:cs="Arial"/>
          <w:color w:val="000000"/>
          <w:kern w:val="0"/>
          <w:szCs w:val="20"/>
          <w:lang w:eastAsia="pl-PL"/>
          <w14:ligatures w14:val="none"/>
        </w:rPr>
        <w:t xml:space="preserve"> i</w:t>
      </w:r>
      <w:r w:rsidR="00726240">
        <w:rPr>
          <w:rFonts w:eastAsia="Times New Roman" w:cs="Arial"/>
          <w:color w:val="000000"/>
          <w:kern w:val="0"/>
          <w:szCs w:val="20"/>
          <w:lang w:eastAsia="pl-PL"/>
          <w14:ligatures w14:val="none"/>
        </w:rPr>
        <w:t> </w:t>
      </w:r>
      <w:r w:rsidRPr="00551FBE">
        <w:rPr>
          <w:rFonts w:eastAsia="Times New Roman" w:cs="Arial"/>
          <w:color w:val="000000"/>
          <w:kern w:val="0"/>
          <w:szCs w:val="20"/>
          <w:lang w:eastAsia="pl-PL"/>
          <w14:ligatures w14:val="none"/>
        </w:rPr>
        <w:t>objętoś</w:t>
      </w:r>
      <w:r>
        <w:rPr>
          <w:rFonts w:eastAsia="Times New Roman" w:cs="Arial"/>
          <w:color w:val="000000"/>
          <w:kern w:val="0"/>
          <w:szCs w:val="20"/>
          <w:lang w:eastAsia="pl-PL"/>
          <w14:ligatures w14:val="none"/>
        </w:rPr>
        <w:t>ci</w:t>
      </w:r>
      <w:r w:rsidRPr="00551FBE">
        <w:rPr>
          <w:rFonts w:eastAsia="Times New Roman" w:cs="Arial"/>
          <w:color w:val="000000"/>
          <w:kern w:val="0"/>
          <w:szCs w:val="20"/>
          <w:lang w:eastAsia="pl-PL"/>
          <w14:ligatures w14:val="none"/>
        </w:rPr>
        <w:t xml:space="preserve"> iniekcji CO</w:t>
      </w:r>
      <w:r w:rsidRPr="007C094D">
        <w:rPr>
          <w:rFonts w:eastAsia="Times New Roman" w:cs="Arial"/>
          <w:color w:val="000000"/>
          <w:kern w:val="0"/>
          <w:szCs w:val="20"/>
          <w:vertAlign w:val="subscript"/>
          <w:lang w:eastAsia="pl-PL"/>
          <w14:ligatures w14:val="none"/>
        </w:rPr>
        <w:t>2</w:t>
      </w:r>
      <w:r w:rsidRPr="00551FBE">
        <w:rPr>
          <w:rFonts w:eastAsia="Times New Roman" w:cs="Arial"/>
          <w:color w:val="000000"/>
          <w:kern w:val="0"/>
          <w:szCs w:val="20"/>
          <w:lang w:eastAsia="pl-PL"/>
          <w14:ligatures w14:val="none"/>
        </w:rPr>
        <w:t xml:space="preserve"> dostępn</w:t>
      </w:r>
      <w:r>
        <w:rPr>
          <w:rFonts w:eastAsia="Times New Roman" w:cs="Arial"/>
          <w:color w:val="000000"/>
          <w:kern w:val="0"/>
          <w:szCs w:val="20"/>
          <w:lang w:eastAsia="pl-PL"/>
          <w14:ligatures w14:val="none"/>
        </w:rPr>
        <w:t>ych</w:t>
      </w:r>
      <w:r w:rsidRPr="00551FBE">
        <w:rPr>
          <w:rFonts w:eastAsia="Times New Roman" w:cs="Arial"/>
          <w:color w:val="000000"/>
          <w:kern w:val="0"/>
          <w:szCs w:val="20"/>
          <w:lang w:eastAsia="pl-PL"/>
          <w14:ligatures w14:val="none"/>
        </w:rPr>
        <w:t xml:space="preserve"> do 2030</w:t>
      </w:r>
      <w:r>
        <w:rPr>
          <w:rFonts w:eastAsia="Times New Roman" w:cs="Arial"/>
          <w:color w:val="000000"/>
          <w:kern w:val="0"/>
          <w:szCs w:val="20"/>
          <w:lang w:eastAsia="pl-PL"/>
          <w14:ligatures w14:val="none"/>
        </w:rPr>
        <w:t xml:space="preserve"> </w:t>
      </w:r>
      <w:r w:rsidRPr="00551FBE">
        <w:rPr>
          <w:rFonts w:eastAsia="Times New Roman" w:cs="Arial"/>
          <w:color w:val="000000"/>
          <w:kern w:val="0"/>
          <w:szCs w:val="20"/>
          <w:lang w:eastAsia="pl-PL"/>
          <w14:ligatures w14:val="none"/>
        </w:rPr>
        <w:t>r</w:t>
      </w:r>
      <w:r>
        <w:rPr>
          <w:rFonts w:eastAsia="Times New Roman" w:cs="Arial"/>
          <w:color w:val="000000"/>
          <w:kern w:val="0"/>
          <w:szCs w:val="20"/>
          <w:lang w:eastAsia="pl-PL"/>
          <w14:ligatures w14:val="none"/>
        </w:rPr>
        <w:t>. mogą zostać określone na dalszym etapie prac, w</w:t>
      </w:r>
      <w:r w:rsidR="00661B98">
        <w:rPr>
          <w:rFonts w:eastAsia="Times New Roman" w:cs="Arial"/>
          <w:color w:val="000000"/>
          <w:kern w:val="0"/>
          <w:szCs w:val="20"/>
          <w:lang w:eastAsia="pl-PL"/>
          <w14:ligatures w14:val="none"/>
        </w:rPr>
        <w:t> </w:t>
      </w:r>
      <w:r>
        <w:rPr>
          <w:rFonts w:eastAsia="Times New Roman" w:cs="Arial"/>
          <w:color w:val="000000"/>
          <w:kern w:val="0"/>
          <w:szCs w:val="20"/>
          <w:lang w:eastAsia="pl-PL"/>
          <w14:ligatures w14:val="none"/>
        </w:rPr>
        <w:t xml:space="preserve">szczególności w ramach planowanej </w:t>
      </w:r>
      <w:r w:rsidRPr="00FD308A">
        <w:rPr>
          <w:rFonts w:eastAsia="Times New Roman" w:cs="Arial"/>
          <w:color w:val="000000"/>
          <w:kern w:val="0"/>
          <w:szCs w:val="20"/>
          <w:lang w:eastAsia="pl-PL"/>
          <w14:ligatures w14:val="none"/>
        </w:rPr>
        <w:t>strategi</w:t>
      </w:r>
      <w:r>
        <w:rPr>
          <w:rFonts w:eastAsia="Times New Roman" w:cs="Arial"/>
          <w:color w:val="000000"/>
          <w:kern w:val="0"/>
          <w:szCs w:val="20"/>
          <w:lang w:eastAsia="pl-PL"/>
          <w14:ligatures w14:val="none"/>
        </w:rPr>
        <w:t xml:space="preserve">i </w:t>
      </w:r>
      <w:r w:rsidRPr="00FD308A">
        <w:rPr>
          <w:rFonts w:eastAsia="Times New Roman" w:cs="Arial"/>
          <w:color w:val="000000"/>
          <w:kern w:val="0"/>
          <w:szCs w:val="20"/>
          <w:lang w:eastAsia="pl-PL"/>
          <w14:ligatures w14:val="none"/>
        </w:rPr>
        <w:t xml:space="preserve">rozwoju zarządzaniem sekwestracją </w:t>
      </w:r>
      <w:r>
        <w:rPr>
          <w:rFonts w:eastAsia="Times New Roman" w:cs="Arial"/>
          <w:color w:val="000000"/>
          <w:kern w:val="0"/>
          <w:szCs w:val="20"/>
          <w:lang w:eastAsia="pl-PL"/>
          <w14:ligatures w14:val="none"/>
        </w:rPr>
        <w:t>CO</w:t>
      </w:r>
      <w:r w:rsidRPr="007C094D">
        <w:rPr>
          <w:rFonts w:eastAsia="Times New Roman" w:cs="Arial"/>
          <w:color w:val="000000"/>
          <w:kern w:val="0"/>
          <w:szCs w:val="20"/>
          <w:vertAlign w:val="subscript"/>
          <w:lang w:eastAsia="pl-PL"/>
          <w14:ligatures w14:val="none"/>
        </w:rPr>
        <w:t>2</w:t>
      </w:r>
      <w:r w:rsidRPr="00FD308A">
        <w:rPr>
          <w:rFonts w:eastAsia="Times New Roman" w:cs="Arial"/>
          <w:color w:val="000000"/>
          <w:kern w:val="0"/>
          <w:szCs w:val="20"/>
          <w:lang w:eastAsia="pl-PL"/>
          <w14:ligatures w14:val="none"/>
        </w:rPr>
        <w:t xml:space="preserve"> i jego wykorzystaniem w</w:t>
      </w:r>
      <w:r>
        <w:rPr>
          <w:rFonts w:eastAsia="Times New Roman" w:cs="Arial"/>
          <w:color w:val="000000"/>
          <w:kern w:val="0"/>
          <w:szCs w:val="20"/>
          <w:lang w:eastAsia="pl-PL"/>
          <w14:ligatures w14:val="none"/>
        </w:rPr>
        <w:t xml:space="preserve"> </w:t>
      </w:r>
      <w:r w:rsidRPr="00FD308A">
        <w:rPr>
          <w:rFonts w:eastAsia="Times New Roman" w:cs="Arial"/>
          <w:color w:val="000000"/>
          <w:kern w:val="0"/>
          <w:szCs w:val="20"/>
          <w:lang w:eastAsia="pl-PL"/>
          <w14:ligatures w14:val="none"/>
        </w:rPr>
        <w:t>gospodarce</w:t>
      </w:r>
      <w:r>
        <w:rPr>
          <w:rFonts w:eastAsia="Times New Roman" w:cs="Arial"/>
          <w:color w:val="000000"/>
          <w:kern w:val="0"/>
          <w:szCs w:val="20"/>
          <w:lang w:eastAsia="pl-PL"/>
          <w14:ligatures w14:val="none"/>
        </w:rPr>
        <w:t>. Z tego względu aktualnie nie jest możliwe określenie celu ilościowego</w:t>
      </w:r>
      <w:r w:rsidR="007C094D">
        <w:rPr>
          <w:rFonts w:eastAsia="Times New Roman" w:cs="Arial"/>
          <w:color w:val="000000"/>
          <w:kern w:val="0"/>
          <w:szCs w:val="20"/>
          <w:lang w:eastAsia="pl-PL"/>
          <w14:ligatures w14:val="none"/>
        </w:rPr>
        <w:t>.</w:t>
      </w:r>
    </w:p>
    <w:p w14:paraId="124DFF25" w14:textId="67E27FF5" w:rsidR="00306029" w:rsidRPr="007C094D" w:rsidRDefault="00BC214E" w:rsidP="00306029">
      <w:pPr>
        <w:pStyle w:val="Cele"/>
        <w:rPr>
          <w:b/>
          <w:bCs/>
          <w:i/>
          <w:lang w:eastAsia="pl-PL"/>
        </w:rPr>
      </w:pPr>
      <w:r w:rsidRPr="007C094D">
        <w:rPr>
          <w:b/>
          <w:bCs/>
          <w:lang w:eastAsia="pl-PL"/>
        </w:rPr>
        <w:t xml:space="preserve">Polska </w:t>
      </w:r>
      <w:r w:rsidR="002F406F">
        <w:rPr>
          <w:b/>
          <w:bCs/>
          <w:lang w:eastAsia="pl-PL"/>
        </w:rPr>
        <w:t xml:space="preserve">przygotuje strategię </w:t>
      </w:r>
      <w:r w:rsidRPr="007C094D">
        <w:rPr>
          <w:b/>
          <w:bCs/>
          <w:lang w:eastAsia="pl-PL"/>
        </w:rPr>
        <w:t>rozwoju sekwestracji CO</w:t>
      </w:r>
      <w:r w:rsidRPr="007C094D">
        <w:rPr>
          <w:b/>
          <w:bCs/>
          <w:vertAlign w:val="subscript"/>
          <w:lang w:eastAsia="pl-PL"/>
        </w:rPr>
        <w:t>2</w:t>
      </w:r>
      <w:r w:rsidR="007C094D">
        <w:rPr>
          <w:b/>
          <w:bCs/>
          <w:i/>
          <w:vertAlign w:val="subscript"/>
          <w:lang w:eastAsia="pl-PL"/>
        </w:rPr>
        <w:t xml:space="preserve"> </w:t>
      </w:r>
      <w:r w:rsidR="007C094D" w:rsidRPr="007C094D">
        <w:rPr>
          <w:b/>
          <w:bCs/>
          <w:iCs/>
          <w:lang w:eastAsia="pl-PL"/>
        </w:rPr>
        <w:t>i</w:t>
      </w:r>
      <w:r w:rsidR="007C094D">
        <w:rPr>
          <w:b/>
          <w:bCs/>
          <w:iCs/>
          <w:lang w:eastAsia="pl-PL"/>
        </w:rPr>
        <w:t xml:space="preserve"> jego wykorzystania w</w:t>
      </w:r>
      <w:r w:rsidR="002F406F">
        <w:rPr>
          <w:b/>
          <w:bCs/>
          <w:iCs/>
          <w:lang w:eastAsia="pl-PL"/>
        </w:rPr>
        <w:t> </w:t>
      </w:r>
      <w:r w:rsidR="007C094D">
        <w:rPr>
          <w:b/>
          <w:bCs/>
          <w:iCs/>
          <w:lang w:eastAsia="pl-PL"/>
        </w:rPr>
        <w:t>gospodarce.</w:t>
      </w:r>
    </w:p>
    <w:p w14:paraId="7A80A9B0" w14:textId="77777777" w:rsidR="00080BA7" w:rsidRDefault="00080BA7" w:rsidP="004F2F78">
      <w:pPr>
        <w:keepNext/>
        <w:spacing w:before="240" w:after="80"/>
        <w:rPr>
          <w:rFonts w:ascii="Bahnschrift" w:hAnsi="Bahnschrift"/>
        </w:rPr>
      </w:pPr>
      <w:r w:rsidRPr="00C46DAA">
        <w:rPr>
          <w:rFonts w:ascii="Bahnschrift" w:hAnsi="Bahnschrift"/>
          <w:b/>
          <w:bCs/>
          <w:sz w:val="32"/>
          <w:szCs w:val="32"/>
        </w:rPr>
        <w:t>POLITYKA</w:t>
      </w:r>
    </w:p>
    <w:p w14:paraId="588CA888" w14:textId="483B17F9" w:rsidR="00306029" w:rsidRDefault="00306029" w:rsidP="00080BA7">
      <w:r>
        <w:t>Redukcja emisji gazów cieplarnianych w sektorze przemy</w:t>
      </w:r>
      <w:r w:rsidR="00280BF1">
        <w:t>s</w:t>
      </w:r>
      <w:r>
        <w:t xml:space="preserve">łu </w:t>
      </w:r>
      <w:r w:rsidR="00280BF1">
        <w:t>będzie odbywać się wielotorowo. Część działań będzie motywowana regulacjami unijnymi i krajowymi ukierunkowanymi na dekarbonizację</w:t>
      </w:r>
      <w:r w:rsidR="000D2EC4">
        <w:t>,</w:t>
      </w:r>
      <w:r w:rsidR="00280BF1">
        <w:t xml:space="preserve"> </w:t>
      </w:r>
      <w:r w:rsidR="00844C8C">
        <w:t>także ze względu na funk</w:t>
      </w:r>
      <w:r w:rsidR="004F2F78">
        <w:t>cj</w:t>
      </w:r>
      <w:r w:rsidR="00844C8C">
        <w:t>onowanie systemu EU ET</w:t>
      </w:r>
      <w:r w:rsidR="004F2F78">
        <w:t>S</w:t>
      </w:r>
      <w:r w:rsidR="00844C8C">
        <w:t>. C</w:t>
      </w:r>
      <w:r w:rsidR="00280BF1">
        <w:t>oraz częściej przedsiębiorcy będą podejmować działania z własnej inicjatywy</w:t>
      </w:r>
      <w:r w:rsidR="00BD5D4F">
        <w:t xml:space="preserve">. Szczególne znaczenie mają rosnące </w:t>
      </w:r>
      <w:r w:rsidR="00280BF1">
        <w:t>korzyści</w:t>
      </w:r>
      <w:r w:rsidR="00BD5D4F">
        <w:t xml:space="preserve"> ekonomiczne, jak również wzrost atrakcyjności rynkowej wynikającej z </w:t>
      </w:r>
      <w:r w:rsidR="005363A1">
        <w:t>zapotrzebowania na produkty i usługi cechujące się niskim śladem węglowym</w:t>
      </w:r>
      <w:r w:rsidR="00280BF1">
        <w:t xml:space="preserve">. </w:t>
      </w:r>
    </w:p>
    <w:p w14:paraId="306DAECE" w14:textId="42542C15" w:rsidR="005363A1" w:rsidRDefault="00E32647" w:rsidP="00080BA7">
      <w:r>
        <w:t xml:space="preserve">Do szczególnie ważnych </w:t>
      </w:r>
      <w:r w:rsidR="00844C8C">
        <w:t>narzędzi i działań wpływających na dekarbonizację zaliczyć</w:t>
      </w:r>
      <w:r>
        <w:t xml:space="preserve"> można:</w:t>
      </w:r>
    </w:p>
    <w:p w14:paraId="59C95B80" w14:textId="3A28453D" w:rsidR="00254A2D" w:rsidRPr="00254A2D" w:rsidRDefault="00306029" w:rsidP="00612B5D">
      <w:pPr>
        <w:pStyle w:val="Akapitzlist"/>
        <w:numPr>
          <w:ilvl w:val="0"/>
          <w:numId w:val="44"/>
        </w:numPr>
        <w:spacing w:after="80"/>
        <w:ind w:left="426" w:hanging="357"/>
        <w:contextualSpacing w:val="0"/>
      </w:pPr>
      <w:r w:rsidRPr="00E32647">
        <w:rPr>
          <w:b/>
          <w:bCs/>
        </w:rPr>
        <w:t xml:space="preserve">Zwiększanie sprawności spalania paliw konwencjonalnych </w:t>
      </w:r>
    </w:p>
    <w:p w14:paraId="35875C98" w14:textId="056DA115" w:rsidR="001F1A0E" w:rsidRDefault="002602EF" w:rsidP="00254A2D">
      <w:pPr>
        <w:pStyle w:val="Akapitzlist"/>
        <w:ind w:left="426"/>
        <w:contextualSpacing w:val="0"/>
      </w:pPr>
      <w:r>
        <w:t>P</w:t>
      </w:r>
      <w:r w:rsidR="00E32647">
        <w:t xml:space="preserve">omimo kierunku odchodzenia od paliw kopalnych podniesienie sprawności posiadanych instalacji </w:t>
      </w:r>
      <w:r w:rsidR="005E6B15">
        <w:t>do wytwarzania energii</w:t>
      </w:r>
      <w:r w:rsidR="001F1A0E">
        <w:t>,</w:t>
      </w:r>
      <w:r w:rsidR="005E6B15">
        <w:t xml:space="preserve"> szczególnie w odniesieniu do przemysłu ciężkiego </w:t>
      </w:r>
      <w:r w:rsidR="00E32647">
        <w:t xml:space="preserve">może być w perspektywie najbliższych lat jedynym rozwiązaniem. </w:t>
      </w:r>
      <w:r>
        <w:t>Tego typu inwestycje mogą mieć trudności z pozyskaniem finansowania, lecz gdy brak jest możliwości realnej alternatywy w</w:t>
      </w:r>
      <w:r w:rsidR="005E6B15">
        <w:t> </w:t>
      </w:r>
      <w:r>
        <w:t xml:space="preserve">postaci zeroemisyjnych źródeł </w:t>
      </w:r>
      <w:r w:rsidR="001F1A0E">
        <w:t xml:space="preserve">mogą </w:t>
      </w:r>
      <w:r>
        <w:t>być dopuszczalne</w:t>
      </w:r>
      <w:r w:rsidR="001F1A0E">
        <w:t xml:space="preserve"> w przejściowym okresie transformacji</w:t>
      </w:r>
      <w:r>
        <w:t xml:space="preserve">. </w:t>
      </w:r>
    </w:p>
    <w:p w14:paraId="56794B39" w14:textId="07B0C2A3" w:rsidR="00254A2D" w:rsidRPr="00254A2D" w:rsidRDefault="001F1A0E" w:rsidP="00612B5D">
      <w:pPr>
        <w:pStyle w:val="Akapitzlist"/>
        <w:numPr>
          <w:ilvl w:val="0"/>
          <w:numId w:val="44"/>
        </w:numPr>
        <w:spacing w:after="80"/>
        <w:ind w:left="426" w:hanging="357"/>
        <w:contextualSpacing w:val="0"/>
        <w:rPr>
          <w:b/>
          <w:bCs/>
        </w:rPr>
      </w:pPr>
      <w:r w:rsidRPr="001F1A0E">
        <w:rPr>
          <w:b/>
          <w:bCs/>
        </w:rPr>
        <w:t>Zwiększanie wykorzystania OZE i innych zeroemisyjnych źródeł</w:t>
      </w:r>
      <w:r w:rsidRPr="001F1A0E">
        <w:t xml:space="preserve"> </w:t>
      </w:r>
    </w:p>
    <w:p w14:paraId="10EB55EA" w14:textId="4E6BD6BD" w:rsidR="00060354" w:rsidRDefault="008B0AA7" w:rsidP="00F93658">
      <w:pPr>
        <w:pStyle w:val="Akapitzlist"/>
        <w:spacing w:after="80"/>
        <w:ind w:left="426"/>
        <w:contextualSpacing w:val="0"/>
      </w:pPr>
      <w:r>
        <w:t>Do popularyzacji OZE w przemyśle</w:t>
      </w:r>
      <w:r w:rsidR="00844C8C">
        <w:t xml:space="preserve"> w</w:t>
      </w:r>
      <w:r>
        <w:t xml:space="preserve"> </w:t>
      </w:r>
      <w:r w:rsidR="00844C8C">
        <w:t xml:space="preserve">sposób szczególny przyczyni się </w:t>
      </w:r>
      <w:r>
        <w:t xml:space="preserve">coraz większa dostępność finansowania „zielonych” inwestycji, również przez banki komercyjne. Od </w:t>
      </w:r>
      <w:r w:rsidR="005863F9">
        <w:t xml:space="preserve">października 2023 r. możliwe jest </w:t>
      </w:r>
      <w:r w:rsidR="005863F9" w:rsidRPr="005863F9">
        <w:t>współdzielenie przyłącz</w:t>
      </w:r>
      <w:r w:rsidR="005863F9">
        <w:t>y</w:t>
      </w:r>
      <w:r w:rsidR="005863F9" w:rsidRPr="005863F9">
        <w:t xml:space="preserve"> przez kilka instalacji wytwórczych, czyli tzw. </w:t>
      </w:r>
      <w:r w:rsidR="005863F9" w:rsidRPr="005863F9">
        <w:rPr>
          <w:i/>
          <w:iCs/>
        </w:rPr>
        <w:t>cable pooling</w:t>
      </w:r>
      <w:r w:rsidR="005863F9">
        <w:t>, co</w:t>
      </w:r>
      <w:r w:rsidR="00744355">
        <w:t> </w:t>
      </w:r>
      <w:r w:rsidR="005863F9">
        <w:t>wraz z</w:t>
      </w:r>
      <w:r w:rsidR="0090268A">
        <w:t> </w:t>
      </w:r>
      <w:r w:rsidR="005863F9">
        <w:t xml:space="preserve">rosnącą dostępnością kontraktów długoterminowych na dostawy energii typu PPA (ang. </w:t>
      </w:r>
      <w:r>
        <w:t xml:space="preserve"> </w:t>
      </w:r>
      <w:r w:rsidR="005863F9" w:rsidRPr="005863F9">
        <w:rPr>
          <w:i/>
          <w:iCs/>
        </w:rPr>
        <w:t>power purchase agreement</w:t>
      </w:r>
      <w:r w:rsidR="005863F9">
        <w:t>)</w:t>
      </w:r>
      <w:r w:rsidR="00902554">
        <w:t xml:space="preserve"> powinno sprzyjać zazielenianiu energii dla przemysłu</w:t>
      </w:r>
      <w:r w:rsidR="005863F9">
        <w:t>.</w:t>
      </w:r>
      <w:r w:rsidR="005863F9" w:rsidRPr="005863F9">
        <w:t xml:space="preserve"> </w:t>
      </w:r>
      <w:r w:rsidR="00060354">
        <w:t xml:space="preserve"> </w:t>
      </w:r>
      <w:r w:rsidR="00902554">
        <w:t>W</w:t>
      </w:r>
      <w:r>
        <w:t>ażne</w:t>
      </w:r>
      <w:r w:rsidR="00902554">
        <w:t xml:space="preserve"> również</w:t>
      </w:r>
      <w:r>
        <w:t xml:space="preserve">, aby </w:t>
      </w:r>
      <w:r w:rsidR="005863F9">
        <w:t xml:space="preserve">nowe </w:t>
      </w:r>
      <w:r w:rsidR="00521104">
        <w:t xml:space="preserve">źródła energii były </w:t>
      </w:r>
      <w:r w:rsidR="005863F9">
        <w:t>wkompon</w:t>
      </w:r>
      <w:r w:rsidR="00521104">
        <w:t xml:space="preserve">owane </w:t>
      </w:r>
      <w:r w:rsidR="005863F9">
        <w:t xml:space="preserve">w </w:t>
      </w:r>
      <w:r w:rsidR="00521104">
        <w:t>otoczenie w sposób nieingerujący w środowisko</w:t>
      </w:r>
      <w:r w:rsidR="00902554">
        <w:t>, a jeśli to możliwe</w:t>
      </w:r>
      <w:r w:rsidR="00521104">
        <w:t xml:space="preserve"> </w:t>
      </w:r>
      <w:r w:rsidR="00902554">
        <w:t xml:space="preserve">w przypadku energetyki słonecznej </w:t>
      </w:r>
      <w:r w:rsidR="00521104">
        <w:t>z zapewnieniem dodatkowej funkcji</w:t>
      </w:r>
      <w:r w:rsidR="00902554">
        <w:t>, np. zadaszenia.</w:t>
      </w:r>
      <w:r w:rsidR="00521104">
        <w:t xml:space="preserve"> </w:t>
      </w:r>
      <w:r w:rsidR="00526C96">
        <w:t>Duże znaczenie będzie mieć także popularyzacj</w:t>
      </w:r>
      <w:r w:rsidR="00E75AED">
        <w:t>a</w:t>
      </w:r>
      <w:r w:rsidR="00526C96">
        <w:t xml:space="preserve"> </w:t>
      </w:r>
      <w:r w:rsidR="00E75AED">
        <w:t>gazów zdekarbonizowanych (biogaz, biometan, wodór, amoniak)</w:t>
      </w:r>
      <w:r w:rsidR="00526C96">
        <w:t>, któr</w:t>
      </w:r>
      <w:r w:rsidR="00E75AED">
        <w:t>e</w:t>
      </w:r>
      <w:r w:rsidR="00526C96">
        <w:t xml:space="preserve"> mo</w:t>
      </w:r>
      <w:r w:rsidR="00E75AED">
        <w:t>gą</w:t>
      </w:r>
      <w:r w:rsidR="00526C96">
        <w:t xml:space="preserve"> stanowić realną alternatywę dla paliw kopalnych także w przypadku </w:t>
      </w:r>
      <w:r w:rsidR="00526C96">
        <w:lastRenderedPageBreak/>
        <w:t>przemysłu ciężkiego.</w:t>
      </w:r>
      <w:r w:rsidR="00254A2D">
        <w:t xml:space="preserve"> Przemysł wykazuje także zainteresowanie wykorzystaniem energii jądrowej, dlatego zapewnione będą warunki prawne dla tego typu instalacji. </w:t>
      </w:r>
    </w:p>
    <w:p w14:paraId="154D8158" w14:textId="4F87F2CE" w:rsidR="001F1A0E" w:rsidRPr="001F1A0E" w:rsidRDefault="00060354" w:rsidP="00254A2D">
      <w:pPr>
        <w:pStyle w:val="Akapitzlist"/>
        <w:ind w:left="426"/>
        <w:contextualSpacing w:val="0"/>
        <w:rPr>
          <w:b/>
          <w:bCs/>
        </w:rPr>
      </w:pPr>
      <w:r>
        <w:t>Przemysł może stanowić również wsparcie dla bilansowania s</w:t>
      </w:r>
      <w:r w:rsidR="00E75AED">
        <w:t>ystemu</w:t>
      </w:r>
      <w:r>
        <w:t xml:space="preserve"> elektroenergetycznego, dlatego szczególnie ważny jest rozwój usług zarządzania podażą i popytem na energię.</w:t>
      </w:r>
      <w:r w:rsidR="003A1538">
        <w:t xml:space="preserve"> Niezbędna jest tu elastyczność procesów, ale także zasadne jest rozwijanie różnego rodzaju systemów magazynowania energii, które wpłyną na wyższy stopień autokonsumpcj</w:t>
      </w:r>
      <w:r w:rsidR="00AA0248">
        <w:t>i</w:t>
      </w:r>
      <w:r w:rsidR="003A1538">
        <w:t xml:space="preserve"> i współpracy z </w:t>
      </w:r>
      <w:r w:rsidR="00E75AED">
        <w:t>KSE</w:t>
      </w:r>
      <w:r w:rsidR="003A1538">
        <w:t xml:space="preserve">. </w:t>
      </w:r>
      <w:r>
        <w:t xml:space="preserve"> </w:t>
      </w:r>
    </w:p>
    <w:p w14:paraId="53783E4C" w14:textId="5BB5256C" w:rsidR="00254A2D" w:rsidRPr="00254A2D" w:rsidRDefault="005363A1" w:rsidP="00612B5D">
      <w:pPr>
        <w:pStyle w:val="Akapitzlist"/>
        <w:numPr>
          <w:ilvl w:val="0"/>
          <w:numId w:val="44"/>
        </w:numPr>
        <w:spacing w:after="80"/>
        <w:ind w:left="426" w:hanging="357"/>
        <w:contextualSpacing w:val="0"/>
        <w:rPr>
          <w:b/>
          <w:bCs/>
        </w:rPr>
      </w:pPr>
      <w:r w:rsidRPr="001F1A0E">
        <w:rPr>
          <w:b/>
          <w:bCs/>
        </w:rPr>
        <w:t>Z</w:t>
      </w:r>
      <w:r w:rsidR="00306029" w:rsidRPr="001F1A0E">
        <w:rPr>
          <w:b/>
          <w:bCs/>
        </w:rPr>
        <w:t>większanie efektywności procesów przemysłowych</w:t>
      </w:r>
      <w:r w:rsidR="001F1A0E" w:rsidRPr="001F1A0E">
        <w:t xml:space="preserve"> </w:t>
      </w:r>
    </w:p>
    <w:p w14:paraId="3E2CEF4A" w14:textId="6892703D" w:rsidR="00844C8C" w:rsidRDefault="00744355" w:rsidP="00254A2D">
      <w:pPr>
        <w:pStyle w:val="Akapitzlist"/>
        <w:ind w:left="426"/>
        <w:contextualSpacing w:val="0"/>
        <w:rPr>
          <w:b/>
          <w:bCs/>
        </w:rPr>
      </w:pPr>
      <w:r>
        <w:t xml:space="preserve">Przedsiębiorcy powinni identyfikować potencjał zwiększenia sprawności realizowanych procesów oraz redukcji zużycia energii. Obok redukcji zużycia energii przez maszyny, wymiany ich na nowsze, jeśli to ekonomicznie zasadne, </w:t>
      </w:r>
      <w:r w:rsidR="00731263">
        <w:t>wykorzystanie pieców elektrycznych, a także surowców wtórnych. W</w:t>
      </w:r>
      <w:r>
        <w:t>arto również wdrażać rozwiązania skutkujące redukcją zbędnego oświetlenia, niepotrzebnego zużycia wody</w:t>
      </w:r>
      <w:r w:rsidR="0031259F">
        <w:t xml:space="preserve"> oraz potencjału wykorzystania ciepła odpadowego</w:t>
      </w:r>
      <w:r>
        <w:t xml:space="preserve">. </w:t>
      </w:r>
    </w:p>
    <w:p w14:paraId="390B0ED7" w14:textId="1430973D" w:rsidR="00254A2D" w:rsidRPr="00254A2D" w:rsidRDefault="008E0923" w:rsidP="00612B5D">
      <w:pPr>
        <w:pStyle w:val="Akapitzlist"/>
        <w:keepNext/>
        <w:numPr>
          <w:ilvl w:val="0"/>
          <w:numId w:val="44"/>
        </w:numPr>
        <w:spacing w:after="80"/>
        <w:ind w:left="425" w:hanging="357"/>
        <w:contextualSpacing w:val="0"/>
        <w:rPr>
          <w:b/>
          <w:bCs/>
        </w:rPr>
      </w:pPr>
      <w:r w:rsidRPr="00844C8C">
        <w:rPr>
          <w:b/>
          <w:bCs/>
        </w:rPr>
        <w:t>Popularyzacja wykorzystania ciepła odpadowego</w:t>
      </w:r>
    </w:p>
    <w:p w14:paraId="4BF35A63" w14:textId="1C7E6C3D" w:rsidR="006121A7" w:rsidRPr="006121A7" w:rsidRDefault="00902554" w:rsidP="00254A2D">
      <w:pPr>
        <w:pStyle w:val="Akapitzlist"/>
        <w:ind w:left="426"/>
        <w:contextualSpacing w:val="0"/>
        <w:rPr>
          <w:b/>
          <w:bCs/>
        </w:rPr>
      </w:pPr>
      <w:r>
        <w:t xml:space="preserve">Działania w tym obszarze mogą odnosić się zarówno do efektywniejszego wykorzystania energii w danym przedsiębiorstwie, jak również zapewniać dodatkowy strumień ciepła dla systemów ciepłowniczych. </w:t>
      </w:r>
      <w:r w:rsidR="0090268A">
        <w:t xml:space="preserve">W obu przypadkach uzyskany zostanie pozytywny efekt energetyczny. </w:t>
      </w:r>
    </w:p>
    <w:p w14:paraId="267DEC84" w14:textId="1F2A9C0A" w:rsidR="006121A7" w:rsidRPr="00603C77" w:rsidRDefault="006121A7" w:rsidP="00612B5D">
      <w:pPr>
        <w:pStyle w:val="Akapitzlist"/>
        <w:numPr>
          <w:ilvl w:val="0"/>
          <w:numId w:val="44"/>
        </w:numPr>
        <w:ind w:left="426" w:hanging="357"/>
        <w:contextualSpacing w:val="0"/>
        <w:rPr>
          <w:b/>
          <w:bCs/>
        </w:rPr>
      </w:pPr>
      <w:r w:rsidRPr="00603C77">
        <w:rPr>
          <w:b/>
          <w:bCs/>
        </w:rPr>
        <w:t>Rozwój B+R w obszarze procesów przemysłowych i produkcji energii</w:t>
      </w:r>
    </w:p>
    <w:p w14:paraId="2FF5F4C8" w14:textId="4CCBF0AD" w:rsidR="00254A2D" w:rsidRPr="00254A2D" w:rsidRDefault="00F93658" w:rsidP="00254A2D">
      <w:pPr>
        <w:pStyle w:val="Akapitzlist"/>
        <w:ind w:left="426"/>
        <w:contextualSpacing w:val="0"/>
      </w:pPr>
      <w:r>
        <w:t xml:space="preserve">W wielu przypadkach dotychczas stosowane </w:t>
      </w:r>
      <w:r w:rsidR="003C7836">
        <w:t xml:space="preserve">lub </w:t>
      </w:r>
      <w:r>
        <w:t xml:space="preserve">znane na rynku </w:t>
      </w:r>
      <w:r w:rsidR="003C7836">
        <w:t xml:space="preserve">rozwiązania </w:t>
      </w:r>
      <w:r>
        <w:t xml:space="preserve">nie pozwalają na </w:t>
      </w:r>
      <w:r w:rsidR="003C7836">
        <w:t xml:space="preserve">dalsze redukowanie energochłonności lub emisyjności, dlatego potrzebne jest podejmowanie działań badawczo-rozwojowych. Wpływają one również innowacyjność gospodarki, dlatego też istnieją zachęty dla przedsiębiorców w tym zakresie </w:t>
      </w:r>
      <w:r w:rsidR="000205CF">
        <w:t>–</w:t>
      </w:r>
      <w:r w:rsidR="003C7836">
        <w:t xml:space="preserve"> </w:t>
      </w:r>
      <w:r w:rsidR="000205CF">
        <w:t xml:space="preserve">więcej Wymiarze </w:t>
      </w:r>
      <w:r w:rsidR="005C2642">
        <w:fldChar w:fldCharType="begin"/>
      </w:r>
      <w:r w:rsidR="005C2642">
        <w:instrText xml:space="preserve"> REF _Ref175569780 \r </w:instrText>
      </w:r>
      <w:r w:rsidR="005C2642">
        <w:fldChar w:fldCharType="separate"/>
      </w:r>
      <w:r w:rsidR="00DD3929">
        <w:t>5</w:t>
      </w:r>
      <w:r w:rsidR="005C2642">
        <w:fldChar w:fldCharType="end"/>
      </w:r>
      <w:r w:rsidR="000205CF">
        <w:t>.</w:t>
      </w:r>
    </w:p>
    <w:p w14:paraId="3C81EB0A" w14:textId="62C44B85" w:rsidR="00254A2D" w:rsidRPr="00254A2D" w:rsidRDefault="00306029" w:rsidP="00612B5D">
      <w:pPr>
        <w:pStyle w:val="Akapitzlist"/>
        <w:numPr>
          <w:ilvl w:val="0"/>
          <w:numId w:val="44"/>
        </w:numPr>
        <w:spacing w:after="80"/>
        <w:ind w:left="426" w:hanging="357"/>
        <w:contextualSpacing w:val="0"/>
        <w:rPr>
          <w:b/>
          <w:bCs/>
        </w:rPr>
      </w:pPr>
      <w:r w:rsidRPr="006121A7">
        <w:rPr>
          <w:b/>
          <w:bCs/>
        </w:rPr>
        <w:t>Zazielenianie wykorzystania wodoru procesowego</w:t>
      </w:r>
      <w:r w:rsidR="006121A7" w:rsidRPr="006121A7">
        <w:t xml:space="preserve"> </w:t>
      </w:r>
    </w:p>
    <w:p w14:paraId="663637F9" w14:textId="2896F117" w:rsidR="006121A7" w:rsidRPr="006121A7" w:rsidRDefault="005F0E00" w:rsidP="00254A2D">
      <w:pPr>
        <w:pStyle w:val="Akapitzlist"/>
        <w:ind w:left="426"/>
        <w:contextualSpacing w:val="0"/>
        <w:rPr>
          <w:b/>
          <w:bCs/>
        </w:rPr>
      </w:pPr>
      <w:r>
        <w:t xml:space="preserve">W celu rozwoju </w:t>
      </w:r>
      <w:r w:rsidRPr="00114FAF">
        <w:t xml:space="preserve">przemysłowych zastosowań wodoru przewiduje się </w:t>
      </w:r>
      <w:r w:rsidRPr="006121A7">
        <w:rPr>
          <w:b/>
          <w:bCs/>
        </w:rPr>
        <w:t>wparcie dla powstawania dolin wodorowych</w:t>
      </w:r>
      <w:r w:rsidRPr="00114FAF">
        <w:t>, czyli ekosystemów, które pozwolą zbudować łańcuch wartości związanych z gospodarką wodorową takich jak produkcja, transport, magazynowanie i końcowe zastosowanie wodoru w przemyśle. W dolinach wodorowych będą prowadzone projekty B+R+I oraz projekty inwestycyjne, które przyczynią się do współpracy pomiędzy lokalnymi, krajowymi i zagranicznymi interesariuszami. Wspólne cele</w:t>
      </w:r>
      <w:r>
        <w:t xml:space="preserve"> i skrócenie </w:t>
      </w:r>
      <w:r w:rsidRPr="00114FAF">
        <w:t xml:space="preserve">odległości między centrami podaży a popytu umożliwią wymianę informacji i doświadczeń pomiędzy uczestnikami dolin wodorowych. </w:t>
      </w:r>
      <w:r>
        <w:t xml:space="preserve">Określona zostanie polityka w zakresie dążenia do realizacji cel 42% udziału wodoru odnawialnego w całkowitym wykorzystaniu wodoru w przemyśle – obejmować będzie </w:t>
      </w:r>
      <w:r w:rsidRPr="00BB766A">
        <w:t>kierunki dostaw, sposób zagospodarowania wodoru odnawialnego, jak i importowanego zielonego amoniaku w różnych sektorach gospodarki w</w:t>
      </w:r>
      <w:r>
        <w:t> </w:t>
      </w:r>
      <w:r w:rsidRPr="00BB766A">
        <w:t>Polsce, a także sposób rozwoju terminali importowych do</w:t>
      </w:r>
      <w:r>
        <w:t> </w:t>
      </w:r>
      <w:r w:rsidRPr="00BB766A">
        <w:t>przeładunku zielonego amoniaku w</w:t>
      </w:r>
      <w:r>
        <w:t> </w:t>
      </w:r>
      <w:r w:rsidRPr="00BB766A">
        <w:t>portach i infrastruktury do krakingu oraz przesyłu amoniaku</w:t>
      </w:r>
      <w:r>
        <w:t xml:space="preserve">. </w:t>
      </w:r>
      <w:r w:rsidR="006121A7">
        <w:t xml:space="preserve">Szerszy kontekst rozwoju gospodarki wodorowej został przedstawiony w </w:t>
      </w:r>
      <w:r w:rsidR="001B04FC">
        <w:fldChar w:fldCharType="begin"/>
      </w:r>
      <w:r w:rsidR="001B04FC">
        <w:instrText xml:space="preserve"> REF _Ref175493995 \r \h </w:instrText>
      </w:r>
      <w:r w:rsidR="001B04FC">
        <w:fldChar w:fldCharType="separate"/>
      </w:r>
      <w:r w:rsidR="00DD3929">
        <w:t>Obszar 3.6</w:t>
      </w:r>
      <w:r w:rsidR="001B04FC">
        <w:fldChar w:fldCharType="end"/>
      </w:r>
      <w:r w:rsidR="001B04FC">
        <w:t>.</w:t>
      </w:r>
    </w:p>
    <w:p w14:paraId="28FCA96F" w14:textId="77777777" w:rsidR="000205CF" w:rsidRPr="000205CF" w:rsidRDefault="00306029" w:rsidP="00612B5D">
      <w:pPr>
        <w:pStyle w:val="Akapitzlist"/>
        <w:numPr>
          <w:ilvl w:val="0"/>
          <w:numId w:val="44"/>
        </w:numPr>
        <w:spacing w:after="80"/>
        <w:ind w:left="426" w:hanging="357"/>
        <w:contextualSpacing w:val="0"/>
        <w:rPr>
          <w:b/>
          <w:bCs/>
        </w:rPr>
      </w:pPr>
      <w:r w:rsidRPr="00603C77">
        <w:rPr>
          <w:b/>
          <w:bCs/>
        </w:rPr>
        <w:t>Regulacje z zakresu ESG</w:t>
      </w:r>
      <w:r w:rsidR="00603C77">
        <w:t xml:space="preserve"> </w:t>
      </w:r>
    </w:p>
    <w:p w14:paraId="570A22B5" w14:textId="01723F83" w:rsidR="00306029" w:rsidRPr="008A327D" w:rsidRDefault="000205CF" w:rsidP="000205CF">
      <w:pPr>
        <w:pStyle w:val="Akapitzlist"/>
        <w:ind w:left="426"/>
        <w:contextualSpacing w:val="0"/>
        <w:rPr>
          <w:b/>
          <w:bCs/>
        </w:rPr>
      </w:pPr>
      <w:r>
        <w:t>K</w:t>
      </w:r>
      <w:r w:rsidR="00603C77">
        <w:t>onsekwentnie wdrażane powinny być również regulacje dotyczące raportowania ESG</w:t>
      </w:r>
      <w:r w:rsidR="00F93658">
        <w:t>, które pomagają identyfikować wpływ na środowisko i dzięki temu podejmować działania naprawcze. Informacje stanowią także benchmark sektorowy.</w:t>
      </w:r>
    </w:p>
    <w:p w14:paraId="36C8B47A" w14:textId="3D574422" w:rsidR="00276FD6" w:rsidRDefault="008A327D" w:rsidP="00612B5D">
      <w:pPr>
        <w:pStyle w:val="Akapitzlist"/>
        <w:numPr>
          <w:ilvl w:val="0"/>
          <w:numId w:val="44"/>
        </w:numPr>
        <w:spacing w:after="80"/>
        <w:ind w:left="426" w:hanging="357"/>
        <w:contextualSpacing w:val="0"/>
      </w:pPr>
      <w:r>
        <w:rPr>
          <w:b/>
          <w:bCs/>
        </w:rPr>
        <w:t xml:space="preserve">Zapewnienie warunków popularyzacji </w:t>
      </w:r>
      <w:r w:rsidR="00E57B0A" w:rsidRPr="008A327D">
        <w:rPr>
          <w:b/>
          <w:bCs/>
        </w:rPr>
        <w:t>CCS</w:t>
      </w:r>
      <w:r w:rsidR="00AA6348">
        <w:rPr>
          <w:b/>
          <w:bCs/>
        </w:rPr>
        <w:t xml:space="preserve"> </w:t>
      </w:r>
      <w:r>
        <w:rPr>
          <w:b/>
          <w:bCs/>
        </w:rPr>
        <w:t xml:space="preserve"> </w:t>
      </w:r>
    </w:p>
    <w:p w14:paraId="3FEFEB71" w14:textId="77777777" w:rsidR="00726240" w:rsidRDefault="00AA6348" w:rsidP="000205CF">
      <w:pPr>
        <w:pStyle w:val="Akapitzlist"/>
        <w:spacing w:after="80"/>
        <w:ind w:left="426"/>
        <w:contextualSpacing w:val="0"/>
      </w:pPr>
      <w:r>
        <w:t>Aktualnie możliwość sekwestracji CO</w:t>
      </w:r>
      <w:r w:rsidRPr="00AA6348">
        <w:rPr>
          <w:vertAlign w:val="subscript"/>
        </w:rPr>
        <w:t>2</w:t>
      </w:r>
      <w:r>
        <w:t xml:space="preserve"> jest ograniczona, lecz działania wynikające z projektowanego listu intencyjnego powinny otworzyć możliwość zastosowania tej technologii w szczególności przez </w:t>
      </w:r>
      <w:r w:rsidR="00535DD7">
        <w:t xml:space="preserve">branże </w:t>
      </w:r>
      <w:r>
        <w:t>przemysł</w:t>
      </w:r>
      <w:r w:rsidR="00535DD7">
        <w:t>u cechujące się trudnością redukcji emisji GC</w:t>
      </w:r>
      <w:r>
        <w:t xml:space="preserve">. Przewiduje się </w:t>
      </w:r>
      <w:r w:rsidR="001039C2">
        <w:t xml:space="preserve">m.in. </w:t>
      </w:r>
      <w:r>
        <w:t>okreś</w:t>
      </w:r>
      <w:r w:rsidR="001039C2">
        <w:t xml:space="preserve">lenie </w:t>
      </w:r>
      <w:r w:rsidR="001039C2" w:rsidRPr="001039C2">
        <w:rPr>
          <w:i/>
          <w:iCs/>
        </w:rPr>
        <w:t>krajowej strategii rozwoju zarządzaniem sekwestracją dwutlenku węgla i jego wykorzystaniem w</w:t>
      </w:r>
      <w:r w:rsidR="004F2F78">
        <w:rPr>
          <w:i/>
          <w:iCs/>
        </w:rPr>
        <w:t> </w:t>
      </w:r>
      <w:r w:rsidR="001039C2" w:rsidRPr="001039C2">
        <w:rPr>
          <w:i/>
          <w:iCs/>
        </w:rPr>
        <w:t>gospodarce</w:t>
      </w:r>
      <w:r w:rsidR="001039C2">
        <w:rPr>
          <w:i/>
          <w:iCs/>
        </w:rPr>
        <w:t>,</w:t>
      </w:r>
      <w:r w:rsidR="001039C2">
        <w:t xml:space="preserve"> </w:t>
      </w:r>
      <w:r w:rsidR="001039C2" w:rsidRPr="001039C2">
        <w:t>wypracowani</w:t>
      </w:r>
      <w:r w:rsidR="001039C2">
        <w:t>e</w:t>
      </w:r>
      <w:r w:rsidR="001039C2" w:rsidRPr="001039C2">
        <w:t xml:space="preserve"> ram prawnych umożliwiających rozwój technologii w Polsce</w:t>
      </w:r>
      <w:r w:rsidR="001039C2">
        <w:t>,</w:t>
      </w:r>
      <w:r w:rsidR="001039C2" w:rsidRPr="001039C2">
        <w:t xml:space="preserve"> </w:t>
      </w:r>
      <w:r w:rsidR="001039C2" w:rsidRPr="00A4426E">
        <w:rPr>
          <w:rFonts w:eastAsia="Times New Roman" w:cs="Arial"/>
          <w:color w:val="000000"/>
          <w:kern w:val="0"/>
          <w:szCs w:val="20"/>
          <w:lang w:eastAsia="pl-PL"/>
          <w14:ligatures w14:val="none"/>
        </w:rPr>
        <w:t>określeni</w:t>
      </w:r>
      <w:r w:rsidR="001039C2">
        <w:rPr>
          <w:rFonts w:eastAsia="Times New Roman" w:cs="Arial"/>
          <w:color w:val="000000"/>
          <w:kern w:val="0"/>
          <w:szCs w:val="20"/>
          <w:lang w:eastAsia="pl-PL"/>
          <w14:ligatures w14:val="none"/>
        </w:rPr>
        <w:t>e</w:t>
      </w:r>
      <w:r w:rsidR="001039C2" w:rsidRPr="00A4426E">
        <w:rPr>
          <w:rFonts w:eastAsia="Times New Roman" w:cs="Arial"/>
          <w:color w:val="000000"/>
          <w:kern w:val="0"/>
          <w:szCs w:val="20"/>
          <w:lang w:eastAsia="pl-PL"/>
          <w14:ligatures w14:val="none"/>
        </w:rPr>
        <w:t xml:space="preserve"> mechanizmów wsparcia dla rozwoju technologii</w:t>
      </w:r>
      <w:r w:rsidR="001039C2">
        <w:rPr>
          <w:rFonts w:eastAsia="Times New Roman" w:cs="Arial"/>
          <w:color w:val="000000"/>
          <w:kern w:val="0"/>
          <w:szCs w:val="20"/>
          <w:lang w:eastAsia="pl-PL"/>
          <w14:ligatures w14:val="none"/>
        </w:rPr>
        <w:t xml:space="preserve">. Niezwykle ważne będzie także określenie potrzeb badawczo-rozwojowych </w:t>
      </w:r>
      <w:r w:rsidR="001039C2" w:rsidRPr="00A4426E">
        <w:rPr>
          <w:rFonts w:eastAsia="Times New Roman" w:cs="Arial"/>
          <w:color w:val="000000"/>
          <w:kern w:val="0"/>
          <w:szCs w:val="20"/>
          <w:lang w:eastAsia="pl-PL"/>
          <w14:ligatures w14:val="none"/>
        </w:rPr>
        <w:t xml:space="preserve">w zakresie technologii wychwytywania, transportu, sekwestracji dwutlenku </w:t>
      </w:r>
      <w:r w:rsidR="001039C2" w:rsidRPr="00A4426E">
        <w:rPr>
          <w:rFonts w:eastAsia="Times New Roman" w:cs="Arial"/>
          <w:color w:val="000000"/>
          <w:kern w:val="0"/>
          <w:szCs w:val="20"/>
          <w:lang w:eastAsia="pl-PL"/>
          <w14:ligatures w14:val="none"/>
        </w:rPr>
        <w:lastRenderedPageBreak/>
        <w:t>węgla, bądź jego wykorzystywania w gospodarce</w:t>
      </w:r>
      <w:r w:rsidR="001039C2">
        <w:rPr>
          <w:rFonts w:eastAsia="Times New Roman" w:cs="Arial"/>
          <w:color w:val="000000"/>
          <w:kern w:val="0"/>
          <w:szCs w:val="20"/>
          <w:lang w:eastAsia="pl-PL"/>
          <w14:ligatures w14:val="none"/>
        </w:rPr>
        <w:t xml:space="preserve">; </w:t>
      </w:r>
      <w:r w:rsidR="001039C2" w:rsidRPr="00A4426E">
        <w:rPr>
          <w:rFonts w:eastAsia="Times New Roman" w:cs="Arial"/>
          <w:color w:val="000000"/>
          <w:kern w:val="0"/>
          <w:szCs w:val="20"/>
          <w:lang w:eastAsia="pl-PL"/>
          <w14:ligatures w14:val="none"/>
        </w:rPr>
        <w:t>rozw</w:t>
      </w:r>
      <w:r w:rsidR="001039C2">
        <w:rPr>
          <w:rFonts w:eastAsia="Times New Roman" w:cs="Arial"/>
          <w:color w:val="000000"/>
          <w:kern w:val="0"/>
          <w:szCs w:val="20"/>
          <w:lang w:eastAsia="pl-PL"/>
          <w14:ligatures w14:val="none"/>
        </w:rPr>
        <w:t>ój</w:t>
      </w:r>
      <w:r w:rsidR="001039C2" w:rsidRPr="00A4426E">
        <w:rPr>
          <w:rFonts w:eastAsia="Times New Roman" w:cs="Arial"/>
          <w:color w:val="000000"/>
          <w:kern w:val="0"/>
          <w:szCs w:val="20"/>
          <w:lang w:eastAsia="pl-PL"/>
          <w14:ligatures w14:val="none"/>
        </w:rPr>
        <w:t xml:space="preserve"> silnych krajowych i lokalnych kompetencji</w:t>
      </w:r>
      <w:r w:rsidR="001039C2">
        <w:rPr>
          <w:rFonts w:eastAsia="Times New Roman" w:cs="Arial"/>
          <w:color w:val="000000"/>
          <w:kern w:val="0"/>
          <w:szCs w:val="20"/>
          <w:lang w:eastAsia="pl-PL"/>
          <w14:ligatures w14:val="none"/>
        </w:rPr>
        <w:t xml:space="preserve"> w tym obszarze, ale także </w:t>
      </w:r>
      <w:r w:rsidR="001039C2" w:rsidRPr="00A4426E">
        <w:rPr>
          <w:rFonts w:eastAsia="Times New Roman" w:cs="Arial"/>
          <w:color w:val="000000"/>
          <w:kern w:val="0"/>
          <w:szCs w:val="20"/>
          <w:lang w:eastAsia="pl-PL"/>
          <w14:ligatures w14:val="none"/>
        </w:rPr>
        <w:t>uruchomieni</w:t>
      </w:r>
      <w:r w:rsidR="001039C2">
        <w:rPr>
          <w:rFonts w:eastAsia="Times New Roman" w:cs="Arial"/>
          <w:color w:val="000000"/>
          <w:kern w:val="0"/>
          <w:szCs w:val="20"/>
          <w:lang w:eastAsia="pl-PL"/>
          <w14:ligatures w14:val="none"/>
        </w:rPr>
        <w:t>a</w:t>
      </w:r>
      <w:r w:rsidR="001039C2" w:rsidRPr="00A4426E">
        <w:rPr>
          <w:rFonts w:eastAsia="Times New Roman" w:cs="Arial"/>
          <w:color w:val="000000"/>
          <w:kern w:val="0"/>
          <w:szCs w:val="20"/>
          <w:lang w:eastAsia="pl-PL"/>
          <w14:ligatures w14:val="none"/>
        </w:rPr>
        <w:t xml:space="preserve"> projektów wychwytu i podziemnego składowania CO</w:t>
      </w:r>
      <w:r w:rsidR="001039C2" w:rsidRPr="001039C2">
        <w:rPr>
          <w:rFonts w:eastAsia="Times New Roman" w:cs="Arial"/>
          <w:color w:val="000000"/>
          <w:kern w:val="0"/>
          <w:szCs w:val="20"/>
          <w:vertAlign w:val="subscript"/>
          <w:lang w:eastAsia="pl-PL"/>
          <w14:ligatures w14:val="none"/>
        </w:rPr>
        <w:t>2</w:t>
      </w:r>
      <w:r w:rsidR="001039C2" w:rsidRPr="00A4426E">
        <w:rPr>
          <w:rFonts w:eastAsia="Times New Roman" w:cs="Arial"/>
          <w:color w:val="000000"/>
          <w:kern w:val="0"/>
          <w:szCs w:val="20"/>
          <w:lang w:eastAsia="pl-PL"/>
          <w14:ligatures w14:val="none"/>
        </w:rPr>
        <w:t xml:space="preserve"> na skalę komercyjną</w:t>
      </w:r>
      <w:r w:rsidR="001039C2">
        <w:rPr>
          <w:rFonts w:eastAsia="Times New Roman" w:cs="Arial"/>
          <w:color w:val="000000"/>
          <w:kern w:val="0"/>
          <w:szCs w:val="20"/>
          <w:lang w:eastAsia="pl-PL"/>
          <w14:ligatures w14:val="none"/>
        </w:rPr>
        <w:t xml:space="preserve"> oraz wymiana wiedzy, w tym w ramach współpracy międzynarodowej.</w:t>
      </w:r>
      <w:r w:rsidR="008A327D" w:rsidRPr="008A327D">
        <w:t xml:space="preserve"> </w:t>
      </w:r>
    </w:p>
    <w:p w14:paraId="5DBCD062" w14:textId="3450CD24" w:rsidR="00E57B0A" w:rsidRDefault="00726240" w:rsidP="005F4143">
      <w:pPr>
        <w:pStyle w:val="Akapitzlist"/>
        <w:ind w:left="426"/>
      </w:pPr>
      <w:r>
        <w:t xml:space="preserve">Ponadto zrewidowane zostanie </w:t>
      </w:r>
      <w:r w:rsidR="005F4143">
        <w:t xml:space="preserve">rozporządzenie Ministra Środowiska z dnia 3 września 2014 r. </w:t>
      </w:r>
      <w:r w:rsidR="005F4143" w:rsidRPr="005F4143">
        <w:rPr>
          <w:i/>
          <w:iCs/>
        </w:rPr>
        <w:t>w sprawie obszarów, na których dopuszcza się lokalizowanie kompleksu podziemnego składowania dwutlenku węgla</w:t>
      </w:r>
      <w:r w:rsidR="005F4143">
        <w:t>. Prowadzone prace powinny skutkować m.in. dopuszczeniem lokalizowania kompleksu podziemnego składowania dwutlenku węgla również na lądzie.</w:t>
      </w:r>
    </w:p>
    <w:p w14:paraId="2B7C9E95" w14:textId="77777777" w:rsidR="00080BA7" w:rsidRPr="00C46DAA" w:rsidRDefault="00080BA7" w:rsidP="00080BA7">
      <w:pPr>
        <w:spacing w:before="240" w:after="80"/>
        <w:rPr>
          <w:rFonts w:ascii="Bahnschrift" w:hAnsi="Bahnschrift"/>
          <w:sz w:val="32"/>
          <w:szCs w:val="32"/>
        </w:rPr>
      </w:pPr>
      <w:r w:rsidRPr="00C46DAA">
        <w:rPr>
          <w:rFonts w:ascii="Bahnschrift" w:hAnsi="Bahnschrift"/>
          <w:b/>
          <w:bCs/>
          <w:sz w:val="32"/>
          <w:szCs w:val="32"/>
        </w:rPr>
        <w:t>DZIAŁANIA</w:t>
      </w:r>
    </w:p>
    <w:bookmarkStart w:id="66" w:name="_Hlk173432463"/>
    <w:p w14:paraId="744E4EEC" w14:textId="02EA8D97" w:rsidR="002650ED" w:rsidRDefault="002650ED" w:rsidP="008340D5">
      <w:pPr>
        <w:pStyle w:val="Akapitzlist"/>
        <w:numPr>
          <w:ilvl w:val="0"/>
          <w:numId w:val="6"/>
        </w:numPr>
        <w:rPr>
          <w:szCs w:val="20"/>
        </w:rPr>
      </w:pPr>
      <w:r>
        <w:rPr>
          <w:szCs w:val="20"/>
        </w:rPr>
        <w:fldChar w:fldCharType="begin"/>
      </w:r>
      <w:r>
        <w:rPr>
          <w:szCs w:val="20"/>
        </w:rPr>
        <w:instrText xml:space="preserve"> REF _Ref157417713 \h </w:instrText>
      </w:r>
      <w:r>
        <w:rPr>
          <w:szCs w:val="20"/>
        </w:rPr>
      </w:r>
      <w:r>
        <w:rPr>
          <w:szCs w:val="20"/>
        </w:rPr>
        <w:fldChar w:fldCharType="separate"/>
      </w:r>
      <w:r w:rsidR="00DD3929" w:rsidRPr="00F12C9E">
        <w:t xml:space="preserve">Działanie </w:t>
      </w:r>
      <w:r w:rsidR="00DD3929">
        <w:rPr>
          <w:noProof/>
        </w:rPr>
        <w:t>1</w:t>
      </w:r>
      <w:r w:rsidR="00DD3929" w:rsidRPr="00F12C9E">
        <w:t>. Uczestnictwo w systemie handlu emisjami EU-ETS.</w:t>
      </w:r>
      <w:r>
        <w:rPr>
          <w:szCs w:val="20"/>
        </w:rPr>
        <w:fldChar w:fldCharType="end"/>
      </w:r>
    </w:p>
    <w:p w14:paraId="2E768406" w14:textId="57953B5B" w:rsidR="002650ED" w:rsidRDefault="002650ED" w:rsidP="008340D5">
      <w:pPr>
        <w:pStyle w:val="Akapitzlist"/>
        <w:numPr>
          <w:ilvl w:val="0"/>
          <w:numId w:val="6"/>
        </w:numPr>
        <w:rPr>
          <w:szCs w:val="20"/>
        </w:rPr>
      </w:pPr>
      <w:r>
        <w:rPr>
          <w:szCs w:val="20"/>
        </w:rPr>
        <w:fldChar w:fldCharType="begin"/>
      </w:r>
      <w:r>
        <w:rPr>
          <w:szCs w:val="20"/>
        </w:rPr>
        <w:instrText xml:space="preserve"> REF _Ref157420961 \h </w:instrText>
      </w:r>
      <w:r>
        <w:rPr>
          <w:szCs w:val="20"/>
        </w:rPr>
      </w:r>
      <w:r>
        <w:rPr>
          <w:szCs w:val="20"/>
        </w:rPr>
        <w:fldChar w:fldCharType="separate"/>
      </w:r>
      <w:r w:rsidR="00DD3929" w:rsidRPr="00F12C9E">
        <w:t xml:space="preserve">Działanie </w:t>
      </w:r>
      <w:r w:rsidR="00DD3929">
        <w:rPr>
          <w:noProof/>
        </w:rPr>
        <w:t>17</w:t>
      </w:r>
      <w:r w:rsidR="00DD3929" w:rsidRPr="00F12C9E">
        <w:t>. Instrument finansowy – inne programy NFOŚiGW wspierające rozwój OZE.</w:t>
      </w:r>
      <w:r>
        <w:rPr>
          <w:szCs w:val="20"/>
        </w:rPr>
        <w:fldChar w:fldCharType="end"/>
      </w:r>
    </w:p>
    <w:p w14:paraId="474F4CFA" w14:textId="47662973" w:rsidR="002650ED" w:rsidRDefault="002650ED" w:rsidP="008340D5">
      <w:pPr>
        <w:pStyle w:val="Akapitzlist"/>
        <w:numPr>
          <w:ilvl w:val="0"/>
          <w:numId w:val="6"/>
        </w:numPr>
        <w:rPr>
          <w:szCs w:val="20"/>
        </w:rPr>
      </w:pPr>
      <w:r>
        <w:rPr>
          <w:szCs w:val="20"/>
        </w:rPr>
        <w:fldChar w:fldCharType="begin"/>
      </w:r>
      <w:r>
        <w:rPr>
          <w:szCs w:val="20"/>
        </w:rPr>
        <w:instrText xml:space="preserve"> REF _Ref157421165 \h </w:instrText>
      </w:r>
      <w:r>
        <w:rPr>
          <w:szCs w:val="20"/>
        </w:rPr>
      </w:r>
      <w:r>
        <w:rPr>
          <w:szCs w:val="20"/>
        </w:rPr>
        <w:fldChar w:fldCharType="separate"/>
      </w:r>
      <w:r w:rsidR="00DD3929" w:rsidRPr="00F12C9E">
        <w:t xml:space="preserve">Działanie </w:t>
      </w:r>
      <w:r w:rsidR="00DD3929">
        <w:rPr>
          <w:noProof/>
        </w:rPr>
        <w:t>18</w:t>
      </w:r>
      <w:r w:rsidR="00DD3929" w:rsidRPr="00F12C9E">
        <w:t xml:space="preserve">. Instrument finansowy – </w:t>
      </w:r>
      <w:r w:rsidR="00DD3929">
        <w:t>i</w:t>
      </w:r>
      <w:r w:rsidR="00DD3929" w:rsidRPr="00F12C9E">
        <w:t>nne instrumenty wspierające rozwój OZE.</w:t>
      </w:r>
      <w:r>
        <w:rPr>
          <w:szCs w:val="20"/>
        </w:rPr>
        <w:fldChar w:fldCharType="end"/>
      </w:r>
    </w:p>
    <w:p w14:paraId="768E36DA" w14:textId="176A70DE" w:rsidR="002650ED" w:rsidRDefault="002650ED" w:rsidP="008340D5">
      <w:pPr>
        <w:pStyle w:val="Akapitzlist"/>
        <w:numPr>
          <w:ilvl w:val="0"/>
          <w:numId w:val="6"/>
        </w:numPr>
        <w:rPr>
          <w:szCs w:val="20"/>
        </w:rPr>
      </w:pPr>
      <w:r>
        <w:rPr>
          <w:szCs w:val="20"/>
        </w:rPr>
        <w:fldChar w:fldCharType="begin"/>
      </w:r>
      <w:r>
        <w:rPr>
          <w:szCs w:val="20"/>
        </w:rPr>
        <w:instrText xml:space="preserve"> REF _Ref157420391 \h </w:instrText>
      </w:r>
      <w:r>
        <w:rPr>
          <w:szCs w:val="20"/>
        </w:rPr>
      </w:r>
      <w:r>
        <w:rPr>
          <w:szCs w:val="20"/>
        </w:rPr>
        <w:fldChar w:fldCharType="separate"/>
      </w:r>
      <w:r w:rsidR="00DD3929" w:rsidRPr="00F12C9E">
        <w:t xml:space="preserve">Działanie </w:t>
      </w:r>
      <w:r w:rsidR="00DD3929">
        <w:rPr>
          <w:noProof/>
        </w:rPr>
        <w:t>26</w:t>
      </w:r>
      <w:r w:rsidR="00DD3929" w:rsidRPr="00F12C9E">
        <w:t>. Zapewnienie warunków rozwoju SMR.</w:t>
      </w:r>
      <w:r>
        <w:rPr>
          <w:szCs w:val="20"/>
        </w:rPr>
        <w:fldChar w:fldCharType="end"/>
      </w:r>
    </w:p>
    <w:p w14:paraId="041F96C2" w14:textId="476A2345" w:rsidR="002650ED" w:rsidRDefault="002650ED" w:rsidP="008340D5">
      <w:pPr>
        <w:pStyle w:val="Akapitzlist"/>
        <w:numPr>
          <w:ilvl w:val="0"/>
          <w:numId w:val="6"/>
        </w:numPr>
        <w:rPr>
          <w:szCs w:val="20"/>
        </w:rPr>
      </w:pPr>
      <w:r>
        <w:rPr>
          <w:szCs w:val="20"/>
        </w:rPr>
        <w:fldChar w:fldCharType="begin"/>
      </w:r>
      <w:r>
        <w:rPr>
          <w:szCs w:val="20"/>
        </w:rPr>
        <w:instrText xml:space="preserve"> REF _Ref157425570 \h </w:instrText>
      </w:r>
      <w:r>
        <w:rPr>
          <w:szCs w:val="20"/>
        </w:rPr>
      </w:r>
      <w:r>
        <w:rPr>
          <w:szCs w:val="20"/>
        </w:rPr>
        <w:fldChar w:fldCharType="separate"/>
      </w:r>
      <w:r w:rsidR="00DD3929" w:rsidRPr="00F12C9E">
        <w:t xml:space="preserve">Działanie </w:t>
      </w:r>
      <w:r w:rsidR="00DD3929">
        <w:rPr>
          <w:noProof/>
        </w:rPr>
        <w:t>73</w:t>
      </w:r>
      <w:r w:rsidR="00DD3929" w:rsidRPr="00F12C9E">
        <w:t>. Instrument finansowy – przemysł energochłonny.</w:t>
      </w:r>
      <w:r>
        <w:rPr>
          <w:szCs w:val="20"/>
        </w:rPr>
        <w:fldChar w:fldCharType="end"/>
      </w:r>
    </w:p>
    <w:p w14:paraId="77CB0FFF" w14:textId="5D3301D0" w:rsidR="002650ED" w:rsidRDefault="002650ED" w:rsidP="008340D5">
      <w:pPr>
        <w:pStyle w:val="Akapitzlist"/>
        <w:numPr>
          <w:ilvl w:val="0"/>
          <w:numId w:val="6"/>
        </w:numPr>
        <w:rPr>
          <w:szCs w:val="20"/>
        </w:rPr>
      </w:pPr>
      <w:r>
        <w:rPr>
          <w:szCs w:val="20"/>
        </w:rPr>
        <w:fldChar w:fldCharType="begin"/>
      </w:r>
      <w:r>
        <w:rPr>
          <w:szCs w:val="20"/>
        </w:rPr>
        <w:instrText xml:space="preserve"> REF _Ref159187803 \h </w:instrText>
      </w:r>
      <w:r>
        <w:rPr>
          <w:szCs w:val="20"/>
        </w:rPr>
      </w:r>
      <w:r>
        <w:rPr>
          <w:szCs w:val="20"/>
        </w:rPr>
        <w:fldChar w:fldCharType="separate"/>
      </w:r>
      <w:r w:rsidR="00DD3929">
        <w:t xml:space="preserve">Działanie </w:t>
      </w:r>
      <w:r w:rsidR="00DD3929">
        <w:rPr>
          <w:noProof/>
        </w:rPr>
        <w:t>75</w:t>
      </w:r>
      <w:r w:rsidR="00DD3929">
        <w:t xml:space="preserve">. </w:t>
      </w:r>
      <w:r w:rsidR="00DD3929" w:rsidRPr="00660495">
        <w:t>Instrument finansowy – kontrakt różnicowy dla produkcji wodoru w przemyśle</w:t>
      </w:r>
      <w:r w:rsidR="00DD3929">
        <w:t>.</w:t>
      </w:r>
      <w:r>
        <w:rPr>
          <w:szCs w:val="20"/>
        </w:rPr>
        <w:fldChar w:fldCharType="end"/>
      </w:r>
    </w:p>
    <w:p w14:paraId="5906C9CC" w14:textId="21F8DA96" w:rsidR="00064DA3" w:rsidRPr="00064DA3" w:rsidRDefault="002650ED" w:rsidP="00064DA3">
      <w:pPr>
        <w:pStyle w:val="Akapitzlist"/>
        <w:numPr>
          <w:ilvl w:val="0"/>
          <w:numId w:val="6"/>
        </w:numPr>
      </w:pPr>
      <w:r w:rsidRPr="008C2E0D">
        <w:rPr>
          <w:szCs w:val="20"/>
        </w:rPr>
        <w:fldChar w:fldCharType="begin"/>
      </w:r>
      <w:r w:rsidRPr="008C2E0D">
        <w:rPr>
          <w:szCs w:val="20"/>
        </w:rPr>
        <w:instrText xml:space="preserve"> REF _Ref159242564 \h </w:instrText>
      </w:r>
      <w:r w:rsidRPr="008C2E0D">
        <w:rPr>
          <w:szCs w:val="20"/>
        </w:rPr>
      </w:r>
      <w:r w:rsidRPr="008C2E0D">
        <w:rPr>
          <w:szCs w:val="20"/>
        </w:rPr>
        <w:fldChar w:fldCharType="separate"/>
      </w:r>
      <w:r w:rsidR="00DD3929">
        <w:t xml:space="preserve">Działanie </w:t>
      </w:r>
      <w:r w:rsidR="00DD3929">
        <w:rPr>
          <w:noProof/>
        </w:rPr>
        <w:t>76</w:t>
      </w:r>
      <w:r w:rsidR="00DD3929">
        <w:t>.</w:t>
      </w:r>
      <w:r w:rsidR="00DD3929" w:rsidRPr="00660495">
        <w:t xml:space="preserve"> Wsparcie budowy mocy wytwórczych do produkcji wodoru odnawialnego i</w:t>
      </w:r>
      <w:r w:rsidR="00DD3929">
        <w:t> </w:t>
      </w:r>
      <w:r w:rsidR="00DD3929" w:rsidRPr="00660495">
        <w:t>niskoemisyjnego.</w:t>
      </w:r>
      <w:r w:rsidRPr="008C2E0D">
        <w:rPr>
          <w:szCs w:val="20"/>
        </w:rPr>
        <w:fldChar w:fldCharType="end"/>
      </w:r>
    </w:p>
    <w:p w14:paraId="4CC06EEE" w14:textId="33A3DA2B" w:rsidR="002650ED" w:rsidRPr="00064DA3" w:rsidRDefault="002650ED" w:rsidP="00064DA3">
      <w:pPr>
        <w:pStyle w:val="Akapitzlist"/>
        <w:numPr>
          <w:ilvl w:val="0"/>
          <w:numId w:val="6"/>
        </w:numPr>
      </w:pPr>
      <w:r w:rsidRPr="00064DA3">
        <w:rPr>
          <w:szCs w:val="20"/>
        </w:rPr>
        <w:fldChar w:fldCharType="begin"/>
      </w:r>
      <w:r w:rsidRPr="00064DA3">
        <w:rPr>
          <w:szCs w:val="20"/>
        </w:rPr>
        <w:instrText xml:space="preserve"> REF _Ref159242569 \h </w:instrText>
      </w:r>
      <w:r w:rsidRPr="00064DA3">
        <w:rPr>
          <w:szCs w:val="20"/>
        </w:rPr>
      </w:r>
      <w:r w:rsidRPr="00064DA3">
        <w:rPr>
          <w:szCs w:val="20"/>
        </w:rPr>
        <w:fldChar w:fldCharType="separate"/>
      </w:r>
      <w:r w:rsidR="00DD3929">
        <w:t xml:space="preserve">Działanie </w:t>
      </w:r>
      <w:r w:rsidR="00DD3929">
        <w:rPr>
          <w:noProof/>
        </w:rPr>
        <w:t>77</w:t>
      </w:r>
      <w:r w:rsidR="00DD3929">
        <w:t xml:space="preserve">. Analiza potrzeby </w:t>
      </w:r>
      <w:r w:rsidR="00DD3929" w:rsidRPr="00570679">
        <w:t>budowy morskiego terminalu portowego do przeładunku amoniaku.</w:t>
      </w:r>
      <w:r w:rsidRPr="00064DA3">
        <w:rPr>
          <w:szCs w:val="20"/>
        </w:rPr>
        <w:fldChar w:fldCharType="end"/>
      </w:r>
      <w:r w:rsidR="00064DA3" w:rsidRPr="00064DA3">
        <w:rPr>
          <w:szCs w:val="20"/>
        </w:rPr>
        <w:t xml:space="preserve"> </w:t>
      </w:r>
    </w:p>
    <w:p w14:paraId="2D51824C" w14:textId="1CD9D111" w:rsidR="00064DA3" w:rsidRDefault="00064DA3" w:rsidP="008340D5">
      <w:pPr>
        <w:pStyle w:val="Akapitzlist"/>
        <w:numPr>
          <w:ilvl w:val="0"/>
          <w:numId w:val="6"/>
        </w:numPr>
        <w:rPr>
          <w:szCs w:val="20"/>
        </w:rPr>
      </w:pPr>
      <w:r>
        <w:rPr>
          <w:szCs w:val="20"/>
        </w:rPr>
        <w:fldChar w:fldCharType="begin"/>
      </w:r>
      <w:r>
        <w:rPr>
          <w:szCs w:val="20"/>
        </w:rPr>
        <w:instrText xml:space="preserve"> REF _Ref157425628 \h </w:instrText>
      </w:r>
      <w:r>
        <w:rPr>
          <w:szCs w:val="20"/>
        </w:rPr>
      </w:r>
      <w:r>
        <w:rPr>
          <w:szCs w:val="20"/>
        </w:rPr>
        <w:fldChar w:fldCharType="separate"/>
      </w:r>
      <w:r w:rsidR="00DD3929" w:rsidRPr="00F12C9E">
        <w:t xml:space="preserve">Działanie </w:t>
      </w:r>
      <w:r w:rsidR="00DD3929">
        <w:rPr>
          <w:noProof/>
        </w:rPr>
        <w:t>79</w:t>
      </w:r>
      <w:r w:rsidR="00DD3929" w:rsidRPr="00F12C9E">
        <w:t xml:space="preserve">. </w:t>
      </w:r>
      <w:r w:rsidR="00DD3929" w:rsidRPr="00010DD9">
        <w:t>Kontrakty różnicowe dla redukcji CO</w:t>
      </w:r>
      <w:r w:rsidR="00DD3929" w:rsidRPr="00010DD9">
        <w:rPr>
          <w:vertAlign w:val="subscript"/>
        </w:rPr>
        <w:t>2</w:t>
      </w:r>
      <w:r w:rsidR="00DD3929" w:rsidRPr="00010DD9">
        <w:t xml:space="preserve"> oraz inne działania wspierające komercyjne projekty CCS i CCU</w:t>
      </w:r>
      <w:r w:rsidR="00DD3929" w:rsidRPr="00F12C9E">
        <w:t>.</w:t>
      </w:r>
      <w:r>
        <w:rPr>
          <w:szCs w:val="20"/>
        </w:rPr>
        <w:fldChar w:fldCharType="end"/>
      </w:r>
    </w:p>
    <w:p w14:paraId="68C749CB" w14:textId="5DC99393" w:rsidR="00064DA3" w:rsidRDefault="00064DA3" w:rsidP="008340D5">
      <w:pPr>
        <w:pStyle w:val="Akapitzlist"/>
        <w:numPr>
          <w:ilvl w:val="0"/>
          <w:numId w:val="6"/>
        </w:numPr>
        <w:rPr>
          <w:szCs w:val="20"/>
        </w:rPr>
      </w:pPr>
      <w:r>
        <w:rPr>
          <w:szCs w:val="20"/>
        </w:rPr>
        <w:fldChar w:fldCharType="begin"/>
      </w:r>
      <w:r>
        <w:rPr>
          <w:szCs w:val="20"/>
        </w:rPr>
        <w:instrText xml:space="preserve"> REF _Ref174036279 \h </w:instrText>
      </w:r>
      <w:r>
        <w:rPr>
          <w:szCs w:val="20"/>
        </w:rPr>
      </w:r>
      <w:r>
        <w:rPr>
          <w:szCs w:val="20"/>
        </w:rPr>
        <w:fldChar w:fldCharType="separate"/>
      </w:r>
      <w:r w:rsidR="00DD3929" w:rsidRPr="00751886">
        <w:t xml:space="preserve">Działanie </w:t>
      </w:r>
      <w:r w:rsidR="00DD3929">
        <w:rPr>
          <w:noProof/>
        </w:rPr>
        <w:t>91</w:t>
      </w:r>
      <w:r w:rsidR="00DD3929" w:rsidRPr="00751886">
        <w:t>. Instrument finansowy – Preferencje dla wytwórców energii elektrycznej w wysokosprawnej kogeneracji.</w:t>
      </w:r>
      <w:r>
        <w:rPr>
          <w:szCs w:val="20"/>
        </w:rPr>
        <w:fldChar w:fldCharType="end"/>
      </w:r>
    </w:p>
    <w:p w14:paraId="45482C9B" w14:textId="5EC05C04" w:rsidR="002650ED" w:rsidRDefault="002650ED" w:rsidP="008340D5">
      <w:pPr>
        <w:pStyle w:val="Akapitzlist"/>
        <w:numPr>
          <w:ilvl w:val="0"/>
          <w:numId w:val="6"/>
        </w:numPr>
        <w:rPr>
          <w:szCs w:val="20"/>
        </w:rPr>
      </w:pPr>
      <w:r>
        <w:rPr>
          <w:szCs w:val="20"/>
        </w:rPr>
        <w:fldChar w:fldCharType="begin"/>
      </w:r>
      <w:r>
        <w:rPr>
          <w:szCs w:val="20"/>
        </w:rPr>
        <w:instrText xml:space="preserve"> REF _Ref157423332 \h </w:instrText>
      </w:r>
      <w:r>
        <w:rPr>
          <w:szCs w:val="20"/>
        </w:rPr>
      </w:r>
      <w:r>
        <w:rPr>
          <w:szCs w:val="20"/>
        </w:rPr>
        <w:fldChar w:fldCharType="separate"/>
      </w:r>
      <w:r w:rsidR="00DD3929" w:rsidRPr="00751886">
        <w:t xml:space="preserve">Działanie </w:t>
      </w:r>
      <w:r w:rsidR="00DD3929">
        <w:rPr>
          <w:noProof/>
        </w:rPr>
        <w:t>94</w:t>
      </w:r>
      <w:r w:rsidR="00DD3929" w:rsidRPr="00751886">
        <w:t xml:space="preserve">. </w:t>
      </w:r>
      <w:r w:rsidR="00DD3929" w:rsidRPr="00661B98">
        <w:t>Instrument</w:t>
      </w:r>
      <w:r w:rsidR="00DD3929" w:rsidRPr="00751886">
        <w:t xml:space="preserve"> finansowy – system białych certyfikatów.</w:t>
      </w:r>
      <w:r>
        <w:rPr>
          <w:szCs w:val="20"/>
        </w:rPr>
        <w:fldChar w:fldCharType="end"/>
      </w:r>
    </w:p>
    <w:p w14:paraId="00CE5688" w14:textId="6A0C7DD4" w:rsidR="008C2E0D" w:rsidRDefault="008C2E0D" w:rsidP="008340D5">
      <w:pPr>
        <w:pStyle w:val="Akapitzlist"/>
        <w:numPr>
          <w:ilvl w:val="0"/>
          <w:numId w:val="6"/>
        </w:numPr>
        <w:rPr>
          <w:szCs w:val="20"/>
        </w:rPr>
      </w:pPr>
      <w:r>
        <w:rPr>
          <w:szCs w:val="20"/>
        </w:rPr>
        <w:fldChar w:fldCharType="begin"/>
      </w:r>
      <w:r>
        <w:rPr>
          <w:szCs w:val="20"/>
        </w:rPr>
        <w:instrText xml:space="preserve"> REF _Ref157428491 \h </w:instrText>
      </w:r>
      <w:r>
        <w:rPr>
          <w:szCs w:val="20"/>
        </w:rPr>
      </w:r>
      <w:r>
        <w:rPr>
          <w:szCs w:val="20"/>
        </w:rPr>
        <w:fldChar w:fldCharType="separate"/>
      </w:r>
      <w:r w:rsidR="00DD3929" w:rsidRPr="00751886">
        <w:t xml:space="preserve">Działanie </w:t>
      </w:r>
      <w:r w:rsidR="00DD3929">
        <w:rPr>
          <w:noProof/>
        </w:rPr>
        <w:t>95</w:t>
      </w:r>
      <w:r w:rsidR="00DD3929" w:rsidRPr="00751886">
        <w:t xml:space="preserve">. Rozwój </w:t>
      </w:r>
      <w:r w:rsidR="00DD3929" w:rsidRPr="00661B98">
        <w:t>audytów</w:t>
      </w:r>
      <w:r w:rsidR="00DD3929" w:rsidRPr="00751886">
        <w:t xml:space="preserve"> energetycznych i systemów zarządzania energią.</w:t>
      </w:r>
      <w:r>
        <w:rPr>
          <w:szCs w:val="20"/>
        </w:rPr>
        <w:fldChar w:fldCharType="end"/>
      </w:r>
    </w:p>
    <w:p w14:paraId="1A46AE39" w14:textId="2347BAF0" w:rsidR="002650ED" w:rsidRDefault="002650ED" w:rsidP="008340D5">
      <w:pPr>
        <w:pStyle w:val="Akapitzlist"/>
        <w:numPr>
          <w:ilvl w:val="0"/>
          <w:numId w:val="6"/>
        </w:numPr>
        <w:rPr>
          <w:szCs w:val="20"/>
        </w:rPr>
      </w:pPr>
      <w:r>
        <w:rPr>
          <w:szCs w:val="20"/>
        </w:rPr>
        <w:fldChar w:fldCharType="begin"/>
      </w:r>
      <w:r>
        <w:rPr>
          <w:szCs w:val="20"/>
        </w:rPr>
        <w:instrText xml:space="preserve"> REF _Ref157430987 \h </w:instrText>
      </w:r>
      <w:r>
        <w:rPr>
          <w:szCs w:val="20"/>
        </w:rPr>
      </w:r>
      <w:r>
        <w:rPr>
          <w:szCs w:val="20"/>
        </w:rPr>
        <w:fldChar w:fldCharType="separate"/>
      </w:r>
      <w:r w:rsidR="00DD3929" w:rsidRPr="00DE3F08">
        <w:t xml:space="preserve">Działanie </w:t>
      </w:r>
      <w:r w:rsidR="00DD3929">
        <w:rPr>
          <w:noProof/>
        </w:rPr>
        <w:t>99</w:t>
      </w:r>
      <w:r w:rsidR="00DD3929" w:rsidRPr="00DE3F08">
        <w:t xml:space="preserve">. </w:t>
      </w:r>
      <w:r w:rsidR="00DD3929" w:rsidRPr="00661B98">
        <w:t>Wsparcie</w:t>
      </w:r>
      <w:r w:rsidR="00DD3929" w:rsidRPr="00DE3F08">
        <w:t xml:space="preserve"> dla przedsiębiorstw działających w formule ESCO.</w:t>
      </w:r>
      <w:r>
        <w:rPr>
          <w:szCs w:val="20"/>
        </w:rPr>
        <w:fldChar w:fldCharType="end"/>
      </w:r>
    </w:p>
    <w:p w14:paraId="4A792512" w14:textId="1275D883" w:rsidR="009B599C" w:rsidRPr="00837A1F" w:rsidRDefault="002650ED" w:rsidP="00837A1F">
      <w:pPr>
        <w:pStyle w:val="Akapitzlist"/>
        <w:numPr>
          <w:ilvl w:val="0"/>
          <w:numId w:val="6"/>
        </w:numPr>
        <w:rPr>
          <w:szCs w:val="20"/>
        </w:rPr>
      </w:pPr>
      <w:r>
        <w:rPr>
          <w:szCs w:val="20"/>
        </w:rPr>
        <w:fldChar w:fldCharType="begin"/>
      </w:r>
      <w:r>
        <w:rPr>
          <w:szCs w:val="20"/>
        </w:rPr>
        <w:instrText xml:space="preserve"> REF _Ref157429352 \h </w:instrText>
      </w:r>
      <w:r>
        <w:rPr>
          <w:szCs w:val="20"/>
        </w:rPr>
      </w:r>
      <w:r>
        <w:rPr>
          <w:szCs w:val="20"/>
        </w:rPr>
        <w:fldChar w:fldCharType="separate"/>
      </w:r>
      <w:r w:rsidR="00DD3929" w:rsidRPr="00F12C9E">
        <w:t xml:space="preserve">Działanie </w:t>
      </w:r>
      <w:r w:rsidR="00DD3929">
        <w:rPr>
          <w:noProof/>
        </w:rPr>
        <w:t>112</w:t>
      </w:r>
      <w:r w:rsidR="00DD3929" w:rsidRPr="00F12C9E">
        <w:t>. Rozwój infrastruktury wodorowej.</w:t>
      </w:r>
      <w:r>
        <w:rPr>
          <w:szCs w:val="20"/>
        </w:rPr>
        <w:fldChar w:fldCharType="end"/>
      </w:r>
      <w:bookmarkEnd w:id="63"/>
      <w:bookmarkEnd w:id="66"/>
    </w:p>
    <w:p w14:paraId="33A93AD3" w14:textId="0CEC6E6C" w:rsidR="007754E2" w:rsidRDefault="001039C9" w:rsidP="007754E2">
      <w:pPr>
        <w:pStyle w:val="Nagwek4"/>
        <w:rPr>
          <w:color w:val="70AD47" w:themeColor="accent6"/>
        </w:rPr>
      </w:pPr>
      <w:bookmarkStart w:id="67" w:name="_Toc159598293"/>
      <w:bookmarkStart w:id="68" w:name="_Ref174098003"/>
      <w:bookmarkStart w:id="69" w:name="_Ref174098009"/>
      <w:bookmarkStart w:id="70" w:name="_Toc179536941"/>
      <w:bookmarkStart w:id="71" w:name="_Hlk149850879"/>
      <w:r>
        <w:rPr>
          <w:color w:val="70AD47" w:themeColor="accent6"/>
        </w:rPr>
        <w:t>Redukcja</w:t>
      </w:r>
      <w:r w:rsidR="00270892">
        <w:rPr>
          <w:color w:val="70AD47" w:themeColor="accent6"/>
        </w:rPr>
        <w:t xml:space="preserve"> emisji </w:t>
      </w:r>
      <w:r w:rsidR="00932BB1">
        <w:rPr>
          <w:color w:val="70AD47" w:themeColor="accent6"/>
        </w:rPr>
        <w:t xml:space="preserve">GC </w:t>
      </w:r>
      <w:r w:rsidR="00FF1774">
        <w:rPr>
          <w:color w:val="70AD47" w:themeColor="accent6"/>
        </w:rPr>
        <w:t>w</w:t>
      </w:r>
      <w:r w:rsidR="00270892">
        <w:rPr>
          <w:color w:val="70AD47" w:themeColor="accent6"/>
        </w:rPr>
        <w:t xml:space="preserve"> </w:t>
      </w:r>
      <w:r w:rsidR="00C06AA6">
        <w:rPr>
          <w:color w:val="70AD47" w:themeColor="accent6"/>
        </w:rPr>
        <w:t>rolnictw</w:t>
      </w:r>
      <w:r w:rsidR="00FF1774">
        <w:rPr>
          <w:color w:val="70AD47" w:themeColor="accent6"/>
        </w:rPr>
        <w:t>ie</w:t>
      </w:r>
      <w:bookmarkEnd w:id="67"/>
      <w:bookmarkEnd w:id="68"/>
      <w:bookmarkEnd w:id="69"/>
      <w:bookmarkEnd w:id="70"/>
    </w:p>
    <w:p w14:paraId="689A9827" w14:textId="1CD4BB77" w:rsidR="00BA154D" w:rsidRDefault="00BA154D" w:rsidP="00BA154D">
      <w:r>
        <w:t xml:space="preserve">Rolnictwo jest źródłem emisji gazów cieplarnianych, których poziom od ok. dwóch dekad utrzymuje się na stabilnym poziomie </w:t>
      </w:r>
      <w:r w:rsidR="00267A69">
        <w:t xml:space="preserve">31–34 </w:t>
      </w:r>
      <w:r>
        <w:t xml:space="preserve">mln t </w:t>
      </w:r>
      <w:r w:rsidR="0060072F">
        <w:t xml:space="preserve">ekw. </w:t>
      </w:r>
      <w:r>
        <w:t>CO</w:t>
      </w:r>
      <w:r w:rsidRPr="0060072F">
        <w:rPr>
          <w:vertAlign w:val="subscript"/>
        </w:rPr>
        <w:t>2</w:t>
      </w:r>
      <w:r>
        <w:t xml:space="preserve">. </w:t>
      </w:r>
      <w:r w:rsidR="003A638C">
        <w:t>Do kategorii źródeł emisji w rolnictwie zalicza się fermentację jelitową i odchody zwierząt (CH</w:t>
      </w:r>
      <w:r w:rsidR="003A638C" w:rsidRPr="00D4112C">
        <w:rPr>
          <w:vertAlign w:val="subscript"/>
        </w:rPr>
        <w:t>4</w:t>
      </w:r>
      <w:r w:rsidR="003A638C">
        <w:t>), spalanie odpadów roślinnych, emisję z gleb rolnych (N</w:t>
      </w:r>
      <w:r w:rsidR="003A638C" w:rsidRPr="00D4112C">
        <w:rPr>
          <w:vertAlign w:val="subscript"/>
        </w:rPr>
        <w:t>2</w:t>
      </w:r>
      <w:r w:rsidR="003A638C">
        <w:t>O) oraz stosowanie nawozów – wapnowanie, mocznik, inne (CO</w:t>
      </w:r>
      <w:r w:rsidR="003A638C" w:rsidRPr="00D4112C">
        <w:rPr>
          <w:vertAlign w:val="subscript"/>
        </w:rPr>
        <w:t>2</w:t>
      </w:r>
      <w:r w:rsidR="003A638C">
        <w:t>)</w:t>
      </w:r>
      <w:r w:rsidR="00363592">
        <w:t>,</w:t>
      </w:r>
      <w:r w:rsidR="00020F56">
        <w:t xml:space="preserve"> </w:t>
      </w:r>
      <w:r w:rsidR="00020F56" w:rsidRPr="00623F2F">
        <w:t>przy czym emisje CO</w:t>
      </w:r>
      <w:r w:rsidR="00020F56" w:rsidRPr="00D64E67">
        <w:rPr>
          <w:vertAlign w:val="subscript"/>
        </w:rPr>
        <w:t>2</w:t>
      </w:r>
      <w:r w:rsidR="00020F56" w:rsidRPr="00623F2F">
        <w:t xml:space="preserve"> w rolnictwie mają znaczenie marginalne</w:t>
      </w:r>
      <w:r w:rsidR="003A638C">
        <w:t>.</w:t>
      </w:r>
      <w:r>
        <w:t xml:space="preserve"> Rolnictwo jest odpowiedzialne za około 8</w:t>
      </w:r>
      <w:r w:rsidR="005B637D">
        <w:t>–9</w:t>
      </w:r>
      <w:r>
        <w:t>% krajowej emisji gazów cieplarnianych. Udział emisji z rolnictwa w grupie non-ETS wynosi około 16</w:t>
      </w:r>
      <w:r w:rsidR="005B637D">
        <w:t>–</w:t>
      </w:r>
      <w:r>
        <w:t>17%.</w:t>
      </w:r>
    </w:p>
    <w:p w14:paraId="38668EBD" w14:textId="1C4B9AB7" w:rsidR="00BA154D" w:rsidRDefault="007D4DA6" w:rsidP="00BA154D">
      <w:r>
        <w:t xml:space="preserve">Rolnictwo dysponuje ograniczonymi możliwościami redukcji emisji gazów, ze względu na specyfikę procesów biologicznych zachodzących podczas produkcji i strategiczne znaczenie zachowania bezpieczeństwa żywnościowego. </w:t>
      </w:r>
      <w:r w:rsidR="00BA154D">
        <w:t>Ograniczenie emisji GC może prowadzić w znacznym stopniu do zmniejszenia produkcji (zmniejszenie pogłowia, zmniejszenie ilości stosowanych nawozów), co ma bezpośrednie przełożenie na bezpieczeństwo żywnościowe i uzależnienie od zewnętrznych źródeł dostaw oraz powstawanie zjawiska „ucieczki emisji”</w:t>
      </w:r>
      <w:r w:rsidR="005F6F53">
        <w:rPr>
          <w:rStyle w:val="Odwoanieprzypisudolnego"/>
        </w:rPr>
        <w:footnoteReference w:id="40"/>
      </w:r>
      <w:r w:rsidR="00BA154D">
        <w:t xml:space="preserve">. Istotne są również koszty działań na rzecz redukcji </w:t>
      </w:r>
      <w:r w:rsidR="009C71BB">
        <w:t xml:space="preserve">emisji </w:t>
      </w:r>
      <w:r w:rsidR="003A638C">
        <w:t>GC</w:t>
      </w:r>
      <w:r>
        <w:t>,</w:t>
      </w:r>
      <w:r w:rsidR="00BA154D">
        <w:t xml:space="preserve"> mogące negatywnie wpływać na rozwój (poziom) produkcji, szczególnie zwierzęcej, kondycję gospodarstw rolnych </w:t>
      </w:r>
      <w:r w:rsidR="004B0331">
        <w:t xml:space="preserve">i </w:t>
      </w:r>
      <w:r w:rsidR="00BA154D">
        <w:t xml:space="preserve">wzrost cen żywności. </w:t>
      </w:r>
    </w:p>
    <w:p w14:paraId="70CF0929" w14:textId="2828729D" w:rsidR="004B0331" w:rsidRDefault="00477FF5" w:rsidP="00BA154D">
      <w:r>
        <w:rPr>
          <w:noProof/>
        </w:rPr>
        <w:lastRenderedPageBreak/>
        <w:drawing>
          <wp:anchor distT="0" distB="0" distL="114300" distR="114300" simplePos="0" relativeHeight="251776000" behindDoc="0" locked="0" layoutInCell="1" allowOverlap="1" wp14:anchorId="011E3D79" wp14:editId="33DCB090">
            <wp:simplePos x="0" y="0"/>
            <wp:positionH relativeFrom="margin">
              <wp:align>right</wp:align>
            </wp:positionH>
            <wp:positionV relativeFrom="paragraph">
              <wp:posOffset>408940</wp:posOffset>
            </wp:positionV>
            <wp:extent cx="2665095" cy="2019300"/>
            <wp:effectExtent l="0" t="0" r="1905" b="0"/>
            <wp:wrapTight wrapText="bothSides">
              <wp:wrapPolygon edited="0">
                <wp:start x="0" y="0"/>
                <wp:lineTo x="0" y="21396"/>
                <wp:lineTo x="21461" y="21396"/>
                <wp:lineTo x="21461" y="0"/>
                <wp:lineTo x="0" y="0"/>
              </wp:wrapPolygon>
            </wp:wrapTight>
            <wp:docPr id="1788325667" name="Wykres 1">
              <a:extLst xmlns:a="http://schemas.openxmlformats.org/drawingml/2006/main">
                <a:ext uri="{FF2B5EF4-FFF2-40B4-BE49-F238E27FC236}">
                  <a16:creationId xmlns:a16="http://schemas.microsoft.com/office/drawing/2014/main" id="{C5530597-0F7A-23D1-53F8-A3C6598CC7A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14:sizeRelH relativeFrom="margin">
              <wp14:pctWidth>0</wp14:pctWidth>
            </wp14:sizeRelH>
            <wp14:sizeRelV relativeFrom="margin">
              <wp14:pctHeight>0</wp14:pctHeight>
            </wp14:sizeRelV>
          </wp:anchor>
        </w:drawing>
      </w:r>
      <w:r w:rsidR="00BA154D">
        <w:t>Równocześnie zmiany klimatu przejawiające się w anomaliach i ekstremalnych warunkach pogodowych przyspieszają degradację środowiska naturalnego powodując m.in. susze, wichury, powodzie i pożary, a</w:t>
      </w:r>
      <w:r w:rsidR="004B0331">
        <w:t> </w:t>
      </w:r>
      <w:r w:rsidR="00BA154D">
        <w:t>także sprzyjają rozprzestrzenianiu się chorób i szkodników. Szczególnie dotkliwym zjawiskiem w Polsce są powtarzające się susze. Ekstremalne warunki pogodowe i klimatyczne wpływają negatywnie na wysokość i jakość plonów, a w konsekwencji – dostępność dobrej jakościowo i przystępnej cenowo żywności na rynku. Mają również poważne konsekwencje ekonomiczne dla gospodarstw rolniczych, związane ze stratami wywołanymi przez anomalie pogodowe czy walkę z chorobami i szkodnikami.</w:t>
      </w:r>
      <w:r w:rsidR="007D4DA6">
        <w:t xml:space="preserve">  Z tego względu niezbędne jest nastawienie działań na adaptację do zmian klimatu, tak aby skutki miały możliwie </w:t>
      </w:r>
      <w:r w:rsidR="00A034EC">
        <w:t xml:space="preserve">niewielki </w:t>
      </w:r>
      <w:r w:rsidR="007D4DA6">
        <w:t xml:space="preserve">wpływ na rolnictwo. </w:t>
      </w:r>
    </w:p>
    <w:p w14:paraId="4F93B13A" w14:textId="30B6D5B2" w:rsidR="00080BA7" w:rsidRPr="004B0331" w:rsidRDefault="009230DD" w:rsidP="004B0331">
      <w:pPr>
        <w:pStyle w:val="Cele"/>
        <w:rPr>
          <w:b/>
          <w:bCs/>
        </w:rPr>
      </w:pPr>
      <w:r w:rsidRPr="004B0331">
        <w:rPr>
          <w:b/>
          <w:bCs/>
        </w:rPr>
        <w:t>Prognozy wskazują, że w Polsce w 2030 r.  emisje</w:t>
      </w:r>
      <w:r w:rsidR="001E3949">
        <w:rPr>
          <w:b/>
          <w:bCs/>
        </w:rPr>
        <w:t xml:space="preserve"> GC</w:t>
      </w:r>
      <w:r w:rsidRPr="004B0331">
        <w:rPr>
          <w:b/>
          <w:bCs/>
        </w:rPr>
        <w:t xml:space="preserve"> z rolnictwa osiągną wielkości rzędu 35 </w:t>
      </w:r>
      <w:r w:rsidR="004B0331" w:rsidRPr="004B0331">
        <w:rPr>
          <w:b/>
          <w:bCs/>
        </w:rPr>
        <w:t>mln t</w:t>
      </w:r>
      <w:r w:rsidRPr="004B0331">
        <w:rPr>
          <w:b/>
          <w:bCs/>
        </w:rPr>
        <w:t xml:space="preserve"> </w:t>
      </w:r>
      <w:r w:rsidR="004B0331">
        <w:rPr>
          <w:b/>
          <w:bCs/>
        </w:rPr>
        <w:t xml:space="preserve">ekw. </w:t>
      </w:r>
      <w:r w:rsidRPr="004B0331">
        <w:rPr>
          <w:b/>
          <w:bCs/>
        </w:rPr>
        <w:t>CO</w:t>
      </w:r>
      <w:r w:rsidRPr="004B0331">
        <w:rPr>
          <w:b/>
          <w:bCs/>
          <w:vertAlign w:val="subscript"/>
        </w:rPr>
        <w:t>2</w:t>
      </w:r>
      <w:r w:rsidRPr="004B0331">
        <w:rPr>
          <w:b/>
          <w:bCs/>
        </w:rPr>
        <w:t xml:space="preserve">, a więc obserwowany będzie niewielki trend wzrostowy emisji w porównaniu z 2005 </w:t>
      </w:r>
      <w:r w:rsidR="004B0331" w:rsidRPr="004B0331">
        <w:rPr>
          <w:b/>
          <w:bCs/>
        </w:rPr>
        <w:t xml:space="preserve">r. </w:t>
      </w:r>
      <w:r w:rsidRPr="004B0331">
        <w:rPr>
          <w:b/>
          <w:bCs/>
        </w:rPr>
        <w:t xml:space="preserve">(32 </w:t>
      </w:r>
      <w:r w:rsidR="004B0331" w:rsidRPr="004B0331">
        <w:rPr>
          <w:b/>
          <w:bCs/>
        </w:rPr>
        <w:t>mln t</w:t>
      </w:r>
      <w:r w:rsidRPr="004B0331">
        <w:rPr>
          <w:b/>
          <w:bCs/>
        </w:rPr>
        <w:t xml:space="preserve"> </w:t>
      </w:r>
      <w:r w:rsidR="004B0331">
        <w:rPr>
          <w:b/>
          <w:bCs/>
        </w:rPr>
        <w:t xml:space="preserve">ekw. </w:t>
      </w:r>
      <w:r w:rsidRPr="004B0331">
        <w:rPr>
          <w:b/>
          <w:bCs/>
        </w:rPr>
        <w:t>CO</w:t>
      </w:r>
      <w:r w:rsidRPr="004B0331">
        <w:rPr>
          <w:b/>
          <w:bCs/>
          <w:vertAlign w:val="subscript"/>
        </w:rPr>
        <w:t>2</w:t>
      </w:r>
      <w:r w:rsidRPr="004B0331">
        <w:rPr>
          <w:b/>
          <w:bCs/>
        </w:rPr>
        <w:t>)</w:t>
      </w:r>
      <w:r w:rsidR="001E3949">
        <w:rPr>
          <w:b/>
          <w:bCs/>
        </w:rPr>
        <w:t xml:space="preserve">. </w:t>
      </w:r>
      <w:r w:rsidR="004C42D6">
        <w:rPr>
          <w:b/>
          <w:bCs/>
        </w:rPr>
        <w:t>Prognozowana w</w:t>
      </w:r>
      <w:r w:rsidR="001E3949">
        <w:rPr>
          <w:b/>
          <w:bCs/>
        </w:rPr>
        <w:t xml:space="preserve">ielkość emisji będzie </w:t>
      </w:r>
      <w:r w:rsidR="004C42D6">
        <w:rPr>
          <w:b/>
          <w:bCs/>
        </w:rPr>
        <w:t xml:space="preserve">w 2030 r. </w:t>
      </w:r>
      <w:r w:rsidR="001E3949">
        <w:rPr>
          <w:b/>
          <w:bCs/>
        </w:rPr>
        <w:t>niższa o 29% w stosunku do 1990 r</w:t>
      </w:r>
      <w:r w:rsidR="001E3949" w:rsidRPr="004B0331">
        <w:rPr>
          <w:b/>
          <w:bCs/>
        </w:rPr>
        <w:t xml:space="preserve">.  </w:t>
      </w:r>
    </w:p>
    <w:p w14:paraId="553E1B5F" w14:textId="77777777" w:rsidR="00080BA7" w:rsidRDefault="00080BA7" w:rsidP="003657F2">
      <w:pPr>
        <w:pStyle w:val="Polityka"/>
      </w:pPr>
      <w:r w:rsidRPr="00C46DAA">
        <w:t>POLITYKA</w:t>
      </w:r>
    </w:p>
    <w:p w14:paraId="1C7DE685" w14:textId="67E3E86F" w:rsidR="00BA154D" w:rsidRDefault="00B351F5" w:rsidP="00BA154D">
      <w:r>
        <w:t>Znaczna część</w:t>
      </w:r>
      <w:r w:rsidR="00BA154D">
        <w:t xml:space="preserve"> działań na rzecz redukcji emisji </w:t>
      </w:r>
      <w:r w:rsidR="00047932">
        <w:t>gazów cieplarnianych</w:t>
      </w:r>
      <w:r w:rsidR="00BA154D">
        <w:t xml:space="preserve"> w rolnictwie wdrażana jest za pomocą instrumentów Wspólnej Polityki Rolnej (WPR), a te określone zostały szczegółowo w </w:t>
      </w:r>
      <w:r w:rsidR="00BA154D" w:rsidRPr="002C4B10">
        <w:rPr>
          <w:b/>
          <w:bCs/>
        </w:rPr>
        <w:t>Planie Strategicznym WPR</w:t>
      </w:r>
      <w:r w:rsidR="00BA154D">
        <w:t xml:space="preserve"> </w:t>
      </w:r>
      <w:r w:rsidR="00BA154D" w:rsidRPr="002C4B10">
        <w:rPr>
          <w:b/>
          <w:bCs/>
        </w:rPr>
        <w:t>na lata 2023</w:t>
      </w:r>
      <w:r w:rsidR="002C4B10">
        <w:rPr>
          <w:b/>
          <w:bCs/>
        </w:rPr>
        <w:softHyphen/>
        <w:t>–</w:t>
      </w:r>
      <w:r w:rsidR="00BA154D" w:rsidRPr="002C4B10">
        <w:rPr>
          <w:b/>
          <w:bCs/>
        </w:rPr>
        <w:t>2027</w:t>
      </w:r>
      <w:r w:rsidR="002C4B10">
        <w:rPr>
          <w:b/>
          <w:bCs/>
        </w:rPr>
        <w:t xml:space="preserve"> </w:t>
      </w:r>
      <w:r w:rsidR="002C4B10">
        <w:t>(</w:t>
      </w:r>
      <w:hyperlink r:id="rId59" w:history="1">
        <w:r w:rsidR="002C4B10" w:rsidRPr="002C4B10">
          <w:rPr>
            <w:rStyle w:val="Hipercze"/>
          </w:rPr>
          <w:t>link</w:t>
        </w:r>
      </w:hyperlink>
      <w:r w:rsidR="002C4B10">
        <w:t>)</w:t>
      </w:r>
      <w:r w:rsidR="00BA154D">
        <w:t>. Plan Strategiczny stanowi narzędzie wsparcia zrównoważonych metod gospodarowania promujących działania przyjazne klimatowi i środowisku, chroniące glebę, wodę i</w:t>
      </w:r>
      <w:r w:rsidR="002C4B10">
        <w:t> </w:t>
      </w:r>
      <w:r w:rsidR="00BA154D">
        <w:t xml:space="preserve">powietrze oraz różnorodność biologiczną. Wsparcie jest realizowane zarówno poprzez płatności roczne (I filar WPR), jak i wieloletnie zobowiązania (inwestycje w ramach II filaru WPR). </w:t>
      </w:r>
    </w:p>
    <w:p w14:paraId="68F968A2" w14:textId="64FD23B2" w:rsidR="008A796A" w:rsidRPr="008A796A" w:rsidRDefault="00D44ABA" w:rsidP="008A796A">
      <w:pPr>
        <w:rPr>
          <w:u w:val="words"/>
        </w:rPr>
      </w:pPr>
      <w:r>
        <w:rPr>
          <w:rFonts w:eastAsia="Calibri" w:cs="Times New Roman"/>
          <w:u w:val="words"/>
        </w:rPr>
        <w:t xml:space="preserve">Działania na rzecz ograniczania emisji </w:t>
      </w:r>
      <w:r w:rsidR="00047932">
        <w:rPr>
          <w:rFonts w:eastAsia="Calibri" w:cs="Times New Roman"/>
          <w:u w:val="words"/>
        </w:rPr>
        <w:t>GC</w:t>
      </w:r>
      <w:r>
        <w:rPr>
          <w:rFonts w:eastAsia="Calibri" w:cs="Times New Roman"/>
          <w:u w:val="words"/>
        </w:rPr>
        <w:t xml:space="preserve"> – wynikające </w:t>
      </w:r>
      <w:r w:rsidRPr="00D44ABA">
        <w:rPr>
          <w:rFonts w:eastAsia="Calibri" w:cs="Times New Roman"/>
          <w:u w:val="words"/>
        </w:rPr>
        <w:t>z Planu Strategicznego</w:t>
      </w:r>
      <w:r>
        <w:rPr>
          <w:rFonts w:eastAsia="Calibri" w:cs="Times New Roman"/>
          <w:u w:val="words"/>
        </w:rPr>
        <w:t xml:space="preserve"> </w:t>
      </w:r>
      <w:r w:rsidR="00624987">
        <w:rPr>
          <w:rFonts w:eastAsia="Calibri" w:cs="Times New Roman"/>
          <w:u w:val="words"/>
        </w:rPr>
        <w:t xml:space="preserve">WPR </w:t>
      </w:r>
      <w:r>
        <w:rPr>
          <w:rFonts w:eastAsia="Calibri" w:cs="Times New Roman"/>
          <w:u w:val="words"/>
        </w:rPr>
        <w:t>– obejmują:</w:t>
      </w:r>
      <w:r w:rsidR="008A796A" w:rsidRPr="008A796A">
        <w:rPr>
          <w:u w:val="words"/>
        </w:rPr>
        <w:t xml:space="preserve"> </w:t>
      </w:r>
    </w:p>
    <w:p w14:paraId="432FF2E2" w14:textId="307C6369" w:rsidR="008A796A" w:rsidRPr="00A034EC" w:rsidRDefault="008A796A" w:rsidP="00612B5D">
      <w:pPr>
        <w:pStyle w:val="Akapitzlist"/>
        <w:numPr>
          <w:ilvl w:val="0"/>
          <w:numId w:val="41"/>
        </w:numPr>
        <w:rPr>
          <w:u w:val="single"/>
        </w:rPr>
      </w:pPr>
      <w:r w:rsidRPr="00A034EC">
        <w:rPr>
          <w:b/>
          <w:bCs/>
          <w:u w:val="single"/>
        </w:rPr>
        <w:t>stosowanie warunkowości środowiskowej</w:t>
      </w:r>
      <w:r w:rsidRPr="00A034EC">
        <w:rPr>
          <w:u w:val="single"/>
        </w:rPr>
        <w:t xml:space="preserve">, czyli </w:t>
      </w:r>
      <w:r w:rsidR="000A6243" w:rsidRPr="00A034EC">
        <w:rPr>
          <w:u w:val="single"/>
        </w:rPr>
        <w:t xml:space="preserve">zestawu </w:t>
      </w:r>
      <w:r w:rsidRPr="00A034EC">
        <w:rPr>
          <w:u w:val="single"/>
        </w:rPr>
        <w:t>zasad składające</w:t>
      </w:r>
      <w:r w:rsidR="000A6243" w:rsidRPr="00A034EC">
        <w:rPr>
          <w:u w:val="single"/>
        </w:rPr>
        <w:t>go</w:t>
      </w:r>
      <w:r w:rsidRPr="00A034EC">
        <w:rPr>
          <w:u w:val="single"/>
        </w:rPr>
        <w:t xml:space="preserve"> się z norm dobrej kultury rolnej</w:t>
      </w:r>
      <w:r w:rsidR="002040AF" w:rsidRPr="00A034EC">
        <w:rPr>
          <w:u w:val="single"/>
        </w:rPr>
        <w:t xml:space="preserve"> (DKR)</w:t>
      </w:r>
      <w:r w:rsidRPr="00A034EC">
        <w:rPr>
          <w:u w:val="single"/>
        </w:rPr>
        <w:t>, zgodnej z ochroną środowiska oraz wymogów podstawowych z zakresu zarządzania, których rolnik musi przestrzegać w swoim gospodarstwie, aby otrzymać wsparcie w ramach WPR w pełnej wysokości. Działania nastawione są zarówno na redukcj</w:t>
      </w:r>
      <w:r w:rsidR="00E16842" w:rsidRPr="00A034EC">
        <w:rPr>
          <w:u w:val="single"/>
        </w:rPr>
        <w:t>ę</w:t>
      </w:r>
      <w:r w:rsidRPr="00A034EC">
        <w:rPr>
          <w:u w:val="single"/>
        </w:rPr>
        <w:t xml:space="preserve"> emisji GC</w:t>
      </w:r>
      <w:r w:rsidR="00A84E98" w:rsidRPr="00A034EC">
        <w:rPr>
          <w:u w:val="single"/>
        </w:rPr>
        <w:t xml:space="preserve"> </w:t>
      </w:r>
      <w:r w:rsidRPr="00A034EC">
        <w:rPr>
          <w:u w:val="single"/>
        </w:rPr>
        <w:t>i zwiększani</w:t>
      </w:r>
      <w:r w:rsidR="00E16842" w:rsidRPr="00A034EC">
        <w:rPr>
          <w:u w:val="single"/>
        </w:rPr>
        <w:t>e</w:t>
      </w:r>
      <w:r w:rsidRPr="00A034EC">
        <w:rPr>
          <w:u w:val="single"/>
        </w:rPr>
        <w:t xml:space="preserve"> pochłaniania</w:t>
      </w:r>
      <w:r w:rsidR="00A84E98" w:rsidRPr="00A034EC">
        <w:rPr>
          <w:u w:val="single"/>
        </w:rPr>
        <w:t xml:space="preserve"> (np. zapewnianie minimalnej pokrywy gleby w newralgicznych okresach)</w:t>
      </w:r>
      <w:r w:rsidRPr="00A034EC">
        <w:rPr>
          <w:u w:val="single"/>
        </w:rPr>
        <w:t>, jak i ograniczenie zanieczyszczeń do powietrza</w:t>
      </w:r>
      <w:r w:rsidR="00E16842" w:rsidRPr="00A034EC">
        <w:rPr>
          <w:u w:val="single"/>
        </w:rPr>
        <w:t xml:space="preserve"> (np. zakaz wypalania użytków rolnych)</w:t>
      </w:r>
      <w:r w:rsidRPr="00A034EC">
        <w:rPr>
          <w:u w:val="single"/>
        </w:rPr>
        <w:t>;</w:t>
      </w:r>
    </w:p>
    <w:p w14:paraId="21858E63" w14:textId="39FC759D" w:rsidR="008A796A" w:rsidRDefault="008A796A" w:rsidP="00612B5D">
      <w:pPr>
        <w:pStyle w:val="Akapitzlist"/>
        <w:numPr>
          <w:ilvl w:val="0"/>
          <w:numId w:val="41"/>
        </w:numPr>
      </w:pPr>
      <w:r w:rsidRPr="008A796A">
        <w:rPr>
          <w:b/>
          <w:bCs/>
        </w:rPr>
        <w:t>stosowanie ekoschematów</w:t>
      </w:r>
      <w:r>
        <w:t>, czyli dodatkow</w:t>
      </w:r>
      <w:r w:rsidR="00FC31D5">
        <w:t>ych</w:t>
      </w:r>
      <w:r>
        <w:t xml:space="preserve"> </w:t>
      </w:r>
      <w:r w:rsidRPr="00B21BF4">
        <w:t>dobrowoln</w:t>
      </w:r>
      <w:r>
        <w:t xml:space="preserve">ych </w:t>
      </w:r>
      <w:r w:rsidRPr="00B21BF4">
        <w:t>praktyk</w:t>
      </w:r>
      <w:r>
        <w:t xml:space="preserve"> rolniczych</w:t>
      </w:r>
      <w:r w:rsidRPr="00B21BF4">
        <w:t>,</w:t>
      </w:r>
      <w:r w:rsidR="00FC31D5">
        <w:t xml:space="preserve"> które </w:t>
      </w:r>
      <w:r w:rsidRPr="00B21BF4">
        <w:t>służą ochronie zasobów gleby, wód, klimatu, dobrostanu zwierząt i różnorodności biologicznej w</w:t>
      </w:r>
      <w:r w:rsidR="00D44ABA">
        <w:t> </w:t>
      </w:r>
      <w:r w:rsidRPr="00B21BF4">
        <w:t>produkcji rolnej</w:t>
      </w:r>
      <w:r w:rsidR="00FC31D5">
        <w:t xml:space="preserve">, ale są </w:t>
      </w:r>
      <w:r w:rsidR="00FC31D5" w:rsidRPr="00B21BF4">
        <w:t>dostosowan</w:t>
      </w:r>
      <w:r w:rsidR="00FC31D5">
        <w:t xml:space="preserve">e </w:t>
      </w:r>
      <w:r w:rsidR="00FC31D5" w:rsidRPr="00B21BF4">
        <w:t>do warunków i potrzeb krajowych</w:t>
      </w:r>
      <w:r>
        <w:t>;</w:t>
      </w:r>
    </w:p>
    <w:p w14:paraId="1BB42DFB" w14:textId="14120DDF" w:rsidR="008A796A" w:rsidRDefault="008A796A" w:rsidP="00612B5D">
      <w:pPr>
        <w:pStyle w:val="Akapitzlist"/>
        <w:numPr>
          <w:ilvl w:val="0"/>
          <w:numId w:val="41"/>
        </w:numPr>
      </w:pPr>
      <w:r>
        <w:rPr>
          <w:b/>
          <w:bCs/>
        </w:rPr>
        <w:t xml:space="preserve">stosowanie płatności </w:t>
      </w:r>
      <w:r w:rsidR="00B351F5">
        <w:rPr>
          <w:b/>
          <w:bCs/>
        </w:rPr>
        <w:t xml:space="preserve">rolno-środowiskowo-klimatycznych </w:t>
      </w:r>
      <w:r>
        <w:rPr>
          <w:b/>
          <w:bCs/>
        </w:rPr>
        <w:t xml:space="preserve">rekompensujących </w:t>
      </w:r>
      <w:r w:rsidRPr="008A796A">
        <w:t xml:space="preserve">poniesione koszty i utracone dochody ze względu na </w:t>
      </w:r>
      <w:r w:rsidR="002825C1">
        <w:t xml:space="preserve">dobrowolne </w:t>
      </w:r>
      <w:r w:rsidRPr="008A796A">
        <w:t>stosowan</w:t>
      </w:r>
      <w:r w:rsidR="002825C1">
        <w:t>ie</w:t>
      </w:r>
      <w:r w:rsidRPr="008A796A">
        <w:t xml:space="preserve"> </w:t>
      </w:r>
      <w:r>
        <w:rPr>
          <w:b/>
          <w:bCs/>
        </w:rPr>
        <w:t>metod produkcji sprzyjając</w:t>
      </w:r>
      <w:r w:rsidR="00694CDE">
        <w:rPr>
          <w:b/>
          <w:bCs/>
        </w:rPr>
        <w:t>ych</w:t>
      </w:r>
      <w:r>
        <w:rPr>
          <w:b/>
          <w:bCs/>
        </w:rPr>
        <w:t xml:space="preserve"> zachowani</w:t>
      </w:r>
      <w:r w:rsidR="00694CDE">
        <w:rPr>
          <w:b/>
          <w:bCs/>
        </w:rPr>
        <w:t>u</w:t>
      </w:r>
      <w:r>
        <w:rPr>
          <w:b/>
          <w:bCs/>
        </w:rPr>
        <w:t xml:space="preserve"> różnorodności zarówno biologi</w:t>
      </w:r>
      <w:r w:rsidR="002040AF">
        <w:rPr>
          <w:b/>
          <w:bCs/>
        </w:rPr>
        <w:t>c</w:t>
      </w:r>
      <w:r>
        <w:rPr>
          <w:b/>
          <w:bCs/>
        </w:rPr>
        <w:t>znej, krajobrazu, jak i zasobów przyrody, zwłaszcza gleby i wody</w:t>
      </w:r>
      <w:r w:rsidR="002040AF">
        <w:rPr>
          <w:b/>
          <w:bCs/>
        </w:rPr>
        <w:t xml:space="preserve">. </w:t>
      </w:r>
      <w:r w:rsidR="002040AF" w:rsidRPr="00694CDE">
        <w:t xml:space="preserve">Tego typu działania </w:t>
      </w:r>
      <w:r w:rsidR="00A034EC">
        <w:t xml:space="preserve">pozwalają na </w:t>
      </w:r>
      <w:r w:rsidR="002040AF" w:rsidRPr="00694CDE">
        <w:t>adaptacj</w:t>
      </w:r>
      <w:r w:rsidR="00A034EC">
        <w:t>ę</w:t>
      </w:r>
      <w:r w:rsidR="002040AF" w:rsidRPr="00694CDE">
        <w:t xml:space="preserve"> do zmian klimatu;</w:t>
      </w:r>
    </w:p>
    <w:p w14:paraId="4A252E03" w14:textId="02C252D9" w:rsidR="00694CDE" w:rsidRDefault="00694CDE" w:rsidP="00612B5D">
      <w:pPr>
        <w:pStyle w:val="Akapitzlist"/>
        <w:numPr>
          <w:ilvl w:val="0"/>
          <w:numId w:val="41"/>
        </w:numPr>
      </w:pPr>
      <w:r w:rsidRPr="00694CDE">
        <w:rPr>
          <w:b/>
          <w:bCs/>
        </w:rPr>
        <w:t>wsparcie zalesiania gruntów rolnych, tworzenia zadrzewień śródpolnych, zakładani</w:t>
      </w:r>
      <w:r w:rsidR="00B351F5">
        <w:rPr>
          <w:b/>
          <w:bCs/>
        </w:rPr>
        <w:t>a</w:t>
      </w:r>
      <w:r w:rsidRPr="00694CDE">
        <w:rPr>
          <w:b/>
          <w:bCs/>
        </w:rPr>
        <w:t xml:space="preserve"> systemów rolno</w:t>
      </w:r>
      <w:r>
        <w:rPr>
          <w:b/>
          <w:bCs/>
        </w:rPr>
        <w:noBreakHyphen/>
      </w:r>
      <w:r w:rsidRPr="00694CDE">
        <w:rPr>
          <w:b/>
          <w:bCs/>
        </w:rPr>
        <w:t>leśnych</w:t>
      </w:r>
      <w:r>
        <w:t>;</w:t>
      </w:r>
    </w:p>
    <w:p w14:paraId="2971CDE3" w14:textId="257DC535" w:rsidR="00694CDE" w:rsidRPr="002040AF" w:rsidRDefault="00D6066B" w:rsidP="00612B5D">
      <w:pPr>
        <w:pStyle w:val="Akapitzlist"/>
        <w:numPr>
          <w:ilvl w:val="0"/>
          <w:numId w:val="41"/>
        </w:numPr>
      </w:pPr>
      <w:bookmarkStart w:id="72" w:name="_Hlk170991553"/>
      <w:r w:rsidRPr="00B96A97">
        <w:rPr>
          <w:b/>
        </w:rPr>
        <w:t xml:space="preserve">współfinansowanie inwestycji przyczyniających się do ochrony środowiska i klimatu </w:t>
      </w:r>
      <w:bookmarkEnd w:id="72"/>
      <w:r w:rsidRPr="00D6066B">
        <w:rPr>
          <w:bCs/>
        </w:rPr>
        <w:t xml:space="preserve">takich jak: </w:t>
      </w:r>
      <w:bookmarkStart w:id="73" w:name="_Hlk170997369"/>
      <w:r w:rsidRPr="00D6066B">
        <w:rPr>
          <w:bCs/>
        </w:rPr>
        <w:t>zakup maszyn do precyzyjnej aplikacji nawozów, wyposażenie gospodarstw w zbiorniki i</w:t>
      </w:r>
      <w:r>
        <w:rPr>
          <w:bCs/>
        </w:rPr>
        <w:t> </w:t>
      </w:r>
      <w:r w:rsidRPr="00D6066B">
        <w:rPr>
          <w:bCs/>
        </w:rPr>
        <w:t>urządzenia do przechowywania nawozów naturalnych</w:t>
      </w:r>
      <w:bookmarkEnd w:id="73"/>
      <w:r w:rsidRPr="00D6066B">
        <w:rPr>
          <w:bCs/>
        </w:rPr>
        <w:t>, wspierające niskoemisyjne systemy utrzymania zwierząt gospodarskich.</w:t>
      </w:r>
    </w:p>
    <w:p w14:paraId="3E923C14" w14:textId="77777777" w:rsidR="00047932" w:rsidRDefault="00047932" w:rsidP="00BA154D"/>
    <w:p w14:paraId="1333E756" w14:textId="348E30F7" w:rsidR="00D4112C" w:rsidRDefault="00D4112C" w:rsidP="00BA154D">
      <w:r>
        <w:t xml:space="preserve">Podejmowane są również działania mające na celu bardziej </w:t>
      </w:r>
      <w:r w:rsidRPr="00E43CB4">
        <w:rPr>
          <w:b/>
          <w:bCs/>
        </w:rPr>
        <w:t>racjonalne wykorzystanie energii na obszarach wiejskich</w:t>
      </w:r>
      <w:r>
        <w:t>. Choć osiągnięta w ten sposób redukcja emisji GC nie jest rozliczana w sektorze rolnictwa, ale przyczynia się do całkowitej redukcji krajowej</w:t>
      </w:r>
      <w:r w:rsidR="00D6066B">
        <w:t>, dlatego warta jest podkreślenia</w:t>
      </w:r>
      <w:r>
        <w:t xml:space="preserve">. W tym celu dla </w:t>
      </w:r>
      <w:r w:rsidR="002825C1">
        <w:t xml:space="preserve">indywidualnych podmiotów </w:t>
      </w:r>
      <w:r>
        <w:t>prowadzący</w:t>
      </w:r>
      <w:r w:rsidR="002825C1">
        <w:t>ch</w:t>
      </w:r>
      <w:r>
        <w:t xml:space="preserve"> działalność rolniczą</w:t>
      </w:r>
      <w:r w:rsidR="002825C1">
        <w:t>, jak również dla spółdzielni energetycznych zapewniono</w:t>
      </w:r>
      <w:r>
        <w:t xml:space="preserve"> programy finansujące wyposażenie w instalacje </w:t>
      </w:r>
      <w:r w:rsidR="002825C1">
        <w:t>odnawialnych źródeł energii oraz magazyny energii</w:t>
      </w:r>
      <w:r w:rsidR="00E43CB4">
        <w:t>, co skutkować powinno zarówno ograniczeniem emisji, jak również poprawą efektywności energetycznej</w:t>
      </w:r>
      <w:r w:rsidR="002825C1">
        <w:t xml:space="preserve">. </w:t>
      </w:r>
    </w:p>
    <w:p w14:paraId="73E4A993" w14:textId="7170626C" w:rsidR="00E43CB4" w:rsidRDefault="00E43CB4" w:rsidP="00BA154D">
      <w:r>
        <w:t xml:space="preserve">Istotna część instalacji odnawialnych źródłach energii ulokowana jest na obszarach wiejskich, ale szczególne znaczenie mają w tym obszarze </w:t>
      </w:r>
      <w:r w:rsidRPr="00E43CB4">
        <w:rPr>
          <w:b/>
          <w:bCs/>
        </w:rPr>
        <w:t>biogazownie</w:t>
      </w:r>
      <w:r>
        <w:t xml:space="preserve">, gdyż pozwalają na wykorzystanie odpadów rolniczych na cele energetyczne. Biorąc pod uwagę zalety biogazowni, nadal wspierane będą działania związane z budową tego typu instalacji – zarówno na poziomie inwestycyjnym, jak i poprzez wsparcie organizacyjne. </w:t>
      </w:r>
    </w:p>
    <w:p w14:paraId="33A54481" w14:textId="363BF93F" w:rsidR="00080BA7" w:rsidRPr="00C46DAA" w:rsidRDefault="00080BA7" w:rsidP="003657F2">
      <w:pPr>
        <w:pStyle w:val="Polityka"/>
      </w:pPr>
      <w:r w:rsidRPr="00C46DAA">
        <w:t>DZIAŁANIA</w:t>
      </w:r>
    </w:p>
    <w:p w14:paraId="30E29557" w14:textId="5BC3FC79" w:rsidR="00C343D0" w:rsidRDefault="00C343D0" w:rsidP="008340D5">
      <w:pPr>
        <w:pStyle w:val="Akapitzlist"/>
        <w:numPr>
          <w:ilvl w:val="0"/>
          <w:numId w:val="6"/>
        </w:numPr>
        <w:rPr>
          <w:szCs w:val="20"/>
        </w:rPr>
      </w:pPr>
      <w:r>
        <w:rPr>
          <w:szCs w:val="20"/>
        </w:rPr>
        <w:fldChar w:fldCharType="begin"/>
      </w:r>
      <w:r>
        <w:rPr>
          <w:szCs w:val="20"/>
        </w:rPr>
        <w:instrText xml:space="preserve"> REF _Ref159930533 \h </w:instrText>
      </w:r>
      <w:r>
        <w:rPr>
          <w:szCs w:val="20"/>
        </w:rPr>
      </w:r>
      <w:r>
        <w:rPr>
          <w:szCs w:val="20"/>
        </w:rPr>
        <w:fldChar w:fldCharType="separate"/>
      </w:r>
      <w:r w:rsidR="00DD3929" w:rsidRPr="00D9493F">
        <w:t xml:space="preserve">Działanie </w:t>
      </w:r>
      <w:r w:rsidR="00DD3929">
        <w:rPr>
          <w:noProof/>
        </w:rPr>
        <w:t>55</w:t>
      </w:r>
      <w:r w:rsidR="00DD3929" w:rsidRPr="00D9493F">
        <w:t>.</w:t>
      </w:r>
      <w:r w:rsidR="00DD3929">
        <w:t xml:space="preserve"> Stosowanie w</w:t>
      </w:r>
      <w:r w:rsidR="00DD3929" w:rsidRPr="00D9493F">
        <w:t>arunkowoś</w:t>
      </w:r>
      <w:r w:rsidR="00DD3929">
        <w:t>ci</w:t>
      </w:r>
      <w:r w:rsidR="00DD3929" w:rsidRPr="00D9493F">
        <w:t xml:space="preserve"> (środowiskow</w:t>
      </w:r>
      <w:r w:rsidR="00DD3929">
        <w:t>ej</w:t>
      </w:r>
      <w:r w:rsidR="00DD3929" w:rsidRPr="00D9493F">
        <w:t>) w ramach WPR</w:t>
      </w:r>
      <w:r w:rsidR="00DD3929">
        <w:t>.</w:t>
      </w:r>
      <w:r>
        <w:rPr>
          <w:szCs w:val="20"/>
        </w:rPr>
        <w:fldChar w:fldCharType="end"/>
      </w:r>
    </w:p>
    <w:p w14:paraId="1406C8EB" w14:textId="607ECFAD" w:rsidR="00C343D0" w:rsidRDefault="00C343D0" w:rsidP="008340D5">
      <w:pPr>
        <w:pStyle w:val="Akapitzlist"/>
        <w:numPr>
          <w:ilvl w:val="0"/>
          <w:numId w:val="6"/>
        </w:numPr>
        <w:rPr>
          <w:szCs w:val="20"/>
        </w:rPr>
      </w:pPr>
      <w:r>
        <w:rPr>
          <w:szCs w:val="20"/>
        </w:rPr>
        <w:fldChar w:fldCharType="begin"/>
      </w:r>
      <w:r>
        <w:rPr>
          <w:szCs w:val="20"/>
        </w:rPr>
        <w:instrText xml:space="preserve"> REF _Ref159930536 \h </w:instrText>
      </w:r>
      <w:r>
        <w:rPr>
          <w:szCs w:val="20"/>
        </w:rPr>
      </w:r>
      <w:r>
        <w:rPr>
          <w:szCs w:val="20"/>
        </w:rPr>
        <w:fldChar w:fldCharType="separate"/>
      </w:r>
      <w:r w:rsidR="00DD3929" w:rsidRPr="00D9493F">
        <w:t xml:space="preserve">Działanie </w:t>
      </w:r>
      <w:r w:rsidR="00DD3929">
        <w:rPr>
          <w:noProof/>
        </w:rPr>
        <w:t>56</w:t>
      </w:r>
      <w:r w:rsidR="00DD3929" w:rsidRPr="00D9493F">
        <w:t>.</w:t>
      </w:r>
      <w:r w:rsidR="00DD3929">
        <w:t xml:space="preserve"> Stosowanie e</w:t>
      </w:r>
      <w:r w:rsidR="00DD3929" w:rsidRPr="00D9493F">
        <w:t>koschemat</w:t>
      </w:r>
      <w:r w:rsidR="00DD3929">
        <w:t>ów</w:t>
      </w:r>
      <w:r w:rsidR="00DD3929" w:rsidRPr="00D9493F">
        <w:t xml:space="preserve"> w ramach WPR</w:t>
      </w:r>
      <w:r w:rsidR="00DD3929">
        <w:t>.</w:t>
      </w:r>
      <w:r>
        <w:rPr>
          <w:szCs w:val="20"/>
        </w:rPr>
        <w:fldChar w:fldCharType="end"/>
      </w:r>
    </w:p>
    <w:p w14:paraId="582D2759" w14:textId="6875BDEA" w:rsidR="00C343D0" w:rsidRDefault="00C343D0" w:rsidP="008340D5">
      <w:pPr>
        <w:pStyle w:val="Akapitzlist"/>
        <w:numPr>
          <w:ilvl w:val="0"/>
          <w:numId w:val="6"/>
        </w:numPr>
        <w:rPr>
          <w:szCs w:val="20"/>
        </w:rPr>
      </w:pPr>
      <w:r>
        <w:rPr>
          <w:szCs w:val="20"/>
        </w:rPr>
        <w:fldChar w:fldCharType="begin"/>
      </w:r>
      <w:r>
        <w:rPr>
          <w:szCs w:val="20"/>
        </w:rPr>
        <w:instrText xml:space="preserve"> REF _Ref159930539 \h </w:instrText>
      </w:r>
      <w:r>
        <w:rPr>
          <w:szCs w:val="20"/>
        </w:rPr>
      </w:r>
      <w:r>
        <w:rPr>
          <w:szCs w:val="20"/>
        </w:rPr>
        <w:fldChar w:fldCharType="separate"/>
      </w:r>
      <w:r w:rsidR="00DD3929" w:rsidRPr="00D9493F">
        <w:t xml:space="preserve">Działanie </w:t>
      </w:r>
      <w:r w:rsidR="00DD3929">
        <w:rPr>
          <w:noProof/>
        </w:rPr>
        <w:t>57</w:t>
      </w:r>
      <w:r w:rsidR="00DD3929" w:rsidRPr="00D9493F">
        <w:t>.</w:t>
      </w:r>
      <w:r w:rsidR="00DD3929">
        <w:rPr>
          <w:i/>
          <w:iCs/>
        </w:rPr>
        <w:t xml:space="preserve"> </w:t>
      </w:r>
      <w:r w:rsidR="00DD3929">
        <w:t>D</w:t>
      </w:r>
      <w:r w:rsidR="00DD3929" w:rsidRPr="00D9493F">
        <w:t>ziałania rolno</w:t>
      </w:r>
      <w:r w:rsidR="00DD3929">
        <w:t>-</w:t>
      </w:r>
      <w:r w:rsidR="00DD3929" w:rsidRPr="00D9493F">
        <w:t>środowiskowo-klimatyczne w ramach WPR</w:t>
      </w:r>
      <w:r w:rsidR="00DD3929">
        <w:rPr>
          <w:i/>
          <w:iCs/>
        </w:rPr>
        <w:t>.</w:t>
      </w:r>
      <w:r>
        <w:rPr>
          <w:szCs w:val="20"/>
        </w:rPr>
        <w:fldChar w:fldCharType="end"/>
      </w:r>
    </w:p>
    <w:p w14:paraId="4732DEE9" w14:textId="3238873B" w:rsidR="00C343D0" w:rsidRDefault="00C343D0" w:rsidP="008340D5">
      <w:pPr>
        <w:pStyle w:val="Akapitzlist"/>
        <w:numPr>
          <w:ilvl w:val="0"/>
          <w:numId w:val="6"/>
        </w:numPr>
        <w:rPr>
          <w:szCs w:val="20"/>
        </w:rPr>
      </w:pPr>
      <w:r>
        <w:rPr>
          <w:szCs w:val="20"/>
        </w:rPr>
        <w:fldChar w:fldCharType="begin"/>
      </w:r>
      <w:r>
        <w:rPr>
          <w:szCs w:val="20"/>
        </w:rPr>
        <w:instrText xml:space="preserve"> REF _Ref159930546 \h </w:instrText>
      </w:r>
      <w:r>
        <w:rPr>
          <w:szCs w:val="20"/>
        </w:rPr>
      </w:r>
      <w:r>
        <w:rPr>
          <w:szCs w:val="20"/>
        </w:rPr>
        <w:fldChar w:fldCharType="separate"/>
      </w:r>
      <w:r w:rsidR="00DD3929" w:rsidRPr="00D9493F">
        <w:t xml:space="preserve">Działanie </w:t>
      </w:r>
      <w:r w:rsidR="00DD3929">
        <w:rPr>
          <w:noProof/>
        </w:rPr>
        <w:t>58</w:t>
      </w:r>
      <w:r w:rsidR="00DD3929" w:rsidRPr="00D9493F">
        <w:t>. Wsparcie w zakresie rolnictwa ekologicznego w ramach WPR</w:t>
      </w:r>
      <w:r w:rsidR="00DD3929">
        <w:rPr>
          <w:i/>
          <w:iCs/>
        </w:rPr>
        <w:t>.</w:t>
      </w:r>
      <w:r>
        <w:rPr>
          <w:szCs w:val="20"/>
        </w:rPr>
        <w:fldChar w:fldCharType="end"/>
      </w:r>
    </w:p>
    <w:p w14:paraId="18997138" w14:textId="58FD7C52" w:rsidR="00C343D0" w:rsidRDefault="00C343D0" w:rsidP="008340D5">
      <w:pPr>
        <w:pStyle w:val="Akapitzlist"/>
        <w:numPr>
          <w:ilvl w:val="0"/>
          <w:numId w:val="6"/>
        </w:numPr>
        <w:rPr>
          <w:szCs w:val="20"/>
        </w:rPr>
      </w:pPr>
      <w:r w:rsidRPr="008B0730">
        <w:rPr>
          <w:szCs w:val="20"/>
        </w:rPr>
        <w:fldChar w:fldCharType="begin"/>
      </w:r>
      <w:r w:rsidRPr="008B0730">
        <w:rPr>
          <w:szCs w:val="20"/>
        </w:rPr>
        <w:instrText xml:space="preserve"> REF _Ref159930549 \h </w:instrText>
      </w:r>
      <w:r w:rsidR="008B0730" w:rsidRPr="008B0730">
        <w:rPr>
          <w:szCs w:val="20"/>
        </w:rPr>
        <w:instrText xml:space="preserve"> \* MERGEFORMAT </w:instrText>
      </w:r>
      <w:r w:rsidRPr="008B0730">
        <w:rPr>
          <w:szCs w:val="20"/>
        </w:rPr>
      </w:r>
      <w:r w:rsidRPr="008B0730">
        <w:rPr>
          <w:szCs w:val="20"/>
        </w:rPr>
        <w:fldChar w:fldCharType="separate"/>
      </w:r>
      <w:r w:rsidR="00DD3929" w:rsidRPr="00D9493F">
        <w:t xml:space="preserve">Działanie </w:t>
      </w:r>
      <w:r w:rsidR="00DD3929">
        <w:rPr>
          <w:noProof/>
        </w:rPr>
        <w:t>59</w:t>
      </w:r>
      <w:r w:rsidR="00DD3929" w:rsidRPr="00D9493F">
        <w:t>. Interwencje leśne i zadrzewieniowe w ramach WPR.</w:t>
      </w:r>
      <w:r w:rsidRPr="008B0730">
        <w:rPr>
          <w:szCs w:val="20"/>
        </w:rPr>
        <w:fldChar w:fldCharType="end"/>
      </w:r>
    </w:p>
    <w:p w14:paraId="790B92B6" w14:textId="4BC19218" w:rsidR="00703481" w:rsidRPr="008B0730" w:rsidRDefault="00703481" w:rsidP="008340D5">
      <w:pPr>
        <w:pStyle w:val="Akapitzlist"/>
        <w:numPr>
          <w:ilvl w:val="0"/>
          <w:numId w:val="6"/>
        </w:numPr>
        <w:rPr>
          <w:szCs w:val="20"/>
        </w:rPr>
      </w:pPr>
      <w:r>
        <w:rPr>
          <w:szCs w:val="20"/>
        </w:rPr>
        <w:fldChar w:fldCharType="begin"/>
      </w:r>
      <w:r>
        <w:rPr>
          <w:szCs w:val="20"/>
        </w:rPr>
        <w:instrText xml:space="preserve"> REF _Ref175564628 </w:instrText>
      </w:r>
      <w:r>
        <w:rPr>
          <w:szCs w:val="20"/>
        </w:rPr>
        <w:fldChar w:fldCharType="separate"/>
      </w:r>
      <w:r w:rsidR="00DD3929">
        <w:t xml:space="preserve">Działanie </w:t>
      </w:r>
      <w:r w:rsidR="00DD3929">
        <w:rPr>
          <w:noProof/>
        </w:rPr>
        <w:t>60</w:t>
      </w:r>
      <w:r w:rsidR="00DD3929">
        <w:t xml:space="preserve">.  </w:t>
      </w:r>
      <w:r w:rsidR="00DD3929" w:rsidRPr="00703481">
        <w:t>Inwestycje przyczyniające się do ochrony środowiska i klimatu</w:t>
      </w:r>
      <w:r w:rsidR="00DD3929">
        <w:t xml:space="preserve"> w sektorze rolnictwa</w:t>
      </w:r>
      <w:r w:rsidR="00DD3929" w:rsidRPr="00703481">
        <w:t xml:space="preserve"> w ramach WPR</w:t>
      </w:r>
      <w:r w:rsidR="00DD3929">
        <w:t>.</w:t>
      </w:r>
      <w:r>
        <w:rPr>
          <w:szCs w:val="20"/>
        </w:rPr>
        <w:fldChar w:fldCharType="end"/>
      </w:r>
    </w:p>
    <w:p w14:paraId="01E4C87F" w14:textId="5FE88758" w:rsidR="00784260" w:rsidRDefault="00784260" w:rsidP="002825C1">
      <w:pPr>
        <w:pStyle w:val="Akapitzlist"/>
        <w:numPr>
          <w:ilvl w:val="0"/>
          <w:numId w:val="6"/>
        </w:numPr>
        <w:rPr>
          <w:szCs w:val="20"/>
        </w:rPr>
      </w:pPr>
      <w:r>
        <w:rPr>
          <w:szCs w:val="20"/>
        </w:rPr>
        <w:fldChar w:fldCharType="begin"/>
      </w:r>
      <w:r>
        <w:rPr>
          <w:szCs w:val="20"/>
        </w:rPr>
        <w:instrText xml:space="preserve"> REF _Ref174025161 \h </w:instrText>
      </w:r>
      <w:r>
        <w:rPr>
          <w:szCs w:val="20"/>
        </w:rPr>
      </w:r>
      <w:r>
        <w:rPr>
          <w:szCs w:val="20"/>
        </w:rPr>
        <w:fldChar w:fldCharType="separate"/>
      </w:r>
      <w:r w:rsidR="00DD3929">
        <w:t xml:space="preserve">Działanie </w:t>
      </w:r>
      <w:r w:rsidR="00DD3929">
        <w:rPr>
          <w:noProof/>
        </w:rPr>
        <w:t>61</w:t>
      </w:r>
      <w:r w:rsidR="00DD3929">
        <w:t>. Ws</w:t>
      </w:r>
      <w:r w:rsidR="00DD3929" w:rsidRPr="00FB697D">
        <w:t>pieranie działań zastosowania ekologicznych źródeł energii i poprawy efektywności energetycznej w gospodarstwach rolnych</w:t>
      </w:r>
      <w:r w:rsidR="00DD3929">
        <w:t xml:space="preserve"> w ramach WPR.</w:t>
      </w:r>
      <w:r>
        <w:rPr>
          <w:szCs w:val="20"/>
        </w:rPr>
        <w:fldChar w:fldCharType="end"/>
      </w:r>
    </w:p>
    <w:p w14:paraId="3F488B51" w14:textId="09DAE732" w:rsidR="00784260" w:rsidRDefault="00784260" w:rsidP="002825C1">
      <w:pPr>
        <w:pStyle w:val="Akapitzlist"/>
        <w:numPr>
          <w:ilvl w:val="0"/>
          <w:numId w:val="6"/>
        </w:numPr>
        <w:rPr>
          <w:szCs w:val="20"/>
        </w:rPr>
      </w:pPr>
      <w:r>
        <w:rPr>
          <w:szCs w:val="20"/>
        </w:rPr>
        <w:fldChar w:fldCharType="begin"/>
      </w:r>
      <w:r>
        <w:rPr>
          <w:szCs w:val="20"/>
        </w:rPr>
        <w:instrText xml:space="preserve"> REF _Ref174025163 \h </w:instrText>
      </w:r>
      <w:r>
        <w:rPr>
          <w:szCs w:val="20"/>
        </w:rPr>
      </w:r>
      <w:r>
        <w:rPr>
          <w:szCs w:val="20"/>
        </w:rPr>
        <w:fldChar w:fldCharType="separate"/>
      </w:r>
      <w:r w:rsidR="00DD3929">
        <w:t xml:space="preserve">Działanie </w:t>
      </w:r>
      <w:r w:rsidR="00DD3929">
        <w:rPr>
          <w:noProof/>
        </w:rPr>
        <w:t>62</w:t>
      </w:r>
      <w:r w:rsidR="00DD3929">
        <w:t>. Wsparcie rozwoju biogazowni rolniczych</w:t>
      </w:r>
      <w:r w:rsidR="00DD3929" w:rsidRPr="00E42349">
        <w:t>.</w:t>
      </w:r>
      <w:r>
        <w:rPr>
          <w:szCs w:val="20"/>
        </w:rPr>
        <w:fldChar w:fldCharType="end"/>
      </w:r>
    </w:p>
    <w:p w14:paraId="1C0162A5" w14:textId="12DFC056" w:rsidR="002825C1" w:rsidRDefault="002825C1" w:rsidP="002825C1">
      <w:pPr>
        <w:pStyle w:val="Akapitzlist"/>
        <w:numPr>
          <w:ilvl w:val="0"/>
          <w:numId w:val="6"/>
        </w:numPr>
        <w:rPr>
          <w:szCs w:val="20"/>
        </w:rPr>
      </w:pPr>
      <w:r>
        <w:rPr>
          <w:szCs w:val="20"/>
        </w:rPr>
        <w:fldChar w:fldCharType="begin"/>
      </w:r>
      <w:r>
        <w:rPr>
          <w:szCs w:val="20"/>
        </w:rPr>
        <w:instrText xml:space="preserve"> REF _Ref157420357 \h </w:instrText>
      </w:r>
      <w:r>
        <w:rPr>
          <w:szCs w:val="20"/>
        </w:rPr>
      </w:r>
      <w:r>
        <w:rPr>
          <w:szCs w:val="20"/>
        </w:rPr>
        <w:fldChar w:fldCharType="separate"/>
      </w:r>
      <w:r w:rsidR="00DD3929" w:rsidRPr="00F12C9E">
        <w:t xml:space="preserve">Działanie </w:t>
      </w:r>
      <w:r w:rsidR="00DD3929">
        <w:rPr>
          <w:noProof/>
        </w:rPr>
        <w:t>16</w:t>
      </w:r>
      <w:r w:rsidR="00DD3929" w:rsidRPr="00F12C9E">
        <w:t>. Instrument finansowy – Program Priorytetowy NFOŚiGW – „Agroenergia</w:t>
      </w:r>
      <w:r w:rsidR="00DD3929">
        <w:t>”</w:t>
      </w:r>
      <w:r w:rsidR="00DD3929" w:rsidRPr="00F12C9E">
        <w:t>.</w:t>
      </w:r>
      <w:r>
        <w:rPr>
          <w:szCs w:val="20"/>
        </w:rPr>
        <w:fldChar w:fldCharType="end"/>
      </w:r>
    </w:p>
    <w:p w14:paraId="03BAE6B8" w14:textId="00B2B6D0" w:rsidR="00C343D0" w:rsidRPr="00187C07" w:rsidRDefault="00C343D0" w:rsidP="00187C07">
      <w:pPr>
        <w:pStyle w:val="Akapitzlist"/>
        <w:numPr>
          <w:ilvl w:val="0"/>
          <w:numId w:val="6"/>
        </w:numPr>
        <w:rPr>
          <w:szCs w:val="20"/>
        </w:rPr>
      </w:pPr>
      <w:r>
        <w:rPr>
          <w:szCs w:val="20"/>
        </w:rPr>
        <w:fldChar w:fldCharType="begin"/>
      </w:r>
      <w:r>
        <w:rPr>
          <w:szCs w:val="20"/>
        </w:rPr>
        <w:instrText xml:space="preserve"> REF _Ref157421134 \h </w:instrText>
      </w:r>
      <w:r>
        <w:rPr>
          <w:szCs w:val="20"/>
        </w:rPr>
      </w:r>
      <w:r>
        <w:rPr>
          <w:szCs w:val="20"/>
        </w:rPr>
        <w:fldChar w:fldCharType="separate"/>
      </w:r>
      <w:r w:rsidR="00DD3929" w:rsidRPr="00F12C9E">
        <w:t xml:space="preserve">Działanie </w:t>
      </w:r>
      <w:r w:rsidR="00DD3929">
        <w:rPr>
          <w:noProof/>
        </w:rPr>
        <w:t>78</w:t>
      </w:r>
      <w:r w:rsidR="00DD3929" w:rsidRPr="00F12C9E">
        <w:t xml:space="preserve">. Instrument finansowy – Program NFOŚiGW </w:t>
      </w:r>
      <w:r w:rsidR="00DD3929">
        <w:t>„</w:t>
      </w:r>
      <w:r w:rsidR="00DD3929" w:rsidRPr="00F12C9E">
        <w:t>Energia dla wsi</w:t>
      </w:r>
      <w:r w:rsidR="00DD3929">
        <w:t>”</w:t>
      </w:r>
      <w:r w:rsidR="00DD3929" w:rsidRPr="00F12C9E">
        <w:t>.</w:t>
      </w:r>
      <w:r>
        <w:rPr>
          <w:szCs w:val="20"/>
        </w:rPr>
        <w:fldChar w:fldCharType="end"/>
      </w:r>
      <w:r w:rsidR="002825C1" w:rsidRPr="002825C1">
        <w:rPr>
          <w:szCs w:val="20"/>
        </w:rPr>
        <w:t xml:space="preserve"> </w:t>
      </w:r>
    </w:p>
    <w:p w14:paraId="33931C58" w14:textId="69C66959" w:rsidR="007754E2" w:rsidRDefault="007754E2" w:rsidP="007754E2">
      <w:pPr>
        <w:pStyle w:val="Nagwek3"/>
        <w:rPr>
          <w:color w:val="70AD47" w:themeColor="accent6"/>
        </w:rPr>
      </w:pPr>
      <w:bookmarkStart w:id="74" w:name="_Toc159598294"/>
      <w:bookmarkStart w:id="75" w:name="_Ref174097965"/>
      <w:bookmarkStart w:id="76" w:name="_Ref174097972"/>
      <w:bookmarkStart w:id="77" w:name="_Toc179536942"/>
      <w:bookmarkStart w:id="78" w:name="_Hlk157084092"/>
      <w:bookmarkEnd w:id="71"/>
      <w:r w:rsidRPr="00F53663">
        <w:rPr>
          <w:color w:val="70AD47" w:themeColor="accent6"/>
        </w:rPr>
        <w:t>Udział sektora LULUCF w</w:t>
      </w:r>
      <w:r w:rsidR="00ED5C0A">
        <w:rPr>
          <w:color w:val="70AD47" w:themeColor="accent6"/>
        </w:rPr>
        <w:t> </w:t>
      </w:r>
      <w:r w:rsidRPr="00F53663">
        <w:rPr>
          <w:color w:val="70AD47" w:themeColor="accent6"/>
        </w:rPr>
        <w:t>wypełnianiu celów redukcyjnych</w:t>
      </w:r>
      <w:bookmarkEnd w:id="74"/>
      <w:bookmarkEnd w:id="75"/>
      <w:bookmarkEnd w:id="76"/>
      <w:bookmarkEnd w:id="77"/>
      <w:r w:rsidRPr="00F53663">
        <w:rPr>
          <w:color w:val="70AD47" w:themeColor="accent6"/>
        </w:rPr>
        <w:t xml:space="preserve">  </w:t>
      </w:r>
    </w:p>
    <w:p w14:paraId="0E6A71CE" w14:textId="7ED0059B" w:rsidR="00D22C5E" w:rsidRDefault="00DE0CED" w:rsidP="009714FB">
      <w:r>
        <w:rPr>
          <w:noProof/>
        </w:rPr>
        <mc:AlternateContent>
          <mc:Choice Requires="wps">
            <w:drawing>
              <wp:anchor distT="0" distB="0" distL="114300" distR="114300" simplePos="0" relativeHeight="251644928" behindDoc="1" locked="0" layoutInCell="1" allowOverlap="1" wp14:anchorId="6856E310" wp14:editId="7A87F88E">
                <wp:simplePos x="0" y="0"/>
                <wp:positionH relativeFrom="margin">
                  <wp:align>right</wp:align>
                </wp:positionH>
                <wp:positionV relativeFrom="paragraph">
                  <wp:posOffset>64135</wp:posOffset>
                </wp:positionV>
                <wp:extent cx="2907030" cy="1418590"/>
                <wp:effectExtent l="19050" t="57150" r="102870" b="60325"/>
                <wp:wrapSquare wrapText="bothSides"/>
                <wp:docPr id="777392378" name="Prostokąt: zaokrąglone rogi 6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907030" cy="1418590"/>
                        </a:xfrm>
                        <a:prstGeom prst="roundRect">
                          <a:avLst>
                            <a:gd name="adj" fmla="val 11857"/>
                          </a:avLst>
                        </a:prstGeom>
                        <a:solidFill>
                          <a:schemeClr val="bg1"/>
                        </a:solidFill>
                        <a:ln w="9525">
                          <a:solidFill>
                            <a:schemeClr val="accent6"/>
                          </a:solidFill>
                        </a:ln>
                        <a:effectLst>
                          <a:outerShdw blurRad="50800" dist="38100" algn="l"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txbx>
                        <w:txbxContent>
                          <w:p w14:paraId="3F248FE4" w14:textId="43D50866" w:rsidR="00D557ED" w:rsidRDefault="00D557ED" w:rsidP="00D557ED">
                            <w:pPr>
                              <w:pStyle w:val="Ramka"/>
                            </w:pPr>
                            <w:r>
                              <w:t>Sektor LULUCF związany jest z użytkowaniem gruntów, zmianą użytkowania gruntów i leśnictwem.</w:t>
                            </w:r>
                          </w:p>
                          <w:p w14:paraId="2CB02780" w14:textId="6D96D682" w:rsidR="009714FB" w:rsidRPr="004E21CF" w:rsidRDefault="00D557ED" w:rsidP="00D557ED">
                            <w:pPr>
                              <w:pStyle w:val="Ramka"/>
                            </w:pPr>
                            <w:r>
                              <w:t>Obejmuje gospodarowanie glebą, drzewami, roślinami, biomasą i drewnem. Jego szczególną cechą sektora LULUCF jest to, że nie tylko generuje emisje gazów cieplarnianych, lecz może także pochłaniać CO</w:t>
                            </w:r>
                            <w:r>
                              <w:rPr>
                                <w:rFonts w:ascii="Cambria Math" w:hAnsi="Cambria Math" w:cs="Cambria Math"/>
                              </w:rPr>
                              <w:t>₂</w:t>
                            </w:r>
                            <w:r>
                              <w:t xml:space="preserve"> z atmosfery. </w:t>
                            </w:r>
                          </w:p>
                        </w:txbxContent>
                      </wps:txbx>
                      <wps:bodyPr rot="0" spcFirstLastPara="0" vertOverflow="overflow" horzOverflow="overflow" vert="horz" wrap="square" lIns="72000" tIns="90000" rIns="72000" bIns="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6856E310" id="Prostokąt: zaokrąglone rogi 65" o:spid="_x0000_s1086" style="position:absolute;left:0;text-align:left;margin-left:177.7pt;margin-top:5.05pt;width:228.9pt;height:111.7pt;z-index:-25167155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arcsize="777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" fillcolor="white [3212]" strokecolor="#70ad47 [3209]">
                <v:stroke joinstyle="miter"/>
                <v:shadow on="t" color="black" opacity="26214f" origin="-.5" offset="3pt,0"/>
                <v:path arrowok="t"/>
                <v:textbox style="mso-fit-shape-to-text:t" inset="2mm,2.5mm,2mm,0">
                  <w:txbxContent>
                    <w:p w14:paraId="3F248FE4" w14:textId="43D50866" w:rsidR="00D557ED" w:rsidRDefault="00D557ED" w:rsidP="00D557ED">
                      <w:pPr>
                        <w:pStyle w:val="Ramka"/>
                      </w:pPr>
                      <w:r>
                        <w:t>Sektor LULUCF związany jest z użytkowaniem gruntów, zmianą użytkowania gruntów i leśnictwem.</w:t>
                      </w:r>
                    </w:p>
                    <w:p w14:paraId="2CB02780" w14:textId="6D96D682" w:rsidR="009714FB" w:rsidRPr="004E21CF" w:rsidRDefault="00D557ED" w:rsidP="00D557ED">
                      <w:pPr>
                        <w:pStyle w:val="Ramka"/>
                      </w:pPr>
                      <w:r>
                        <w:t>Obejmuje gospodarowanie glebą, drzewami, roślinami, biomasą i drewnem. Jego szczególną cechą sektora LULUCF jest to, że nie tylko generuje emisje gazów cieplarnianych, lecz może także pochłaniać CO</w:t>
                      </w:r>
                      <w:r>
                        <w:rPr>
                          <w:rFonts w:ascii="Cambria Math" w:hAnsi="Cambria Math" w:cs="Cambria Math"/>
                        </w:rPr>
                        <w:t>₂</w:t>
                      </w:r>
                      <w:r>
                        <w:t xml:space="preserve"> z atmosfery. </w:t>
                      </w:r>
                    </w:p>
                  </w:txbxContent>
                </v:textbox>
                <w10:wrap type="square" anchorx="margin"/>
              </v:roundrect>
            </w:pict>
          </mc:Fallback>
        </mc:AlternateContent>
      </w:r>
      <w:r w:rsidR="00D22C5E">
        <w:t xml:space="preserve">Redukcje emisji gazów cieplarnianych to ogromne wzywanie, ale części z nich według aktualnego stanu wiedzy nie uda się uniknąć. </w:t>
      </w:r>
      <w:r w:rsidR="0077251A">
        <w:t>F</w:t>
      </w:r>
      <w:r w:rsidR="00D557ED">
        <w:t xml:space="preserve">lora </w:t>
      </w:r>
      <w:r w:rsidR="0077251A">
        <w:t>sekwestruje</w:t>
      </w:r>
      <w:r w:rsidR="00D557ED">
        <w:t xml:space="preserve"> część emisji, dlatego działania na skutek wzrostu pochłaniania CO</w:t>
      </w:r>
      <w:r w:rsidR="00D557ED" w:rsidRPr="00D557ED">
        <w:rPr>
          <w:vertAlign w:val="subscript"/>
        </w:rPr>
        <w:t>2</w:t>
      </w:r>
      <w:r w:rsidR="00D557ED">
        <w:t xml:space="preserve"> z</w:t>
      </w:r>
      <w:r w:rsidR="00525281">
        <w:t> </w:t>
      </w:r>
      <w:r w:rsidR="00D557ED">
        <w:t xml:space="preserve">atmosfery przez tzw. sektor LULUCF (ang. </w:t>
      </w:r>
      <w:r w:rsidR="00D557ED" w:rsidRPr="00D557ED">
        <w:rPr>
          <w:i/>
          <w:iCs/>
        </w:rPr>
        <w:t>land use, land use change and forestry</w:t>
      </w:r>
      <w:r w:rsidR="00D557ED">
        <w:t xml:space="preserve">) </w:t>
      </w:r>
      <w:r w:rsidR="00491322">
        <w:t>łagodzą skutki emisji GC</w:t>
      </w:r>
      <w:r w:rsidR="00D557ED">
        <w:t>. To</w:t>
      </w:r>
      <w:r w:rsidR="001058BD">
        <w:t> </w:t>
      </w:r>
      <w:r w:rsidR="00D557ED">
        <w:t>założenie stoi u podstaw</w:t>
      </w:r>
      <w:r w:rsidR="00592BBB">
        <w:t xml:space="preserve"> zarówno określonego przez Unię Europejską celu redukcji emisji GC o 55% vs. 1990 r.,</w:t>
      </w:r>
      <w:r w:rsidR="00D557ED">
        <w:t xml:space="preserve"> </w:t>
      </w:r>
      <w:r w:rsidR="00592BBB">
        <w:t xml:space="preserve">jak i </w:t>
      </w:r>
      <w:r w:rsidR="00D22C5E">
        <w:t>cel</w:t>
      </w:r>
      <w:r w:rsidR="00D557ED">
        <w:t>u</w:t>
      </w:r>
      <w:r w:rsidR="00D22C5E">
        <w:t xml:space="preserve"> osiągnięcia </w:t>
      </w:r>
      <w:r w:rsidR="00D22C5E" w:rsidRPr="00D22C5E">
        <w:rPr>
          <w:b/>
          <w:bCs/>
        </w:rPr>
        <w:t>neutralności klimatycznej</w:t>
      </w:r>
      <w:r w:rsidR="00D22C5E">
        <w:t xml:space="preserve"> do 2050 r. </w:t>
      </w:r>
    </w:p>
    <w:p w14:paraId="0870DE12" w14:textId="628B1DC1" w:rsidR="00D557ED" w:rsidRDefault="002134AD" w:rsidP="009714FB">
      <w:r>
        <w:t>Zasady</w:t>
      </w:r>
      <w:r w:rsidR="00D557ED">
        <w:t xml:space="preserve"> rozliczania </w:t>
      </w:r>
      <w:r>
        <w:t>salda netto</w:t>
      </w:r>
      <w:r w:rsidR="00AD1570">
        <w:rPr>
          <w:rStyle w:val="Odwoanieprzypisudolnego"/>
        </w:rPr>
        <w:footnoteReference w:id="41"/>
      </w:r>
      <w:r>
        <w:t xml:space="preserve"> emisji GC w wyniku </w:t>
      </w:r>
      <w:r w:rsidR="00D557ED">
        <w:t>pochłaniania przez sektor LULUCF</w:t>
      </w:r>
      <w:r>
        <w:t xml:space="preserve"> (generowanie kredytów węglowych) – w tym limity emisji – są </w:t>
      </w:r>
      <w:r w:rsidR="00D557ED">
        <w:t>szczegółowo określon</w:t>
      </w:r>
      <w:r>
        <w:t>e</w:t>
      </w:r>
      <w:r w:rsidR="00D557ED">
        <w:t xml:space="preserve"> </w:t>
      </w:r>
      <w:r>
        <w:t>przez</w:t>
      </w:r>
      <w:r w:rsidR="00592BBB">
        <w:t xml:space="preserve"> r</w:t>
      </w:r>
      <w:r w:rsidR="00592BBB" w:rsidRPr="00C67596">
        <w:rPr>
          <w:rFonts w:cs="Calibri"/>
        </w:rPr>
        <w:t>ozporządzen</w:t>
      </w:r>
      <w:r>
        <w:rPr>
          <w:rFonts w:cs="Calibri"/>
        </w:rPr>
        <w:t>ie</w:t>
      </w:r>
      <w:r w:rsidR="00592BBB">
        <w:rPr>
          <w:rFonts w:cs="Calibri"/>
        </w:rPr>
        <w:t xml:space="preserve"> UE</w:t>
      </w:r>
      <w:r w:rsidR="00592BBB" w:rsidRPr="00C67596">
        <w:rPr>
          <w:rFonts w:cs="Calibri"/>
        </w:rPr>
        <w:t xml:space="preserve"> </w:t>
      </w:r>
      <w:r w:rsidR="00592BBB">
        <w:rPr>
          <w:rFonts w:cs="Calibri"/>
        </w:rPr>
        <w:lastRenderedPageBreak/>
        <w:t xml:space="preserve">2018/841 </w:t>
      </w:r>
      <w:r>
        <w:rPr>
          <w:rFonts w:cs="Calibri"/>
        </w:rPr>
        <w:t xml:space="preserve">(rozporządzenie LULUCF) oraz zmiany wprowadzone w nim </w:t>
      </w:r>
      <w:r w:rsidR="00592BBB">
        <w:t>rozporządzeni</w:t>
      </w:r>
      <w:r>
        <w:t>em</w:t>
      </w:r>
      <w:r w:rsidR="00592BBB">
        <w:t xml:space="preserve"> UE 2023/839 (rozporządz</w:t>
      </w:r>
      <w:r w:rsidR="00CA5D28">
        <w:t>enie LULUCF II)</w:t>
      </w:r>
      <w:r w:rsidR="00AD1570">
        <w:t xml:space="preserve">. </w:t>
      </w:r>
    </w:p>
    <w:p w14:paraId="4EFBA11B" w14:textId="0788D148" w:rsidR="001E4CC6" w:rsidRPr="003768A4" w:rsidRDefault="00CA5D28" w:rsidP="003768A4">
      <w:r>
        <w:t xml:space="preserve">Poniżej określono </w:t>
      </w:r>
      <w:r w:rsidR="00F077D1">
        <w:t>ocenę krajowych możliwości i politykę w zakresie generowania kredytów węglowych przez sektor LULUCF.</w:t>
      </w:r>
    </w:p>
    <w:p w14:paraId="73146C7B" w14:textId="12692EA9" w:rsidR="00C8356A" w:rsidRPr="00F53663" w:rsidRDefault="00491322" w:rsidP="00C8356A">
      <w:pPr>
        <w:pStyle w:val="Nagwek4"/>
        <w:rPr>
          <w:color w:val="70AD47" w:themeColor="accent6"/>
        </w:rPr>
      </w:pPr>
      <w:bookmarkStart w:id="79" w:name="_Ref159358369"/>
      <w:bookmarkStart w:id="80" w:name="_Ref159358398"/>
      <w:bookmarkStart w:id="81" w:name="_Ref159358403"/>
      <w:bookmarkStart w:id="82" w:name="_Toc159598295"/>
      <w:bookmarkStart w:id="83" w:name="_Ref174098014"/>
      <w:bookmarkStart w:id="84" w:name="_Ref174098020"/>
      <w:bookmarkStart w:id="85" w:name="_Toc179536943"/>
      <w:r>
        <w:rPr>
          <w:color w:val="70AD47" w:themeColor="accent6"/>
        </w:rPr>
        <w:t xml:space="preserve">Dążenie do zwiększenia pochłaniania </w:t>
      </w:r>
      <w:r w:rsidR="00C34B78">
        <w:rPr>
          <w:color w:val="70AD47" w:themeColor="accent6"/>
        </w:rPr>
        <w:t>gazów cieplarnianych</w:t>
      </w:r>
      <w:r>
        <w:rPr>
          <w:color w:val="70AD47" w:themeColor="accent6"/>
        </w:rPr>
        <w:t xml:space="preserve"> przez </w:t>
      </w:r>
      <w:r w:rsidR="00C34B78">
        <w:rPr>
          <w:color w:val="70AD47" w:themeColor="accent6"/>
        </w:rPr>
        <w:t xml:space="preserve">sektor </w:t>
      </w:r>
      <w:r>
        <w:rPr>
          <w:color w:val="70AD47" w:themeColor="accent6"/>
        </w:rPr>
        <w:t>LULUCF</w:t>
      </w:r>
      <w:bookmarkEnd w:id="79"/>
      <w:bookmarkEnd w:id="80"/>
      <w:bookmarkEnd w:id="81"/>
      <w:bookmarkEnd w:id="82"/>
      <w:bookmarkEnd w:id="83"/>
      <w:bookmarkEnd w:id="84"/>
      <w:bookmarkEnd w:id="85"/>
    </w:p>
    <w:p w14:paraId="79C100E8" w14:textId="4C520A6C" w:rsidR="00946F60" w:rsidRDefault="000E5C6F" w:rsidP="00750CA2">
      <w:pPr>
        <w:spacing w:after="80"/>
      </w:pPr>
      <w:r w:rsidRPr="009C0B2E">
        <w:t xml:space="preserve">Unijny cel na 2030 r. </w:t>
      </w:r>
      <w:r>
        <w:t xml:space="preserve">w zakresie pochłaniania gazów cieplarnianych netto wynosi </w:t>
      </w:r>
      <w:r w:rsidRPr="009C0B2E">
        <w:t>310 mln t ekw</w:t>
      </w:r>
      <w:r w:rsidR="009C0B2E">
        <w:t>.</w:t>
      </w:r>
      <w:r w:rsidRPr="009C0B2E">
        <w:t xml:space="preserve"> CO</w:t>
      </w:r>
      <w:r w:rsidRPr="009C0B2E">
        <w:rPr>
          <w:vertAlign w:val="subscript"/>
        </w:rPr>
        <w:t>2</w:t>
      </w:r>
      <w:r>
        <w:t xml:space="preserve"> (co</w:t>
      </w:r>
      <w:r w:rsidR="0077251A">
        <w:t> </w:t>
      </w:r>
      <w:r>
        <w:t>jest sumą wartości emisji i pochłaniania netto gazów cieplarnianych w</w:t>
      </w:r>
      <w:r w:rsidR="009C0B2E">
        <w:t xml:space="preserve"> </w:t>
      </w:r>
      <w:r>
        <w:t>państwach członkowskich w</w:t>
      </w:r>
      <w:r w:rsidR="0077251A">
        <w:t> </w:t>
      </w:r>
      <w:r>
        <w:t>2030 r.)</w:t>
      </w:r>
      <w:r w:rsidR="009C0B2E">
        <w:t>. Dla k</w:t>
      </w:r>
      <w:r>
        <w:t>ażde</w:t>
      </w:r>
      <w:r w:rsidR="009C0B2E">
        <w:t>go</w:t>
      </w:r>
      <w:r>
        <w:t xml:space="preserve"> państw</w:t>
      </w:r>
      <w:r w:rsidR="009C0B2E">
        <w:t>a</w:t>
      </w:r>
      <w:r>
        <w:t xml:space="preserve"> członkowskie</w:t>
      </w:r>
      <w:r w:rsidR="009C0B2E">
        <w:t>go</w:t>
      </w:r>
      <w:r>
        <w:t xml:space="preserve"> </w:t>
      </w:r>
      <w:r w:rsidR="009C0B2E">
        <w:t xml:space="preserve">określono oddzielny cel, </w:t>
      </w:r>
      <w:r w:rsidR="001E052F" w:rsidRPr="00E944AF">
        <w:t>wynikający z danych historycznych</w:t>
      </w:r>
      <w:r w:rsidR="00C01BC5">
        <w:t>.</w:t>
      </w:r>
      <w:r w:rsidR="00AD1570">
        <w:t xml:space="preserve"> </w:t>
      </w:r>
      <w:bookmarkStart w:id="86" w:name="_Hlk159554589"/>
      <w:r w:rsidR="00946F60">
        <w:t xml:space="preserve">Dla Polski określono na 2030 r. </w:t>
      </w:r>
      <w:r w:rsidR="00946F60" w:rsidRPr="001E052F">
        <w:rPr>
          <w:b/>
          <w:bCs/>
        </w:rPr>
        <w:t>cel na poziomie 38,098 mln t ekw. CO</w:t>
      </w:r>
      <w:r w:rsidR="00946F60" w:rsidRPr="001E052F">
        <w:rPr>
          <w:b/>
          <w:bCs/>
          <w:vertAlign w:val="subscript"/>
        </w:rPr>
        <w:t>2</w:t>
      </w:r>
      <w:r w:rsidR="00946F60">
        <w:rPr>
          <w:rStyle w:val="Odwoanieprzypisudolnego"/>
        </w:rPr>
        <w:footnoteReference w:id="42"/>
      </w:r>
      <w:r w:rsidR="00946F60">
        <w:t>.</w:t>
      </w:r>
      <w:r w:rsidR="00946F60" w:rsidRPr="00946F60">
        <w:t xml:space="preserve"> </w:t>
      </w:r>
      <w:bookmarkEnd w:id="86"/>
      <w:r w:rsidR="00946F60">
        <w:t>P</w:t>
      </w:r>
      <w:r w:rsidR="00946F60" w:rsidRPr="00946F60">
        <w:t>ona</w:t>
      </w:r>
      <w:r w:rsidR="00946F60">
        <w:t>dto:</w:t>
      </w:r>
    </w:p>
    <w:p w14:paraId="64CFE572" w14:textId="0266AC5A" w:rsidR="00F13215" w:rsidRDefault="00667C60" w:rsidP="00667C60">
      <w:pPr>
        <w:pStyle w:val="Akapitzlist"/>
        <w:numPr>
          <w:ilvl w:val="0"/>
          <w:numId w:val="1"/>
        </w:numPr>
      </w:pPr>
      <w:r w:rsidRPr="00E944AF">
        <w:t xml:space="preserve">w latach 2021–2025 należy zapewnić, aby emisje z sektora LULUCF nie przekraczały pochłaniania z tego sektora, </w:t>
      </w:r>
      <w:r w:rsidR="00750CA2">
        <w:t>dodatkowo</w:t>
      </w:r>
      <w:r w:rsidR="00F13215">
        <w:t>:</w:t>
      </w:r>
    </w:p>
    <w:p w14:paraId="252F3C6C" w14:textId="37EEA760" w:rsidR="00F13215" w:rsidRDefault="00667C60" w:rsidP="00F13215">
      <w:pPr>
        <w:pStyle w:val="Akapitzlist"/>
        <w:numPr>
          <w:ilvl w:val="1"/>
          <w:numId w:val="1"/>
        </w:numPr>
      </w:pPr>
      <w:r w:rsidRPr="00E944AF">
        <w:t xml:space="preserve">dla </w:t>
      </w:r>
      <w:r w:rsidR="00750CA2" w:rsidRPr="00E944AF">
        <w:t xml:space="preserve">zarządzanych </w:t>
      </w:r>
      <w:r w:rsidRPr="00E944AF">
        <w:t>gruntów leśnych</w:t>
      </w:r>
      <w:r w:rsidR="00F13215">
        <w:t xml:space="preserve"> (kat. 4A)</w:t>
      </w:r>
      <w:r w:rsidRPr="00E944AF">
        <w:t xml:space="preserve"> obowiązują rozliczenia z wykorzystaniem poziomu referencyjnego dla lasów, który dla Polski wynosi 28,4 </w:t>
      </w:r>
      <w:r w:rsidR="009A137A">
        <w:t>mln</w:t>
      </w:r>
      <w:r w:rsidRPr="00E944AF">
        <w:t xml:space="preserve"> ekw. CO</w:t>
      </w:r>
      <w:r w:rsidRPr="00E944AF">
        <w:rPr>
          <w:vertAlign w:val="subscript"/>
        </w:rPr>
        <w:t>2</w:t>
      </w:r>
      <w:r>
        <w:t xml:space="preserve">; </w:t>
      </w:r>
    </w:p>
    <w:p w14:paraId="106D332D" w14:textId="2B4996E0" w:rsidR="00667C60" w:rsidRDefault="00667C60" w:rsidP="00F13215">
      <w:pPr>
        <w:pStyle w:val="Akapitzlist"/>
        <w:numPr>
          <w:ilvl w:val="1"/>
          <w:numId w:val="1"/>
        </w:numPr>
      </w:pPr>
      <w:r>
        <w:t>d</w:t>
      </w:r>
      <w:r w:rsidRPr="00E944AF">
        <w:t>la gruntów uprawnych, trawiastych i podmokłych</w:t>
      </w:r>
      <w:r w:rsidR="00F13215">
        <w:t xml:space="preserve"> (kat. 4B–4D)</w:t>
      </w:r>
      <w:r w:rsidRPr="00E944AF">
        <w:t xml:space="preserve"> rozliczanie odnosi się do emisji i</w:t>
      </w:r>
      <w:r>
        <w:t> </w:t>
      </w:r>
      <w:r w:rsidRPr="00E944AF">
        <w:t>pochłaniania w okresie bazowym od 2005 do 2009 r.</w:t>
      </w:r>
    </w:p>
    <w:p w14:paraId="1049AB79" w14:textId="01DD744B" w:rsidR="009D13E1" w:rsidRDefault="00946F60" w:rsidP="008340D5">
      <w:pPr>
        <w:pStyle w:val="Akapitzlist"/>
        <w:numPr>
          <w:ilvl w:val="0"/>
          <w:numId w:val="1"/>
        </w:numPr>
      </w:pPr>
      <w:r>
        <w:t>w latach 2026–20</w:t>
      </w:r>
      <w:r w:rsidR="00667C60">
        <w:t>29</w:t>
      </w:r>
      <w:r>
        <w:t xml:space="preserve"> pochłanianie powinno przebiegać według trajektorii liniowej, opartej na średnim pochłaniania w latach 2021–2023</w:t>
      </w:r>
      <w:r w:rsidR="00667C60">
        <w:t xml:space="preserve">, </w:t>
      </w:r>
      <w:r w:rsidR="00667C60" w:rsidRPr="00E944AF">
        <w:t>której początkiem jest 2022</w:t>
      </w:r>
      <w:r w:rsidR="00CE5AEF">
        <w:t xml:space="preserve"> r.</w:t>
      </w:r>
      <w:r w:rsidR="00667C60" w:rsidRPr="00E944AF">
        <w:t xml:space="preserve">, a końcem </w:t>
      </w:r>
      <w:r w:rsidR="00AC3BAF">
        <w:t>–</w:t>
      </w:r>
      <w:r w:rsidR="00667C60" w:rsidRPr="00E944AF">
        <w:t xml:space="preserve"> cel pochłonięcia 38,098 mln t ekw. CO</w:t>
      </w:r>
      <w:r w:rsidR="00667C60" w:rsidRPr="00E944AF">
        <w:rPr>
          <w:vertAlign w:val="subscript"/>
        </w:rPr>
        <w:t>2</w:t>
      </w:r>
      <w:r w:rsidR="00667C60" w:rsidRPr="00E944AF">
        <w:t xml:space="preserve"> w 2030 r</w:t>
      </w:r>
      <w:r>
        <w:t>.</w:t>
      </w:r>
      <w:r w:rsidR="00F13215">
        <w:rPr>
          <w:rStyle w:val="Odwoanieprzypisudolnego"/>
        </w:rPr>
        <w:footnoteReference w:id="43"/>
      </w:r>
      <w:r>
        <w:t xml:space="preserve"> </w:t>
      </w:r>
    </w:p>
    <w:p w14:paraId="7D8400C7" w14:textId="0CFB63C8" w:rsidR="00667C60" w:rsidRDefault="00667C60" w:rsidP="00854200">
      <w:r w:rsidRPr="00E944AF">
        <w:t>Po spełnieniu wymagań rozporządzenia LULUCF II</w:t>
      </w:r>
      <w:r>
        <w:t xml:space="preserve">, </w:t>
      </w:r>
      <w:r w:rsidRPr="00E944AF">
        <w:t xml:space="preserve">Polska potencjalnie będzie mogła także skorzystać z mechanizmu </w:t>
      </w:r>
      <w:r w:rsidRPr="001B3C2E">
        <w:rPr>
          <w:b/>
          <w:bCs/>
        </w:rPr>
        <w:t xml:space="preserve">elastyczności </w:t>
      </w:r>
      <w:r w:rsidR="00964D22">
        <w:rPr>
          <w:b/>
          <w:bCs/>
        </w:rPr>
        <w:t>LULUCF</w:t>
      </w:r>
      <w:r w:rsidR="00964D22">
        <w:rPr>
          <w:rStyle w:val="Odwoanieprzypisudolnego"/>
          <w:b/>
          <w:bCs/>
        </w:rPr>
        <w:footnoteReference w:id="44"/>
      </w:r>
      <w:r w:rsidR="00964D22">
        <w:rPr>
          <w:b/>
          <w:bCs/>
        </w:rPr>
        <w:t xml:space="preserve"> </w:t>
      </w:r>
      <w:r w:rsidRPr="00E944AF">
        <w:t>(kompensacji)</w:t>
      </w:r>
      <w:r w:rsidR="001B3C2E">
        <w:t>. P</w:t>
      </w:r>
      <w:r w:rsidRPr="00E944AF">
        <w:t>ole</w:t>
      </w:r>
      <w:r w:rsidR="001B3C2E">
        <w:t>ga to</w:t>
      </w:r>
      <w:r w:rsidRPr="00E944AF">
        <w:t xml:space="preserve"> na transferze </w:t>
      </w:r>
      <w:r w:rsidR="0079136B">
        <w:t xml:space="preserve">ewentualnych </w:t>
      </w:r>
      <w:r w:rsidRPr="00E944AF">
        <w:t xml:space="preserve">nadwyżek pochłaniania </w:t>
      </w:r>
      <w:r w:rsidR="00964D22">
        <w:t>z</w:t>
      </w:r>
      <w:r w:rsidR="006126F9">
        <w:t> </w:t>
      </w:r>
      <w:r w:rsidR="00964D22">
        <w:t xml:space="preserve">LULUCF do rozliczenia emisji </w:t>
      </w:r>
      <w:r w:rsidRPr="00E944AF">
        <w:t>z sektorów non-ETS, w oparciu o rozporządzenie ESR</w:t>
      </w:r>
      <w:r w:rsidR="002E5435">
        <w:t xml:space="preserve"> (art. 12)</w:t>
      </w:r>
      <w:r w:rsidRPr="00E944AF">
        <w:t xml:space="preserve">, </w:t>
      </w:r>
      <w:r w:rsidR="002E5435">
        <w:t>wyłączeniu emisji związanych</w:t>
      </w:r>
      <w:r w:rsidR="002E5435" w:rsidRPr="00E944AF">
        <w:t xml:space="preserve"> katastrof</w:t>
      </w:r>
      <w:r w:rsidR="002E5435">
        <w:t>ami</w:t>
      </w:r>
      <w:r w:rsidR="002E5435" w:rsidRPr="00E944AF">
        <w:t xml:space="preserve"> naturalny</w:t>
      </w:r>
      <w:r w:rsidR="002E5435">
        <w:t>mi (art. 10)</w:t>
      </w:r>
      <w:r w:rsidR="002E5435" w:rsidRPr="00E944AF">
        <w:t xml:space="preserve">, a także elastyczności </w:t>
      </w:r>
      <w:r w:rsidR="002E5435">
        <w:t>dla</w:t>
      </w:r>
      <w:r w:rsidR="002E5435" w:rsidRPr="00E944AF">
        <w:t> zarządzany</w:t>
      </w:r>
      <w:r w:rsidR="002E5435">
        <w:t>ch</w:t>
      </w:r>
      <w:r w:rsidR="002E5435" w:rsidRPr="00E944AF">
        <w:t xml:space="preserve"> grunt</w:t>
      </w:r>
      <w:r w:rsidR="002E5435">
        <w:t>ów</w:t>
      </w:r>
      <w:r w:rsidR="002E5435" w:rsidRPr="00E944AF">
        <w:t xml:space="preserve"> leśny</w:t>
      </w:r>
      <w:r w:rsidR="002E5435">
        <w:t>ch</w:t>
      </w:r>
      <w:r w:rsidRPr="00E944AF">
        <w:t xml:space="preserve"> na lata 2026-2029</w:t>
      </w:r>
      <w:r w:rsidR="00D53436">
        <w:t>.</w:t>
      </w:r>
      <w:r w:rsidRPr="00E944AF">
        <w:t xml:space="preserve"> </w:t>
      </w:r>
      <w:r w:rsidR="00D53436">
        <w:t>M</w:t>
      </w:r>
      <w:r w:rsidRPr="00E944AF">
        <w:t xml:space="preserve">aksymalna wartość tych dwóch ostatnich elastyczności wynosi 22,5 </w:t>
      </w:r>
      <w:r w:rsidR="00964D22">
        <w:t>mln</w:t>
      </w:r>
      <w:r w:rsidRPr="00E944AF">
        <w:t xml:space="preserve"> ekw. CO</w:t>
      </w:r>
      <w:r w:rsidRPr="00E944AF">
        <w:rPr>
          <w:vertAlign w:val="subscript"/>
        </w:rPr>
        <w:t xml:space="preserve">2 </w:t>
      </w:r>
      <w:r w:rsidRPr="00E944AF">
        <w:t xml:space="preserve">w </w:t>
      </w:r>
      <w:r w:rsidR="008165C8">
        <w:t xml:space="preserve">równym </w:t>
      </w:r>
      <w:r w:rsidRPr="00E944AF">
        <w:t>podziale na oba okresy rozliczeniowe.</w:t>
      </w:r>
      <w:r w:rsidR="00D53436">
        <w:t xml:space="preserve"> </w:t>
      </w:r>
    </w:p>
    <w:p w14:paraId="1FAE7C7C" w14:textId="77777777" w:rsidR="00D52113" w:rsidRDefault="00D52113" w:rsidP="00D52113">
      <w:pPr>
        <w:spacing w:after="80"/>
      </w:pPr>
      <w:r>
        <w:t>W</w:t>
      </w:r>
      <w:r w:rsidRPr="00E944AF">
        <w:t xml:space="preserve"> Polsce największym pochłaniaczem </w:t>
      </w:r>
      <w:r>
        <w:t>emisji CO</w:t>
      </w:r>
      <w:r w:rsidRPr="005338B6">
        <w:rPr>
          <w:vertAlign w:val="subscript"/>
        </w:rPr>
        <w:t>2</w:t>
      </w:r>
      <w:r>
        <w:t xml:space="preserve"> </w:t>
      </w:r>
      <w:r w:rsidRPr="00E944AF">
        <w:t xml:space="preserve">są </w:t>
      </w:r>
      <w:r w:rsidRPr="00467313">
        <w:rPr>
          <w:b/>
          <w:bCs/>
        </w:rPr>
        <w:t>lasy (grunty leśne)</w:t>
      </w:r>
      <w:r>
        <w:t>, a kluczowe znaczenie dla poziomu pochłaniania w danym roku i latach kolejnych mają:</w:t>
      </w:r>
    </w:p>
    <w:p w14:paraId="03EA65AF" w14:textId="5F6B60EC" w:rsidR="00D52113" w:rsidRDefault="00D52113" w:rsidP="00D52113">
      <w:pPr>
        <w:pStyle w:val="Akapitzlist"/>
        <w:numPr>
          <w:ilvl w:val="0"/>
          <w:numId w:val="1"/>
        </w:numPr>
      </w:pPr>
      <w:r>
        <w:t>wiek</w:t>
      </w:r>
      <w:r w:rsidRPr="00E944AF">
        <w:t xml:space="preserve"> drzewostanów </w:t>
      </w:r>
      <w:r>
        <w:t>(</w:t>
      </w:r>
      <w:r w:rsidRPr="00E944AF">
        <w:t>drzewa najwięcej węgla pochłaniają w</w:t>
      </w:r>
      <w:r>
        <w:t xml:space="preserve"> </w:t>
      </w:r>
      <w:r w:rsidRPr="00E944AF">
        <w:t>fazie intensywnego wzrostu i</w:t>
      </w:r>
      <w:r>
        <w:t> </w:t>
      </w:r>
      <w:r w:rsidRPr="00E944AF">
        <w:t>rozwoju, czyli głównie</w:t>
      </w:r>
      <w:r>
        <w:t>,</w:t>
      </w:r>
      <w:r w:rsidRPr="00E944AF">
        <w:t xml:space="preserve"> </w:t>
      </w:r>
      <w:r>
        <w:t>gdy są</w:t>
      </w:r>
      <w:r w:rsidRPr="00E944AF">
        <w:t xml:space="preserve"> </w:t>
      </w:r>
      <w:r>
        <w:t xml:space="preserve">w </w:t>
      </w:r>
      <w:r w:rsidRPr="00E944AF">
        <w:t>młody</w:t>
      </w:r>
      <w:r>
        <w:t>m</w:t>
      </w:r>
      <w:r w:rsidRPr="00E944AF">
        <w:t xml:space="preserve"> i</w:t>
      </w:r>
      <w:r>
        <w:t> </w:t>
      </w:r>
      <w:r w:rsidRPr="00E944AF">
        <w:t>w</w:t>
      </w:r>
      <w:r>
        <w:t> </w:t>
      </w:r>
      <w:r w:rsidRPr="00E944AF">
        <w:t>średnim wieku</w:t>
      </w:r>
      <w:r w:rsidR="00801D64">
        <w:t>, przy czym w 202</w:t>
      </w:r>
      <w:r w:rsidR="00467AA9">
        <w:t>3</w:t>
      </w:r>
      <w:r w:rsidR="00801D64">
        <w:t xml:space="preserve"> r. średnia wieku lasów wynosiła </w:t>
      </w:r>
      <w:r w:rsidR="00D53436">
        <w:t>61 lat</w:t>
      </w:r>
      <w:r w:rsidR="00835078">
        <w:rPr>
          <w:rStyle w:val="Odwoanieprzypisudolnego"/>
        </w:rPr>
        <w:footnoteReference w:id="45"/>
      </w:r>
      <w:r>
        <w:t>),</w:t>
      </w:r>
    </w:p>
    <w:p w14:paraId="524BACBC" w14:textId="77777777" w:rsidR="00D52113" w:rsidRDefault="00D52113" w:rsidP="00D52113">
      <w:pPr>
        <w:pStyle w:val="Akapitzlist"/>
        <w:numPr>
          <w:ilvl w:val="0"/>
          <w:numId w:val="1"/>
        </w:numPr>
      </w:pPr>
      <w:r>
        <w:t>struktura gatunkowa,</w:t>
      </w:r>
    </w:p>
    <w:p w14:paraId="3C2E910C" w14:textId="21F287B6" w:rsidR="00D52113" w:rsidRDefault="00D52113" w:rsidP="00D52113">
      <w:pPr>
        <w:pStyle w:val="Akapitzlist"/>
        <w:numPr>
          <w:ilvl w:val="0"/>
          <w:numId w:val="1"/>
        </w:numPr>
      </w:pPr>
      <w:r w:rsidRPr="00E944AF">
        <w:t xml:space="preserve">zaburzenia </w:t>
      </w:r>
      <w:r>
        <w:t xml:space="preserve">wynikające m.in. ze zmian klimatu </w:t>
      </w:r>
      <w:r w:rsidRPr="00E944AF">
        <w:t>taki</w:t>
      </w:r>
      <w:r w:rsidR="00AB3387">
        <w:t>ch</w:t>
      </w:r>
      <w:r w:rsidRPr="00E944AF">
        <w:t xml:space="preserve"> jak huragany, pożary, gradacje o</w:t>
      </w:r>
      <w:r w:rsidR="00AB3387">
        <w:t>p</w:t>
      </w:r>
      <w:r w:rsidRPr="00E944AF">
        <w:t>adów i susze</w:t>
      </w:r>
      <w:r>
        <w:t xml:space="preserve"> (</w:t>
      </w:r>
      <w:r w:rsidRPr="00E944AF">
        <w:t>które powodują zmniejszenie się przyrostu, a nawet zamieranie drzew</w:t>
      </w:r>
      <w:r>
        <w:t xml:space="preserve"> i drzewostanów).</w:t>
      </w:r>
    </w:p>
    <w:p w14:paraId="6EF2CA64" w14:textId="54482549" w:rsidR="00F45F8D" w:rsidRDefault="00D52113" w:rsidP="00D52113">
      <w:r w:rsidRPr="00E944AF">
        <w:t>Działania takie jak nawadnianie torfowisk, zalesianie czy</w:t>
      </w:r>
      <w:r>
        <w:t xml:space="preserve"> </w:t>
      </w:r>
      <w:r w:rsidRPr="00E944AF">
        <w:t xml:space="preserve">przebudowa lasów w kierunku bardziej różnorodnych i odpornych </w:t>
      </w:r>
      <w:r w:rsidRPr="00163CF0">
        <w:rPr>
          <w:b/>
          <w:bCs/>
        </w:rPr>
        <w:t>mogą przynieść pożądane efekty dopiero w dłu</w:t>
      </w:r>
      <w:r>
        <w:rPr>
          <w:b/>
          <w:bCs/>
        </w:rPr>
        <w:t>giej</w:t>
      </w:r>
      <w:r w:rsidRPr="00163CF0">
        <w:rPr>
          <w:b/>
          <w:bCs/>
        </w:rPr>
        <w:t xml:space="preserve"> perspektywie czasu, sięgającej nawet kilku dekad.</w:t>
      </w:r>
      <w:r>
        <w:rPr>
          <w:b/>
          <w:bCs/>
        </w:rPr>
        <w:t xml:space="preserve"> </w:t>
      </w:r>
      <w:r w:rsidRPr="00AD0ADC">
        <w:t>Z</w:t>
      </w:r>
      <w:r>
        <w:t xml:space="preserve"> drugiej strony </w:t>
      </w:r>
      <w:r w:rsidRPr="00667C60">
        <w:t>działanie destrukcyjnych lub zaburzających wobec lasów czynników biotycznych i abiotycznych</w:t>
      </w:r>
      <w:r w:rsidRPr="00EE4AF9">
        <w:t xml:space="preserve"> </w:t>
      </w:r>
      <w:r>
        <w:t xml:space="preserve">niemal natychmiast powodują obniżenie potencjału. </w:t>
      </w:r>
      <w:r w:rsidR="00EE4AF9">
        <w:t xml:space="preserve"> </w:t>
      </w:r>
    </w:p>
    <w:p w14:paraId="47F9AC37" w14:textId="77777777" w:rsidR="00F45F8D" w:rsidRDefault="00F45F8D" w:rsidP="00F45F8D">
      <w:pPr>
        <w:pStyle w:val="Bezodstpw"/>
      </w:pPr>
    </w:p>
    <w:tbl>
      <w:tblPr>
        <w:tblStyle w:val="Tabela-Siatka"/>
        <w:tblpPr w:leftFromText="142" w:rightFromText="142" w:vertAnchor="text" w:horzAnchor="margin" w:tblpXSpec="right" w:tblpY="408"/>
        <w:tblW w:w="0" w:type="auto"/>
        <w:tblCellMar>
          <w:top w:w="6" w:type="dxa"/>
          <w:left w:w="57" w:type="dxa"/>
          <w:bottom w:w="6" w:type="dxa"/>
          <w:right w:w="57" w:type="dxa"/>
        </w:tblCellMar>
        <w:tblLook w:val="04A0" w:firstRow="1" w:lastRow="0" w:firstColumn="1" w:lastColumn="0" w:noHBand="0" w:noVBand="1"/>
      </w:tblPr>
      <w:tblGrid>
        <w:gridCol w:w="1984"/>
        <w:gridCol w:w="737"/>
        <w:gridCol w:w="737"/>
        <w:gridCol w:w="737"/>
      </w:tblGrid>
      <w:tr w:rsidR="00187C07" w:rsidRPr="006C231B" w14:paraId="0A5D0393" w14:textId="77777777" w:rsidTr="00187C07">
        <w:trPr>
          <w:trHeight w:val="278"/>
        </w:trPr>
        <w:tc>
          <w:tcPr>
            <w:tcW w:w="4195" w:type="dxa"/>
            <w:gridSpan w:val="4"/>
            <w:tcBorders>
              <w:top w:val="nil"/>
              <w:left w:val="nil"/>
              <w:bottom w:val="single" w:sz="4" w:space="0" w:color="auto"/>
              <w:right w:val="nil"/>
            </w:tcBorders>
            <w:shd w:val="clear" w:color="auto" w:fill="auto"/>
            <w:vAlign w:val="center"/>
          </w:tcPr>
          <w:p w14:paraId="3E2AC890" w14:textId="77777777" w:rsidR="00187C07" w:rsidRPr="00E769EB" w:rsidRDefault="00187C07" w:rsidP="00E36BEA">
            <w:pPr>
              <w:spacing w:before="360" w:after="40"/>
              <w:jc w:val="center"/>
              <w:rPr>
                <w:b/>
                <w:bCs/>
                <w:sz w:val="22"/>
              </w:rPr>
            </w:pPr>
            <w:r w:rsidRPr="00E769EB">
              <w:rPr>
                <w:b/>
                <w:bCs/>
                <w:color w:val="2F5496" w:themeColor="accent1" w:themeShade="BF"/>
                <w:sz w:val="22"/>
              </w:rPr>
              <w:lastRenderedPageBreak/>
              <w:t xml:space="preserve">Bilans emisji gazów cieplarniach LULUCF  </w:t>
            </w:r>
          </w:p>
        </w:tc>
      </w:tr>
      <w:tr w:rsidR="00187C07" w:rsidRPr="006C231B" w14:paraId="243F4A51" w14:textId="77777777" w:rsidTr="00187C07">
        <w:tc>
          <w:tcPr>
            <w:tcW w:w="1984" w:type="dxa"/>
            <w:tcBorders>
              <w:right w:val="nil"/>
            </w:tcBorders>
            <w:shd w:val="clear" w:color="auto" w:fill="C5E0B3" w:themeFill="accent6" w:themeFillTint="66"/>
            <w:vAlign w:val="center"/>
          </w:tcPr>
          <w:p w14:paraId="2D5EC7EA" w14:textId="77777777" w:rsidR="00187C07" w:rsidRPr="00D162CA" w:rsidRDefault="00187C07" w:rsidP="00187C07">
            <w:pPr>
              <w:jc w:val="left"/>
              <w:rPr>
                <w:sz w:val="18"/>
                <w:szCs w:val="18"/>
              </w:rPr>
            </w:pPr>
            <w:r w:rsidRPr="00D162CA">
              <w:rPr>
                <w:sz w:val="16"/>
                <w:szCs w:val="16"/>
              </w:rPr>
              <w:t>[mln t ekw. CO</w:t>
            </w:r>
            <w:r w:rsidRPr="00D162CA">
              <w:rPr>
                <w:sz w:val="16"/>
                <w:szCs w:val="16"/>
                <w:vertAlign w:val="subscript"/>
              </w:rPr>
              <w:t>2</w:t>
            </w:r>
            <w:r w:rsidRPr="00D162CA">
              <w:rPr>
                <w:sz w:val="16"/>
                <w:szCs w:val="16"/>
              </w:rPr>
              <w:t>]</w:t>
            </w:r>
          </w:p>
        </w:tc>
        <w:tc>
          <w:tcPr>
            <w:tcW w:w="737" w:type="dxa"/>
            <w:tcBorders>
              <w:left w:val="nil"/>
              <w:right w:val="nil"/>
            </w:tcBorders>
            <w:shd w:val="clear" w:color="auto" w:fill="C5E0B3" w:themeFill="accent6" w:themeFillTint="66"/>
            <w:vAlign w:val="center"/>
          </w:tcPr>
          <w:p w14:paraId="2828279D" w14:textId="77777777" w:rsidR="00187C07" w:rsidRPr="003A0C2B" w:rsidRDefault="00187C07" w:rsidP="00187C07">
            <w:pPr>
              <w:jc w:val="center"/>
              <w:rPr>
                <w:b/>
                <w:bCs/>
                <w:sz w:val="16"/>
                <w:szCs w:val="16"/>
              </w:rPr>
            </w:pPr>
            <w:r w:rsidRPr="003A0C2B">
              <w:rPr>
                <w:b/>
                <w:bCs/>
                <w:sz w:val="16"/>
                <w:szCs w:val="16"/>
              </w:rPr>
              <w:t>1990</w:t>
            </w:r>
          </w:p>
        </w:tc>
        <w:tc>
          <w:tcPr>
            <w:tcW w:w="737" w:type="dxa"/>
            <w:tcBorders>
              <w:left w:val="nil"/>
              <w:right w:val="nil"/>
            </w:tcBorders>
            <w:shd w:val="clear" w:color="auto" w:fill="C5E0B3" w:themeFill="accent6" w:themeFillTint="66"/>
            <w:vAlign w:val="center"/>
          </w:tcPr>
          <w:p w14:paraId="27847014" w14:textId="77777777" w:rsidR="00187C07" w:rsidRPr="003A0C2B" w:rsidRDefault="00187C07" w:rsidP="00187C07">
            <w:pPr>
              <w:jc w:val="center"/>
              <w:rPr>
                <w:b/>
                <w:bCs/>
                <w:sz w:val="16"/>
                <w:szCs w:val="16"/>
              </w:rPr>
            </w:pPr>
            <w:r w:rsidRPr="003A0C2B">
              <w:rPr>
                <w:b/>
                <w:bCs/>
                <w:sz w:val="16"/>
                <w:szCs w:val="16"/>
              </w:rPr>
              <w:t>2022</w:t>
            </w:r>
          </w:p>
        </w:tc>
        <w:tc>
          <w:tcPr>
            <w:tcW w:w="737" w:type="dxa"/>
            <w:tcBorders>
              <w:left w:val="nil"/>
            </w:tcBorders>
            <w:shd w:val="clear" w:color="auto" w:fill="C5E0B3" w:themeFill="accent6" w:themeFillTint="66"/>
            <w:vAlign w:val="center"/>
          </w:tcPr>
          <w:p w14:paraId="1ECC7207" w14:textId="77777777" w:rsidR="00187C07" w:rsidRPr="003A0C2B" w:rsidRDefault="00187C07" w:rsidP="00187C07">
            <w:pPr>
              <w:jc w:val="center"/>
              <w:rPr>
                <w:b/>
                <w:bCs/>
                <w:sz w:val="16"/>
                <w:szCs w:val="16"/>
              </w:rPr>
            </w:pPr>
            <w:r w:rsidRPr="003A0C2B">
              <w:rPr>
                <w:b/>
                <w:bCs/>
                <w:sz w:val="16"/>
                <w:szCs w:val="16"/>
              </w:rPr>
              <w:t>2030*</w:t>
            </w:r>
          </w:p>
        </w:tc>
      </w:tr>
      <w:tr w:rsidR="00187C07" w:rsidRPr="006C231B" w14:paraId="07422C50" w14:textId="77777777" w:rsidTr="00187C07">
        <w:trPr>
          <w:trHeight w:val="305"/>
        </w:trPr>
        <w:tc>
          <w:tcPr>
            <w:tcW w:w="1984" w:type="dxa"/>
            <w:tcBorders>
              <w:right w:val="nil"/>
            </w:tcBorders>
            <w:vAlign w:val="center"/>
          </w:tcPr>
          <w:p w14:paraId="2B12BBC0" w14:textId="77777777" w:rsidR="00187C07" w:rsidRPr="006C231B" w:rsidRDefault="00187C07" w:rsidP="00187C07">
            <w:pPr>
              <w:jc w:val="left"/>
              <w:rPr>
                <w:b/>
                <w:bCs/>
                <w:sz w:val="18"/>
                <w:szCs w:val="18"/>
              </w:rPr>
            </w:pPr>
            <w:r w:rsidRPr="006C231B">
              <w:rPr>
                <w:b/>
                <w:bCs/>
                <w:sz w:val="18"/>
                <w:szCs w:val="18"/>
              </w:rPr>
              <w:t>4. LULUCF</w:t>
            </w:r>
          </w:p>
        </w:tc>
        <w:tc>
          <w:tcPr>
            <w:tcW w:w="737" w:type="dxa"/>
            <w:tcBorders>
              <w:left w:val="nil"/>
              <w:right w:val="nil"/>
            </w:tcBorders>
            <w:vAlign w:val="center"/>
          </w:tcPr>
          <w:p w14:paraId="08B982AE" w14:textId="77777777" w:rsidR="00187C07" w:rsidRPr="003A0C2B" w:rsidRDefault="00187C07" w:rsidP="00187C07">
            <w:pPr>
              <w:jc w:val="center"/>
              <w:rPr>
                <w:b/>
                <w:bCs/>
                <w:sz w:val="18"/>
                <w:szCs w:val="18"/>
              </w:rPr>
            </w:pPr>
            <w:r w:rsidRPr="003A0C2B">
              <w:rPr>
                <w:b/>
                <w:bCs/>
                <w:sz w:val="18"/>
                <w:szCs w:val="18"/>
              </w:rPr>
              <w:t>-28,6</w:t>
            </w:r>
          </w:p>
        </w:tc>
        <w:tc>
          <w:tcPr>
            <w:tcW w:w="737" w:type="dxa"/>
            <w:tcBorders>
              <w:left w:val="nil"/>
              <w:right w:val="nil"/>
            </w:tcBorders>
            <w:vAlign w:val="center"/>
          </w:tcPr>
          <w:p w14:paraId="4FD6FD17" w14:textId="77777777" w:rsidR="00187C07" w:rsidRPr="00135E47" w:rsidRDefault="00187C07" w:rsidP="00187C07">
            <w:pPr>
              <w:jc w:val="center"/>
              <w:rPr>
                <w:b/>
                <w:bCs/>
                <w:sz w:val="18"/>
                <w:szCs w:val="18"/>
              </w:rPr>
            </w:pPr>
            <w:r w:rsidRPr="00135E47">
              <w:rPr>
                <w:b/>
                <w:bCs/>
                <w:sz w:val="18"/>
                <w:szCs w:val="18"/>
              </w:rPr>
              <w:t>-35,9</w:t>
            </w:r>
          </w:p>
        </w:tc>
        <w:tc>
          <w:tcPr>
            <w:tcW w:w="737" w:type="dxa"/>
            <w:tcBorders>
              <w:left w:val="nil"/>
            </w:tcBorders>
            <w:vAlign w:val="center"/>
          </w:tcPr>
          <w:p w14:paraId="05B837D2" w14:textId="77777777" w:rsidR="00187C07" w:rsidRPr="00DC6163" w:rsidRDefault="00187C07" w:rsidP="00187C07">
            <w:pPr>
              <w:jc w:val="center"/>
              <w:rPr>
                <w:b/>
                <w:bCs/>
                <w:sz w:val="16"/>
                <w:szCs w:val="16"/>
              </w:rPr>
            </w:pPr>
            <w:r w:rsidRPr="00DC6163">
              <w:rPr>
                <w:b/>
                <w:bCs/>
                <w:sz w:val="16"/>
                <w:szCs w:val="16"/>
              </w:rPr>
              <w:t>-42,1</w:t>
            </w:r>
          </w:p>
        </w:tc>
      </w:tr>
      <w:tr w:rsidR="00187C07" w:rsidRPr="006C231B" w14:paraId="34DEDF47" w14:textId="77777777" w:rsidTr="00187C07">
        <w:tc>
          <w:tcPr>
            <w:tcW w:w="1984" w:type="dxa"/>
            <w:tcBorders>
              <w:right w:val="nil"/>
            </w:tcBorders>
          </w:tcPr>
          <w:p w14:paraId="10AAB54F" w14:textId="77777777" w:rsidR="00187C07" w:rsidRPr="006C231B" w:rsidRDefault="00187C07" w:rsidP="00187C07">
            <w:pPr>
              <w:jc w:val="left"/>
              <w:rPr>
                <w:sz w:val="16"/>
                <w:szCs w:val="16"/>
              </w:rPr>
            </w:pPr>
            <w:r w:rsidRPr="006C231B">
              <w:rPr>
                <w:sz w:val="16"/>
                <w:szCs w:val="16"/>
              </w:rPr>
              <w:t>4A. Grunty leśne</w:t>
            </w:r>
          </w:p>
        </w:tc>
        <w:tc>
          <w:tcPr>
            <w:tcW w:w="737" w:type="dxa"/>
            <w:tcBorders>
              <w:left w:val="nil"/>
              <w:right w:val="nil"/>
            </w:tcBorders>
            <w:vAlign w:val="center"/>
          </w:tcPr>
          <w:p w14:paraId="7FFA4CAC" w14:textId="77777777" w:rsidR="00187C07" w:rsidRPr="006C231B" w:rsidRDefault="00187C07" w:rsidP="00187C07">
            <w:pPr>
              <w:jc w:val="center"/>
              <w:rPr>
                <w:sz w:val="16"/>
                <w:szCs w:val="16"/>
              </w:rPr>
            </w:pPr>
            <w:r w:rsidRPr="006C231B">
              <w:rPr>
                <w:sz w:val="16"/>
                <w:szCs w:val="16"/>
              </w:rPr>
              <w:t>-33,6</w:t>
            </w:r>
          </w:p>
        </w:tc>
        <w:tc>
          <w:tcPr>
            <w:tcW w:w="737" w:type="dxa"/>
            <w:tcBorders>
              <w:left w:val="nil"/>
              <w:right w:val="nil"/>
            </w:tcBorders>
            <w:vAlign w:val="center"/>
          </w:tcPr>
          <w:p w14:paraId="405C4C6F" w14:textId="77777777" w:rsidR="00187C07" w:rsidRPr="006C231B" w:rsidRDefault="00187C07" w:rsidP="00187C07">
            <w:pPr>
              <w:jc w:val="center"/>
              <w:rPr>
                <w:sz w:val="16"/>
                <w:szCs w:val="16"/>
              </w:rPr>
            </w:pPr>
            <w:r w:rsidRPr="006C231B">
              <w:rPr>
                <w:sz w:val="16"/>
                <w:szCs w:val="16"/>
              </w:rPr>
              <w:t>-34,0</w:t>
            </w:r>
          </w:p>
        </w:tc>
        <w:tc>
          <w:tcPr>
            <w:tcW w:w="737" w:type="dxa"/>
            <w:tcBorders>
              <w:left w:val="nil"/>
            </w:tcBorders>
            <w:vAlign w:val="center"/>
          </w:tcPr>
          <w:p w14:paraId="2FED122C" w14:textId="77777777" w:rsidR="00187C07" w:rsidRPr="00DC6163" w:rsidRDefault="00187C07" w:rsidP="00187C07">
            <w:pPr>
              <w:jc w:val="center"/>
              <w:rPr>
                <w:sz w:val="16"/>
                <w:szCs w:val="16"/>
              </w:rPr>
            </w:pPr>
            <w:r w:rsidRPr="00DC6163">
              <w:rPr>
                <w:sz w:val="16"/>
                <w:szCs w:val="16"/>
              </w:rPr>
              <w:t>-45,9</w:t>
            </w:r>
          </w:p>
        </w:tc>
      </w:tr>
      <w:tr w:rsidR="00187C07" w:rsidRPr="006C231B" w14:paraId="0CF277FE" w14:textId="77777777" w:rsidTr="00187C07">
        <w:tc>
          <w:tcPr>
            <w:tcW w:w="1984" w:type="dxa"/>
            <w:tcBorders>
              <w:right w:val="nil"/>
            </w:tcBorders>
          </w:tcPr>
          <w:p w14:paraId="65287098" w14:textId="77777777" w:rsidR="00187C07" w:rsidRPr="006C231B" w:rsidRDefault="00187C07" w:rsidP="00187C07">
            <w:pPr>
              <w:jc w:val="left"/>
              <w:rPr>
                <w:sz w:val="16"/>
                <w:szCs w:val="16"/>
              </w:rPr>
            </w:pPr>
            <w:r w:rsidRPr="006C231B">
              <w:rPr>
                <w:sz w:val="16"/>
                <w:szCs w:val="16"/>
              </w:rPr>
              <w:t>4B. Grunty uprawne</w:t>
            </w:r>
          </w:p>
        </w:tc>
        <w:tc>
          <w:tcPr>
            <w:tcW w:w="737" w:type="dxa"/>
            <w:tcBorders>
              <w:left w:val="nil"/>
              <w:right w:val="nil"/>
            </w:tcBorders>
            <w:vAlign w:val="center"/>
          </w:tcPr>
          <w:p w14:paraId="5B747433" w14:textId="77777777" w:rsidR="00187C07" w:rsidRPr="006C231B" w:rsidRDefault="00187C07" w:rsidP="00187C07">
            <w:pPr>
              <w:jc w:val="center"/>
              <w:rPr>
                <w:sz w:val="16"/>
                <w:szCs w:val="16"/>
              </w:rPr>
            </w:pPr>
            <w:r w:rsidRPr="006C231B">
              <w:rPr>
                <w:sz w:val="16"/>
                <w:szCs w:val="16"/>
              </w:rPr>
              <w:t>1,4</w:t>
            </w:r>
          </w:p>
        </w:tc>
        <w:tc>
          <w:tcPr>
            <w:tcW w:w="737" w:type="dxa"/>
            <w:tcBorders>
              <w:left w:val="nil"/>
              <w:right w:val="nil"/>
            </w:tcBorders>
            <w:vAlign w:val="center"/>
          </w:tcPr>
          <w:p w14:paraId="1D9AA178" w14:textId="77777777" w:rsidR="00187C07" w:rsidRPr="006C231B" w:rsidRDefault="00187C07" w:rsidP="00187C07">
            <w:pPr>
              <w:jc w:val="center"/>
              <w:rPr>
                <w:sz w:val="16"/>
                <w:szCs w:val="16"/>
              </w:rPr>
            </w:pPr>
            <w:r w:rsidRPr="006C231B">
              <w:rPr>
                <w:sz w:val="16"/>
                <w:szCs w:val="16"/>
              </w:rPr>
              <w:t>-3,2</w:t>
            </w:r>
          </w:p>
        </w:tc>
        <w:tc>
          <w:tcPr>
            <w:tcW w:w="737" w:type="dxa"/>
            <w:tcBorders>
              <w:left w:val="nil"/>
            </w:tcBorders>
            <w:vAlign w:val="center"/>
          </w:tcPr>
          <w:p w14:paraId="5031435F" w14:textId="77777777" w:rsidR="00187C07" w:rsidRPr="00DC6163" w:rsidRDefault="00187C07" w:rsidP="00187C07">
            <w:pPr>
              <w:jc w:val="center"/>
              <w:rPr>
                <w:sz w:val="16"/>
                <w:szCs w:val="16"/>
              </w:rPr>
            </w:pPr>
            <w:r w:rsidRPr="00DC6163">
              <w:rPr>
                <w:sz w:val="16"/>
                <w:szCs w:val="16"/>
              </w:rPr>
              <w:t>1,5</w:t>
            </w:r>
          </w:p>
        </w:tc>
      </w:tr>
      <w:tr w:rsidR="00187C07" w:rsidRPr="006C231B" w14:paraId="380425C8" w14:textId="77777777" w:rsidTr="00187C07">
        <w:tc>
          <w:tcPr>
            <w:tcW w:w="1984" w:type="dxa"/>
            <w:tcBorders>
              <w:right w:val="nil"/>
            </w:tcBorders>
          </w:tcPr>
          <w:p w14:paraId="4CF21501" w14:textId="77777777" w:rsidR="00187C07" w:rsidRPr="006C231B" w:rsidRDefault="00187C07" w:rsidP="00187C07">
            <w:pPr>
              <w:jc w:val="left"/>
              <w:rPr>
                <w:sz w:val="16"/>
                <w:szCs w:val="16"/>
              </w:rPr>
            </w:pPr>
            <w:r w:rsidRPr="006C231B">
              <w:rPr>
                <w:sz w:val="16"/>
                <w:szCs w:val="16"/>
              </w:rPr>
              <w:t>4C. Grunty trawiaste</w:t>
            </w:r>
          </w:p>
        </w:tc>
        <w:tc>
          <w:tcPr>
            <w:tcW w:w="737" w:type="dxa"/>
            <w:tcBorders>
              <w:left w:val="nil"/>
              <w:right w:val="nil"/>
            </w:tcBorders>
            <w:vAlign w:val="center"/>
          </w:tcPr>
          <w:p w14:paraId="7E1C9702" w14:textId="77777777" w:rsidR="00187C07" w:rsidRPr="006C231B" w:rsidRDefault="00187C07" w:rsidP="00187C07">
            <w:pPr>
              <w:jc w:val="center"/>
              <w:rPr>
                <w:sz w:val="16"/>
                <w:szCs w:val="16"/>
              </w:rPr>
            </w:pPr>
            <w:r w:rsidRPr="006C231B">
              <w:rPr>
                <w:sz w:val="16"/>
                <w:szCs w:val="16"/>
              </w:rPr>
              <w:t>0,1</w:t>
            </w:r>
          </w:p>
        </w:tc>
        <w:tc>
          <w:tcPr>
            <w:tcW w:w="737" w:type="dxa"/>
            <w:tcBorders>
              <w:left w:val="nil"/>
              <w:right w:val="nil"/>
            </w:tcBorders>
            <w:vAlign w:val="center"/>
          </w:tcPr>
          <w:p w14:paraId="29DA2B27" w14:textId="77777777" w:rsidR="00187C07" w:rsidRPr="006C231B" w:rsidRDefault="00187C07" w:rsidP="00187C07">
            <w:pPr>
              <w:jc w:val="center"/>
              <w:rPr>
                <w:sz w:val="16"/>
                <w:szCs w:val="16"/>
              </w:rPr>
            </w:pPr>
            <w:r w:rsidRPr="006C231B">
              <w:rPr>
                <w:sz w:val="16"/>
                <w:szCs w:val="16"/>
              </w:rPr>
              <w:t>-0,2</w:t>
            </w:r>
          </w:p>
        </w:tc>
        <w:tc>
          <w:tcPr>
            <w:tcW w:w="737" w:type="dxa"/>
            <w:tcBorders>
              <w:left w:val="nil"/>
            </w:tcBorders>
            <w:vAlign w:val="center"/>
          </w:tcPr>
          <w:p w14:paraId="31B641B9" w14:textId="77777777" w:rsidR="00187C07" w:rsidRPr="00DC6163" w:rsidRDefault="00187C07" w:rsidP="00187C07">
            <w:pPr>
              <w:jc w:val="center"/>
              <w:rPr>
                <w:sz w:val="16"/>
                <w:szCs w:val="16"/>
              </w:rPr>
            </w:pPr>
            <w:r w:rsidRPr="00DC6163">
              <w:rPr>
                <w:sz w:val="16"/>
                <w:szCs w:val="16"/>
              </w:rPr>
              <w:t>-0,5</w:t>
            </w:r>
          </w:p>
        </w:tc>
      </w:tr>
      <w:tr w:rsidR="00187C07" w:rsidRPr="006C231B" w14:paraId="41F651CD" w14:textId="77777777" w:rsidTr="00187C07">
        <w:tc>
          <w:tcPr>
            <w:tcW w:w="1984" w:type="dxa"/>
            <w:tcBorders>
              <w:right w:val="nil"/>
            </w:tcBorders>
          </w:tcPr>
          <w:p w14:paraId="122A3FC1" w14:textId="77777777" w:rsidR="00187C07" w:rsidRPr="006C231B" w:rsidRDefault="00187C07" w:rsidP="00187C07">
            <w:pPr>
              <w:jc w:val="left"/>
              <w:rPr>
                <w:sz w:val="16"/>
                <w:szCs w:val="16"/>
              </w:rPr>
            </w:pPr>
            <w:r w:rsidRPr="006C231B">
              <w:rPr>
                <w:sz w:val="16"/>
                <w:szCs w:val="16"/>
              </w:rPr>
              <w:t>4D. Grunty podmokłe</w:t>
            </w:r>
          </w:p>
        </w:tc>
        <w:tc>
          <w:tcPr>
            <w:tcW w:w="737" w:type="dxa"/>
            <w:tcBorders>
              <w:left w:val="nil"/>
              <w:right w:val="nil"/>
            </w:tcBorders>
            <w:vAlign w:val="center"/>
          </w:tcPr>
          <w:p w14:paraId="79DC7746" w14:textId="77777777" w:rsidR="00187C07" w:rsidRPr="006C231B" w:rsidRDefault="00187C07" w:rsidP="00187C07">
            <w:pPr>
              <w:jc w:val="center"/>
              <w:rPr>
                <w:sz w:val="16"/>
                <w:szCs w:val="16"/>
              </w:rPr>
            </w:pPr>
            <w:r w:rsidRPr="006C231B">
              <w:rPr>
                <w:sz w:val="16"/>
                <w:szCs w:val="16"/>
              </w:rPr>
              <w:t>0,7</w:t>
            </w:r>
          </w:p>
        </w:tc>
        <w:tc>
          <w:tcPr>
            <w:tcW w:w="737" w:type="dxa"/>
            <w:tcBorders>
              <w:left w:val="nil"/>
              <w:right w:val="nil"/>
            </w:tcBorders>
            <w:vAlign w:val="center"/>
          </w:tcPr>
          <w:p w14:paraId="19D8A00F" w14:textId="77777777" w:rsidR="00187C07" w:rsidRPr="006C231B" w:rsidRDefault="00187C07" w:rsidP="00187C07">
            <w:pPr>
              <w:jc w:val="center"/>
              <w:rPr>
                <w:sz w:val="16"/>
                <w:szCs w:val="16"/>
              </w:rPr>
            </w:pPr>
            <w:r w:rsidRPr="006C231B">
              <w:rPr>
                <w:sz w:val="16"/>
                <w:szCs w:val="16"/>
              </w:rPr>
              <w:t>1,2</w:t>
            </w:r>
          </w:p>
        </w:tc>
        <w:tc>
          <w:tcPr>
            <w:tcW w:w="737" w:type="dxa"/>
            <w:tcBorders>
              <w:left w:val="nil"/>
            </w:tcBorders>
            <w:vAlign w:val="center"/>
          </w:tcPr>
          <w:p w14:paraId="26811B05" w14:textId="77777777" w:rsidR="00187C07" w:rsidRPr="00DC6163" w:rsidRDefault="00187C07" w:rsidP="00187C07">
            <w:pPr>
              <w:jc w:val="center"/>
              <w:rPr>
                <w:sz w:val="16"/>
                <w:szCs w:val="16"/>
              </w:rPr>
            </w:pPr>
            <w:r w:rsidRPr="00DC6163">
              <w:rPr>
                <w:sz w:val="16"/>
                <w:szCs w:val="16"/>
              </w:rPr>
              <w:t>1,4</w:t>
            </w:r>
          </w:p>
        </w:tc>
      </w:tr>
      <w:tr w:rsidR="00187C07" w:rsidRPr="006C231B" w14:paraId="6BB08212" w14:textId="77777777" w:rsidTr="00187C07">
        <w:tc>
          <w:tcPr>
            <w:tcW w:w="1984" w:type="dxa"/>
            <w:tcBorders>
              <w:right w:val="nil"/>
            </w:tcBorders>
          </w:tcPr>
          <w:p w14:paraId="21AD0E26" w14:textId="77777777" w:rsidR="00187C07" w:rsidRPr="006C231B" w:rsidRDefault="00187C07" w:rsidP="00187C07">
            <w:pPr>
              <w:jc w:val="left"/>
              <w:rPr>
                <w:sz w:val="16"/>
                <w:szCs w:val="16"/>
              </w:rPr>
            </w:pPr>
            <w:r w:rsidRPr="006C231B">
              <w:rPr>
                <w:sz w:val="16"/>
                <w:szCs w:val="16"/>
              </w:rPr>
              <w:t>4E. Grunty zabudowane</w:t>
            </w:r>
          </w:p>
        </w:tc>
        <w:tc>
          <w:tcPr>
            <w:tcW w:w="737" w:type="dxa"/>
            <w:tcBorders>
              <w:left w:val="nil"/>
              <w:right w:val="nil"/>
            </w:tcBorders>
            <w:vAlign w:val="center"/>
          </w:tcPr>
          <w:p w14:paraId="07049822" w14:textId="77777777" w:rsidR="00187C07" w:rsidRPr="006C231B" w:rsidRDefault="00187C07" w:rsidP="00187C07">
            <w:pPr>
              <w:jc w:val="center"/>
              <w:rPr>
                <w:sz w:val="16"/>
                <w:szCs w:val="16"/>
              </w:rPr>
            </w:pPr>
            <w:r w:rsidRPr="006C231B">
              <w:rPr>
                <w:sz w:val="16"/>
                <w:szCs w:val="16"/>
              </w:rPr>
              <w:t>3,3</w:t>
            </w:r>
          </w:p>
        </w:tc>
        <w:tc>
          <w:tcPr>
            <w:tcW w:w="737" w:type="dxa"/>
            <w:tcBorders>
              <w:left w:val="nil"/>
              <w:right w:val="nil"/>
            </w:tcBorders>
            <w:vAlign w:val="center"/>
          </w:tcPr>
          <w:p w14:paraId="564CF909" w14:textId="77777777" w:rsidR="00187C07" w:rsidRPr="006C231B" w:rsidRDefault="00187C07" w:rsidP="00187C07">
            <w:pPr>
              <w:jc w:val="center"/>
              <w:rPr>
                <w:sz w:val="16"/>
                <w:szCs w:val="16"/>
              </w:rPr>
            </w:pPr>
            <w:r w:rsidRPr="006C231B">
              <w:rPr>
                <w:sz w:val="16"/>
                <w:szCs w:val="16"/>
              </w:rPr>
              <w:t>4,9</w:t>
            </w:r>
          </w:p>
        </w:tc>
        <w:tc>
          <w:tcPr>
            <w:tcW w:w="737" w:type="dxa"/>
            <w:tcBorders>
              <w:left w:val="nil"/>
            </w:tcBorders>
            <w:vAlign w:val="center"/>
          </w:tcPr>
          <w:p w14:paraId="61FAC04F" w14:textId="77777777" w:rsidR="00187C07" w:rsidRPr="00DC6163" w:rsidRDefault="00187C07" w:rsidP="00187C07">
            <w:pPr>
              <w:jc w:val="center"/>
              <w:rPr>
                <w:sz w:val="16"/>
                <w:szCs w:val="16"/>
              </w:rPr>
            </w:pPr>
            <w:r w:rsidRPr="00DC6163">
              <w:rPr>
                <w:sz w:val="16"/>
                <w:szCs w:val="16"/>
              </w:rPr>
              <w:t>4,0</w:t>
            </w:r>
          </w:p>
        </w:tc>
      </w:tr>
      <w:tr w:rsidR="00187C07" w:rsidRPr="006C231B" w14:paraId="45E50EC3" w14:textId="77777777" w:rsidTr="00187C07">
        <w:tc>
          <w:tcPr>
            <w:tcW w:w="1984" w:type="dxa"/>
            <w:tcBorders>
              <w:bottom w:val="single" w:sz="4" w:space="0" w:color="auto"/>
              <w:right w:val="nil"/>
            </w:tcBorders>
          </w:tcPr>
          <w:p w14:paraId="6D7AD18A" w14:textId="77777777" w:rsidR="00187C07" w:rsidRPr="006C231B" w:rsidRDefault="00187C07" w:rsidP="00187C07">
            <w:pPr>
              <w:jc w:val="left"/>
              <w:rPr>
                <w:sz w:val="16"/>
                <w:szCs w:val="16"/>
              </w:rPr>
            </w:pPr>
            <w:r w:rsidRPr="006C231B">
              <w:rPr>
                <w:sz w:val="16"/>
                <w:szCs w:val="16"/>
              </w:rPr>
              <w:t>4G. Produkty z pozyskanego drewna</w:t>
            </w:r>
          </w:p>
        </w:tc>
        <w:tc>
          <w:tcPr>
            <w:tcW w:w="737" w:type="dxa"/>
            <w:tcBorders>
              <w:left w:val="nil"/>
              <w:bottom w:val="single" w:sz="4" w:space="0" w:color="auto"/>
              <w:right w:val="nil"/>
            </w:tcBorders>
            <w:vAlign w:val="center"/>
          </w:tcPr>
          <w:p w14:paraId="1BC595A5" w14:textId="77777777" w:rsidR="00187C07" w:rsidRPr="006C231B" w:rsidRDefault="00187C07" w:rsidP="00187C07">
            <w:pPr>
              <w:jc w:val="center"/>
              <w:rPr>
                <w:sz w:val="16"/>
                <w:szCs w:val="16"/>
              </w:rPr>
            </w:pPr>
            <w:r w:rsidRPr="006C231B">
              <w:rPr>
                <w:sz w:val="16"/>
                <w:szCs w:val="16"/>
              </w:rPr>
              <w:t>-0,5</w:t>
            </w:r>
          </w:p>
        </w:tc>
        <w:tc>
          <w:tcPr>
            <w:tcW w:w="737" w:type="dxa"/>
            <w:tcBorders>
              <w:left w:val="nil"/>
              <w:bottom w:val="single" w:sz="4" w:space="0" w:color="auto"/>
              <w:right w:val="nil"/>
            </w:tcBorders>
            <w:vAlign w:val="center"/>
          </w:tcPr>
          <w:p w14:paraId="060A8DD2" w14:textId="77777777" w:rsidR="00187C07" w:rsidRPr="006C231B" w:rsidRDefault="00187C07" w:rsidP="00187C07">
            <w:pPr>
              <w:jc w:val="center"/>
              <w:rPr>
                <w:sz w:val="16"/>
                <w:szCs w:val="16"/>
              </w:rPr>
            </w:pPr>
            <w:r w:rsidRPr="006C231B">
              <w:rPr>
                <w:sz w:val="16"/>
                <w:szCs w:val="16"/>
              </w:rPr>
              <w:t>-4,7</w:t>
            </w:r>
          </w:p>
        </w:tc>
        <w:tc>
          <w:tcPr>
            <w:tcW w:w="737" w:type="dxa"/>
            <w:tcBorders>
              <w:left w:val="nil"/>
              <w:bottom w:val="single" w:sz="4" w:space="0" w:color="auto"/>
            </w:tcBorders>
            <w:vAlign w:val="center"/>
          </w:tcPr>
          <w:p w14:paraId="5DEF7193" w14:textId="77777777" w:rsidR="00187C07" w:rsidRPr="00DC6163" w:rsidRDefault="00187C07" w:rsidP="00187C07">
            <w:pPr>
              <w:jc w:val="center"/>
              <w:rPr>
                <w:sz w:val="16"/>
                <w:szCs w:val="16"/>
              </w:rPr>
            </w:pPr>
            <w:r w:rsidRPr="00DC6163">
              <w:rPr>
                <w:sz w:val="16"/>
                <w:szCs w:val="16"/>
              </w:rPr>
              <w:t>-2,6</w:t>
            </w:r>
          </w:p>
        </w:tc>
      </w:tr>
    </w:tbl>
    <w:p w14:paraId="28B26073" w14:textId="1F0F03CE" w:rsidR="00EE4AF9" w:rsidRDefault="00E769EB" w:rsidP="00854200">
      <w:r w:rsidRPr="00D52113">
        <w:rPr>
          <w:b/>
          <w:bCs/>
        </w:rPr>
        <w:t xml:space="preserve"> </w:t>
      </w:r>
      <w:r w:rsidR="00D52113" w:rsidRPr="00D52113">
        <w:rPr>
          <w:b/>
          <w:bCs/>
        </w:rPr>
        <w:t xml:space="preserve">Z tego względu sektor LULUCF jest podatny na </w:t>
      </w:r>
      <w:r w:rsidR="00800282">
        <w:rPr>
          <w:b/>
          <w:bCs/>
        </w:rPr>
        <w:t xml:space="preserve">bardzo </w:t>
      </w:r>
      <w:r w:rsidR="00D52113" w:rsidRPr="00D52113">
        <w:rPr>
          <w:b/>
          <w:bCs/>
        </w:rPr>
        <w:t xml:space="preserve">dużą fluktuację w sekwestracji </w:t>
      </w:r>
      <w:r w:rsidR="00800282">
        <w:rPr>
          <w:b/>
          <w:bCs/>
        </w:rPr>
        <w:t>gazów cieplarnianych</w:t>
      </w:r>
      <w:r w:rsidR="00D52113" w:rsidRPr="00D52113">
        <w:rPr>
          <w:b/>
          <w:bCs/>
        </w:rPr>
        <w:t xml:space="preserve">, co przekłada się na </w:t>
      </w:r>
      <w:r w:rsidR="00950278">
        <w:rPr>
          <w:b/>
          <w:bCs/>
        </w:rPr>
        <w:t xml:space="preserve">brak możliwości zapewniania wysokiej </w:t>
      </w:r>
      <w:r w:rsidR="00D52113" w:rsidRPr="00D52113">
        <w:rPr>
          <w:b/>
          <w:bCs/>
        </w:rPr>
        <w:t>dokładnoś</w:t>
      </w:r>
      <w:r w:rsidR="00950278">
        <w:rPr>
          <w:b/>
          <w:bCs/>
        </w:rPr>
        <w:t>ci</w:t>
      </w:r>
      <w:r w:rsidR="00D52113" w:rsidRPr="00D52113">
        <w:rPr>
          <w:b/>
          <w:bCs/>
        </w:rPr>
        <w:t xml:space="preserve"> prognoz</w:t>
      </w:r>
      <w:r w:rsidR="00D52113">
        <w:rPr>
          <w:rStyle w:val="Odwoanieprzypisudolnego"/>
        </w:rPr>
        <w:t xml:space="preserve"> </w:t>
      </w:r>
      <w:r w:rsidR="00135E47">
        <w:rPr>
          <w:rStyle w:val="Odwoanieprzypisudolnego"/>
        </w:rPr>
        <w:footnoteReference w:id="46"/>
      </w:r>
      <w:r w:rsidR="00D162CA">
        <w:t>.</w:t>
      </w:r>
    </w:p>
    <w:p w14:paraId="1F54CF9B" w14:textId="77777777" w:rsidR="00E769EB" w:rsidRPr="00E769EB" w:rsidRDefault="00E769EB" w:rsidP="00E769EB">
      <w:pPr>
        <w:pStyle w:val="Bezodstpw"/>
        <w:rPr>
          <w:sz w:val="10"/>
          <w:szCs w:val="10"/>
        </w:rPr>
      </w:pPr>
    </w:p>
    <w:p w14:paraId="423ED0EF" w14:textId="57BB7DE6" w:rsidR="00080BA7" w:rsidRDefault="00800282" w:rsidP="00320A0A">
      <w:pPr>
        <w:pStyle w:val="Cele"/>
        <w:spacing w:after="80"/>
      </w:pPr>
      <w:bookmarkStart w:id="87" w:name="_Hlk159554652"/>
      <w:r>
        <w:rPr>
          <w:b/>
          <w:bCs/>
        </w:rPr>
        <w:t>S</w:t>
      </w:r>
      <w:r w:rsidR="00667C60" w:rsidRPr="00E944AF">
        <w:rPr>
          <w:b/>
          <w:bCs/>
        </w:rPr>
        <w:t xml:space="preserve">zacunki wskazują, że pochłanianie gazów cieplarnianych </w:t>
      </w:r>
      <w:r w:rsidR="00135E47">
        <w:rPr>
          <w:b/>
          <w:bCs/>
        </w:rPr>
        <w:t>przez sektor LUL</w:t>
      </w:r>
      <w:r w:rsidR="00DC5739">
        <w:rPr>
          <w:b/>
          <w:bCs/>
        </w:rPr>
        <w:t>U</w:t>
      </w:r>
      <w:r w:rsidR="00135E47">
        <w:rPr>
          <w:b/>
          <w:bCs/>
        </w:rPr>
        <w:t xml:space="preserve">CF </w:t>
      </w:r>
      <w:r w:rsidR="00667C60" w:rsidRPr="00E944AF">
        <w:rPr>
          <w:b/>
          <w:bCs/>
        </w:rPr>
        <w:t>w</w:t>
      </w:r>
      <w:r w:rsidR="0043177F">
        <w:rPr>
          <w:b/>
          <w:bCs/>
        </w:rPr>
        <w:t> </w:t>
      </w:r>
      <w:r w:rsidR="00667C60" w:rsidRPr="00E944AF">
        <w:rPr>
          <w:b/>
          <w:bCs/>
        </w:rPr>
        <w:t>2030</w:t>
      </w:r>
      <w:r w:rsidR="0043177F">
        <w:rPr>
          <w:b/>
          <w:bCs/>
        </w:rPr>
        <w:t> </w:t>
      </w:r>
      <w:r w:rsidR="00667C60" w:rsidRPr="00E944AF">
        <w:rPr>
          <w:b/>
          <w:bCs/>
        </w:rPr>
        <w:t>r</w:t>
      </w:r>
      <w:r w:rsidR="00667C60">
        <w:rPr>
          <w:b/>
          <w:bCs/>
        </w:rPr>
        <w:t>.</w:t>
      </w:r>
      <w:r w:rsidR="00667C60" w:rsidRPr="00E944AF">
        <w:rPr>
          <w:b/>
          <w:bCs/>
        </w:rPr>
        <w:t xml:space="preserve"> może wynieść</w:t>
      </w:r>
      <w:r w:rsidR="00667C60">
        <w:rPr>
          <w:b/>
          <w:bCs/>
        </w:rPr>
        <w:t xml:space="preserve"> </w:t>
      </w:r>
      <w:r w:rsidR="0043177F">
        <w:rPr>
          <w:b/>
          <w:bCs/>
        </w:rPr>
        <w:t>nawet 4</w:t>
      </w:r>
      <w:r w:rsidR="00DC6163">
        <w:rPr>
          <w:b/>
          <w:bCs/>
        </w:rPr>
        <w:t>2,1</w:t>
      </w:r>
      <w:r w:rsidR="00667C60">
        <w:rPr>
          <w:b/>
          <w:bCs/>
        </w:rPr>
        <w:t> mln </w:t>
      </w:r>
      <w:r w:rsidR="00667C60" w:rsidRPr="00E944AF">
        <w:rPr>
          <w:b/>
          <w:bCs/>
        </w:rPr>
        <w:t>t</w:t>
      </w:r>
      <w:r w:rsidR="00667C60">
        <w:rPr>
          <w:b/>
          <w:bCs/>
        </w:rPr>
        <w:t> </w:t>
      </w:r>
      <w:r w:rsidR="00667C60" w:rsidRPr="00E944AF">
        <w:rPr>
          <w:b/>
          <w:bCs/>
        </w:rPr>
        <w:t>ekw. CO</w:t>
      </w:r>
      <w:r w:rsidR="00667C60" w:rsidRPr="00E944AF">
        <w:rPr>
          <w:b/>
          <w:bCs/>
          <w:vertAlign w:val="subscript"/>
        </w:rPr>
        <w:t>2</w:t>
      </w:r>
      <w:r w:rsidR="00667C60" w:rsidRPr="00667C60">
        <w:t>.</w:t>
      </w:r>
      <w:r w:rsidR="0043177F">
        <w:t xml:space="preserve"> </w:t>
      </w:r>
      <w:r w:rsidR="005058E1">
        <w:t xml:space="preserve">i ok. </w:t>
      </w:r>
      <w:r w:rsidR="00320A0A">
        <w:t>30 mln t ekw. CO</w:t>
      </w:r>
      <w:r w:rsidR="00320A0A" w:rsidRPr="00320A0A">
        <w:rPr>
          <w:vertAlign w:val="subscript"/>
        </w:rPr>
        <w:t>2</w:t>
      </w:r>
      <w:r w:rsidR="00320A0A">
        <w:t xml:space="preserve"> w 2040 r. </w:t>
      </w:r>
      <w:r w:rsidR="00D52113">
        <w:rPr>
          <w:rStyle w:val="Odwoanieprzypisudolnego"/>
        </w:rPr>
        <w:footnoteReference w:id="47"/>
      </w:r>
      <w:bookmarkEnd w:id="87"/>
    </w:p>
    <w:p w14:paraId="7EE2417A" w14:textId="6E3041B7" w:rsidR="00080BA7" w:rsidRDefault="00080BA7" w:rsidP="00080BA7">
      <w:pPr>
        <w:spacing w:before="240" w:after="80"/>
        <w:rPr>
          <w:rFonts w:ascii="Bahnschrift" w:hAnsi="Bahnschrift"/>
        </w:rPr>
      </w:pPr>
      <w:r w:rsidRPr="00C46DAA">
        <w:rPr>
          <w:rFonts w:ascii="Bahnschrift" w:hAnsi="Bahnschrift"/>
          <w:b/>
          <w:bCs/>
          <w:sz w:val="32"/>
          <w:szCs w:val="32"/>
        </w:rPr>
        <w:t>POLITYKA</w:t>
      </w:r>
    </w:p>
    <w:p w14:paraId="71F60151" w14:textId="77777777" w:rsidR="008D41B7" w:rsidRPr="004C2D99" w:rsidRDefault="00624987" w:rsidP="00624987">
      <w:pPr>
        <w:spacing w:before="240"/>
        <w:rPr>
          <w:b/>
          <w:bCs/>
        </w:rPr>
      </w:pPr>
      <w:r w:rsidRPr="004C2D99">
        <w:rPr>
          <w:b/>
          <w:bCs/>
        </w:rPr>
        <w:t>Pochłanianie emisji przez leśnictwo</w:t>
      </w:r>
    </w:p>
    <w:p w14:paraId="3997E206" w14:textId="1B375BB9" w:rsidR="00801D64" w:rsidRDefault="00E13158" w:rsidP="00080BA7">
      <w:r w:rsidRPr="00E944AF">
        <w:t xml:space="preserve">Do realizacji celów </w:t>
      </w:r>
      <w:r>
        <w:t xml:space="preserve">związanych z pochłanianiem i ograniczaniem </w:t>
      </w:r>
      <w:r w:rsidRPr="00E944AF">
        <w:t xml:space="preserve">emisji w sektorze LULUCF </w:t>
      </w:r>
      <w:r>
        <w:t>będ</w:t>
      </w:r>
      <w:r w:rsidR="00BD5E6E">
        <w:t>ą</w:t>
      </w:r>
      <w:r>
        <w:t xml:space="preserve"> </w:t>
      </w:r>
      <w:r w:rsidRPr="00E944AF">
        <w:t xml:space="preserve">przyczyniać się </w:t>
      </w:r>
      <w:r w:rsidR="00BD5E6E">
        <w:t xml:space="preserve">przede wszystkim działania w obszarze </w:t>
      </w:r>
      <w:r w:rsidRPr="00380E2E">
        <w:rPr>
          <w:b/>
          <w:bCs/>
        </w:rPr>
        <w:t>zalesieni</w:t>
      </w:r>
      <w:r w:rsidR="00BD5E6E">
        <w:rPr>
          <w:b/>
          <w:bCs/>
        </w:rPr>
        <w:t>a</w:t>
      </w:r>
      <w:r w:rsidRPr="00380E2E">
        <w:rPr>
          <w:b/>
          <w:bCs/>
        </w:rPr>
        <w:t xml:space="preserve"> gruntów</w:t>
      </w:r>
      <w:r w:rsidR="00DC5739" w:rsidRPr="00DC5739">
        <w:t xml:space="preserve">, przy czym w </w:t>
      </w:r>
      <w:r w:rsidR="00DC5739">
        <w:t>perspektywie 2050 r. planuje się zwiększenie lesistości kraju do 33% (29</w:t>
      </w:r>
      <w:r w:rsidR="000E6C24">
        <w:t>,7</w:t>
      </w:r>
      <w:r w:rsidR="00DC5739">
        <w:t>% w 202</w:t>
      </w:r>
      <w:r w:rsidR="000E6C24">
        <w:t>2</w:t>
      </w:r>
      <w:r w:rsidR="00DC5739">
        <w:t xml:space="preserve"> r.</w:t>
      </w:r>
      <w:r w:rsidR="000E6C24">
        <w:rPr>
          <w:rStyle w:val="Odwoanieprzypisudolnego"/>
        </w:rPr>
        <w:footnoteReference w:id="48"/>
      </w:r>
      <w:r w:rsidR="00DC5739">
        <w:t>).</w:t>
      </w:r>
      <w:r w:rsidR="00DC5739">
        <w:rPr>
          <w:b/>
          <w:bCs/>
        </w:rPr>
        <w:t>Działania będą nastawione na</w:t>
      </w:r>
      <w:r w:rsidRPr="00380E2E">
        <w:rPr>
          <w:b/>
          <w:bCs/>
        </w:rPr>
        <w:t xml:space="preserve"> rozproszenie ryzyka w hodowli lasu</w:t>
      </w:r>
      <w:r w:rsidRPr="00E944AF">
        <w:t xml:space="preserve"> na możliwie dużą liczbę gatunków drzew dostosowanych do warunków siedliskowych</w:t>
      </w:r>
      <w:r>
        <w:t xml:space="preserve"> –</w:t>
      </w:r>
      <w:r w:rsidRPr="00E944AF">
        <w:t xml:space="preserve"> co pozwoli na zminimalizowanie ryzyka zamierania drzewostanów</w:t>
      </w:r>
      <w:r w:rsidR="00801D64">
        <w:t xml:space="preserve">. </w:t>
      </w:r>
      <w:r w:rsidRPr="00E944AF">
        <w:t xml:space="preserve">Drzewostany zubożone gatunkowo i uproszczone strukturalnie będą przebudowywane w kierunku bardziej różnorodnych. </w:t>
      </w:r>
      <w:r w:rsidR="009D7B3C">
        <w:t>Wpłynie to również na zapewnienie</w:t>
      </w:r>
      <w:r w:rsidR="009D7B3C" w:rsidRPr="00E944AF">
        <w:t xml:space="preserve"> właściwej </w:t>
      </w:r>
      <w:r w:rsidR="009D7B3C">
        <w:t>– czyli zróżnicowanej –</w:t>
      </w:r>
      <w:r w:rsidR="009D7B3C" w:rsidRPr="00E944AF">
        <w:t>struktury wiekowej</w:t>
      </w:r>
      <w:r w:rsidR="009D7B3C">
        <w:t xml:space="preserve"> drzewostanów</w:t>
      </w:r>
      <w:r w:rsidR="009D7B3C" w:rsidRPr="00E944AF">
        <w:t>.</w:t>
      </w:r>
    </w:p>
    <w:p w14:paraId="2BD4735E" w14:textId="4D8B6909" w:rsidR="000E6C24" w:rsidRDefault="00E13158" w:rsidP="000E6C24">
      <w:r w:rsidRPr="00380E2E">
        <w:rPr>
          <w:b/>
          <w:bCs/>
        </w:rPr>
        <w:t>Naturalne odnowienie lasu</w:t>
      </w:r>
      <w:r w:rsidRPr="00E944AF">
        <w:t xml:space="preserve"> będzie inicjowane wszędzie tam, gdzie jest to możliwe i uzasadnione, z</w:t>
      </w:r>
      <w:r w:rsidR="00801D64">
        <w:t> </w:t>
      </w:r>
      <w:r w:rsidRPr="00E944AF">
        <w:t xml:space="preserve">wykorzystaniem już istniejących odnowień naturalnych, a na terenach trudnych do odnowienia będzie wykorzystywana również </w:t>
      </w:r>
      <w:r w:rsidRPr="00380E2E">
        <w:rPr>
          <w:b/>
          <w:bCs/>
        </w:rPr>
        <w:t>sukcesja naturalna</w:t>
      </w:r>
      <w:r w:rsidRPr="00E944AF">
        <w:t xml:space="preserve">. </w:t>
      </w:r>
      <w:r w:rsidR="00074315">
        <w:t xml:space="preserve">Przyspieszy to proces </w:t>
      </w:r>
      <w:r w:rsidR="00074315" w:rsidRPr="00074315">
        <w:rPr>
          <w:b/>
          <w:bCs/>
        </w:rPr>
        <w:t>odbudowy trwałych lasów</w:t>
      </w:r>
      <w:r w:rsidR="00074315">
        <w:t xml:space="preserve"> i</w:t>
      </w:r>
      <w:r w:rsidR="00C20789">
        <w:t> </w:t>
      </w:r>
      <w:r w:rsidR="00074315">
        <w:t xml:space="preserve">przyczyni się do wiązania węgla w biomasie. </w:t>
      </w:r>
      <w:r w:rsidRPr="00E944AF">
        <w:t>Planuje się także wykorzystywanie jak najmniej inwazyjnych sposobów przygotowania gleby pod odnowienie lasu, a</w:t>
      </w:r>
      <w:r w:rsidR="00380E2E">
        <w:t xml:space="preserve"> </w:t>
      </w:r>
      <w:r w:rsidRPr="00E944AF">
        <w:t>w</w:t>
      </w:r>
      <w:r w:rsidR="00380E2E">
        <w:t xml:space="preserve"> </w:t>
      </w:r>
      <w:r w:rsidRPr="00E944AF">
        <w:t xml:space="preserve">sprzyjających warunkach odnowienie lasu bez przygotowania gleby, w celu ograniczenia emisji z tym związanych. </w:t>
      </w:r>
      <w:r w:rsidR="000E6C24" w:rsidRPr="009F0481">
        <w:t xml:space="preserve">W tym kontekście ważnym jest również projekt pn. </w:t>
      </w:r>
      <w:r w:rsidR="000E6C24" w:rsidRPr="00402BA3">
        <w:rPr>
          <w:b/>
          <w:bCs/>
        </w:rPr>
        <w:t>Lasy węglowe</w:t>
      </w:r>
      <w:r w:rsidR="000E6C24" w:rsidRPr="009F0481">
        <w:t xml:space="preserve">, który </w:t>
      </w:r>
      <w:r w:rsidR="000E6C24">
        <w:t xml:space="preserve">m.in. </w:t>
      </w:r>
      <w:r w:rsidR="000E6C24" w:rsidRPr="009F0481">
        <w:t>poprzez wprowadzanie nowego pokolenia pod osłoną starych drzew wpłynie na zwiększenie naturalnej zdolności pochłaniana CO</w:t>
      </w:r>
      <w:r w:rsidR="000E6C24" w:rsidRPr="009F0481">
        <w:rPr>
          <w:vertAlign w:val="subscript"/>
        </w:rPr>
        <w:t>2</w:t>
      </w:r>
      <w:r w:rsidR="000E6C24" w:rsidRPr="009F0481">
        <w:t>.</w:t>
      </w:r>
    </w:p>
    <w:p w14:paraId="5D203C43" w14:textId="1520170E" w:rsidR="00590F25" w:rsidRDefault="00E13158" w:rsidP="00080BA7">
      <w:r w:rsidRPr="00E944AF">
        <w:t xml:space="preserve">Gospodarka leśna będzie wspierać procesy naturalne, które sprzyjają </w:t>
      </w:r>
      <w:r w:rsidRPr="00380E2E">
        <w:rPr>
          <w:b/>
          <w:bCs/>
        </w:rPr>
        <w:t>zwiększaniu różnorodności biologicznej w lasach</w:t>
      </w:r>
      <w:r w:rsidRPr="00E944AF">
        <w:t>, a</w:t>
      </w:r>
      <w:r>
        <w:t> </w:t>
      </w:r>
      <w:r w:rsidRPr="00E944AF">
        <w:t>określony typ drzewostanu będzie miał charakter dynamiczny – zmienny w czasie</w:t>
      </w:r>
      <w:r w:rsidR="00074315">
        <w:t>. P</w:t>
      </w:r>
      <w:r w:rsidRPr="00E944AF">
        <w:t xml:space="preserve">ozwoli </w:t>
      </w:r>
      <w:r w:rsidR="00074315">
        <w:t xml:space="preserve">to </w:t>
      </w:r>
      <w:r w:rsidRPr="00E944AF">
        <w:t xml:space="preserve">na uwzględnienie cech biologicznych i wymagań ekologicznych poszczególnych gatunków drzew i </w:t>
      </w:r>
      <w:r>
        <w:t xml:space="preserve">także </w:t>
      </w:r>
      <w:r w:rsidRPr="00E944AF">
        <w:t>pozwoli na przystosowanie drzewostanów do nowych warunków</w:t>
      </w:r>
      <w:r w:rsidR="000A4ADB">
        <w:t xml:space="preserve"> klimatycznych</w:t>
      </w:r>
      <w:r w:rsidRPr="00E944AF">
        <w:t xml:space="preserve">. </w:t>
      </w:r>
      <w:r w:rsidRPr="00F12C9E">
        <w:rPr>
          <w:b/>
          <w:bCs/>
        </w:rPr>
        <w:t>Cięcia pielęgnacyjne drzewostanów</w:t>
      </w:r>
      <w:r w:rsidRPr="00E944AF">
        <w:t xml:space="preserve"> zostaną ukierunkowanie na stabilność, żywotność i trwałość lasów, na poprawę jakości produkcji oraz preferowanie gatunków i osobników drzew mających zdolności adaptacyjne do zmieniających się warunków środowiska i klimatu. </w:t>
      </w:r>
      <w:r w:rsidR="000A4ADB">
        <w:t>W</w:t>
      </w:r>
      <w:r w:rsidRPr="00E944AF">
        <w:t xml:space="preserve">ykorzystane </w:t>
      </w:r>
      <w:r w:rsidR="000A4ADB">
        <w:t xml:space="preserve">zostaną </w:t>
      </w:r>
      <w:r w:rsidRPr="00E944AF">
        <w:t xml:space="preserve">także najnowsze osiągnięcia w </w:t>
      </w:r>
      <w:r w:rsidRPr="00F12C9E">
        <w:rPr>
          <w:b/>
          <w:bCs/>
        </w:rPr>
        <w:t>selekcyjnej hodowli drzew leśnych</w:t>
      </w:r>
      <w:r w:rsidRPr="00E944AF">
        <w:t xml:space="preserve">. </w:t>
      </w:r>
      <w:r w:rsidR="00852292">
        <w:t xml:space="preserve">Wskazane </w:t>
      </w:r>
      <w:r w:rsidR="00852292" w:rsidRPr="00402BA3">
        <w:t xml:space="preserve">działania będą </w:t>
      </w:r>
      <w:r w:rsidR="0060329C" w:rsidRPr="00402BA3">
        <w:rPr>
          <w:b/>
          <w:bCs/>
        </w:rPr>
        <w:t>służyć przeciwdziałaniu zamierania lasów</w:t>
      </w:r>
      <w:r w:rsidR="00402BA3" w:rsidRPr="00402BA3">
        <w:t xml:space="preserve"> </w:t>
      </w:r>
      <w:r w:rsidR="00402BA3" w:rsidRPr="00402BA3">
        <w:rPr>
          <w:b/>
          <w:bCs/>
        </w:rPr>
        <w:t>w kontekście zmian klimatu</w:t>
      </w:r>
      <w:r w:rsidR="00402BA3" w:rsidRPr="00402BA3">
        <w:t>, a</w:t>
      </w:r>
      <w:r w:rsidR="0060329C" w:rsidRPr="00402BA3">
        <w:t xml:space="preserve"> p</w:t>
      </w:r>
      <w:r w:rsidR="00852292" w:rsidRPr="00402BA3">
        <w:t xml:space="preserve">odejmowane </w:t>
      </w:r>
      <w:r w:rsidR="0060329C" w:rsidRPr="00402BA3">
        <w:t xml:space="preserve">będą </w:t>
      </w:r>
      <w:r w:rsidR="00852292" w:rsidRPr="00402BA3">
        <w:t xml:space="preserve">na terenie </w:t>
      </w:r>
      <w:r w:rsidR="00030E13" w:rsidRPr="00402BA3">
        <w:t xml:space="preserve">Państwowego Gospodarstwa </w:t>
      </w:r>
      <w:r w:rsidR="00852292" w:rsidRPr="00402BA3">
        <w:t>Las</w:t>
      </w:r>
      <w:r w:rsidR="00030E13" w:rsidRPr="00402BA3">
        <w:t>y</w:t>
      </w:r>
      <w:r w:rsidR="00852292" w:rsidRPr="00402BA3">
        <w:t xml:space="preserve"> Państwow</w:t>
      </w:r>
      <w:r w:rsidR="00030E13" w:rsidRPr="00402BA3">
        <w:t>e (</w:t>
      </w:r>
      <w:r w:rsidR="009D7B3C">
        <w:t>PGL LP</w:t>
      </w:r>
      <w:r w:rsidR="00030E13" w:rsidRPr="00402BA3">
        <w:t>)</w:t>
      </w:r>
      <w:r w:rsidR="00852292" w:rsidRPr="00402BA3">
        <w:t xml:space="preserve"> zgodnie z </w:t>
      </w:r>
      <w:r w:rsidR="00852292" w:rsidRPr="00402BA3">
        <w:rPr>
          <w:i/>
          <w:iCs/>
        </w:rPr>
        <w:t>Instr</w:t>
      </w:r>
      <w:r w:rsidR="00852292" w:rsidRPr="00115EB7">
        <w:rPr>
          <w:i/>
          <w:iCs/>
        </w:rPr>
        <w:t xml:space="preserve">ukcją </w:t>
      </w:r>
      <w:r w:rsidR="00852292">
        <w:rPr>
          <w:i/>
          <w:iCs/>
        </w:rPr>
        <w:t>U</w:t>
      </w:r>
      <w:r w:rsidR="00852292" w:rsidRPr="00115EB7">
        <w:rPr>
          <w:i/>
          <w:iCs/>
        </w:rPr>
        <w:t xml:space="preserve">rządzania </w:t>
      </w:r>
      <w:r w:rsidR="00852292">
        <w:rPr>
          <w:i/>
          <w:iCs/>
        </w:rPr>
        <w:t>L</w:t>
      </w:r>
      <w:r w:rsidR="00852292" w:rsidRPr="00115EB7">
        <w:rPr>
          <w:i/>
          <w:iCs/>
        </w:rPr>
        <w:t>asu</w:t>
      </w:r>
      <w:r w:rsidR="00852292">
        <w:t xml:space="preserve"> oraz innymi dokumentami wewnętrznymi </w:t>
      </w:r>
      <w:r w:rsidR="009D7B3C" w:rsidRPr="00402BA3">
        <w:t xml:space="preserve">Leśnego </w:t>
      </w:r>
      <w:r w:rsidR="009D7B3C">
        <w:t>PGL LP</w:t>
      </w:r>
      <w:r w:rsidR="00852292">
        <w:t>.</w:t>
      </w:r>
    </w:p>
    <w:p w14:paraId="44A1C27A" w14:textId="63A70B36" w:rsidR="00080BA7" w:rsidRDefault="009D7B3C" w:rsidP="00080BA7">
      <w:r>
        <w:lastRenderedPageBreak/>
        <w:t>N</w:t>
      </w:r>
      <w:r w:rsidR="00590F25">
        <w:t>a terenie Las</w:t>
      </w:r>
      <w:r w:rsidR="00030E13">
        <w:t>ów</w:t>
      </w:r>
      <w:r w:rsidR="00590F25">
        <w:t xml:space="preserve"> Państwow</w:t>
      </w:r>
      <w:r w:rsidR="00030E13">
        <w:t>ych</w:t>
      </w:r>
      <w:r w:rsidR="00E13158" w:rsidRPr="00E944AF">
        <w:t xml:space="preserve"> zostaną wykorzystane kryteria paneuropejskie do planowania zrównoważonej gospodarki leśnej, które będą oznaczać konieczność zachowania i wzmacniania zasobów leśnych, utrzymanie zdrowia i witalności lasów, utrzymanie produkcyjnych funkcji lasów, zachowania różnorodności biologicznej lasów, zachowania funkcji ochronnych oraz utrzymania uwarunkowań społeczno-ekonomicznych lasów. </w:t>
      </w:r>
      <w:r w:rsidR="00A42840">
        <w:t xml:space="preserve">Dzięki tym działaniom zostanie odpowiednio </w:t>
      </w:r>
      <w:r w:rsidR="00A42840" w:rsidRPr="00A42840">
        <w:t xml:space="preserve">uwzględniony </w:t>
      </w:r>
      <w:r w:rsidR="00365B44">
        <w:t xml:space="preserve">stosunek </w:t>
      </w:r>
      <w:r w:rsidR="00A42840" w:rsidRPr="00A42840">
        <w:t>użytkowania do przyrostu</w:t>
      </w:r>
      <w:r w:rsidR="00A42840">
        <w:t xml:space="preserve">, </w:t>
      </w:r>
      <w:r w:rsidR="006568D1">
        <w:t>pozwalający</w:t>
      </w:r>
      <w:r w:rsidR="00A42840" w:rsidRPr="00A42840">
        <w:t xml:space="preserve"> na zwiększenie zasobów leśnych</w:t>
      </w:r>
      <w:r w:rsidR="00A42840">
        <w:t xml:space="preserve">. </w:t>
      </w:r>
      <w:r w:rsidR="00E13158" w:rsidRPr="00E944AF">
        <w:t>Działania zwiększające możliwości sekwestracyjne w lasach mają jednak ograniczenia wynikające z</w:t>
      </w:r>
      <w:r w:rsidR="00F12C9E">
        <w:t xml:space="preserve"> </w:t>
      </w:r>
      <w:r w:rsidR="00E13158" w:rsidRPr="00E944AF">
        <w:t>długości życia drzew</w:t>
      </w:r>
      <w:r w:rsidR="00A42840">
        <w:t xml:space="preserve">, dlatego </w:t>
      </w:r>
      <w:r w:rsidR="00A42840" w:rsidRPr="00A42840">
        <w:t>rezultaty powinny być rozpatrywane w stosunku do lasów w</w:t>
      </w:r>
      <w:r w:rsidR="00A42840">
        <w:t> </w:t>
      </w:r>
      <w:r w:rsidR="00A42840" w:rsidRPr="00A42840">
        <w:t>perspektywie znacznie wykraczającej poza 2030</w:t>
      </w:r>
      <w:r w:rsidR="00A42840">
        <w:t xml:space="preserve"> r</w:t>
      </w:r>
      <w:r w:rsidR="00E13158" w:rsidRPr="00E944AF">
        <w:t>.</w:t>
      </w:r>
    </w:p>
    <w:p w14:paraId="5323FF7A" w14:textId="343B2011" w:rsidR="006568D1" w:rsidRDefault="00A42840" w:rsidP="006568D1">
      <w:r w:rsidRPr="00A42840">
        <w:t xml:space="preserve">Planowana jest także </w:t>
      </w:r>
      <w:r w:rsidRPr="00DB57B1">
        <w:rPr>
          <w:b/>
          <w:bCs/>
        </w:rPr>
        <w:t xml:space="preserve">zmiana sposobów gospodarowania lasami </w:t>
      </w:r>
      <w:r w:rsidR="00402BA3" w:rsidRPr="00DB57B1">
        <w:rPr>
          <w:b/>
          <w:bCs/>
        </w:rPr>
        <w:t xml:space="preserve">na powierzchni ok. </w:t>
      </w:r>
      <w:r w:rsidRPr="00DB57B1">
        <w:rPr>
          <w:b/>
          <w:bCs/>
        </w:rPr>
        <w:t>20</w:t>
      </w:r>
      <w:r w:rsidR="00365B44" w:rsidRPr="00DB57B1">
        <w:rPr>
          <w:b/>
          <w:bCs/>
        </w:rPr>
        <w:t>%</w:t>
      </w:r>
      <w:r w:rsidRPr="00DB57B1">
        <w:rPr>
          <w:b/>
          <w:bCs/>
        </w:rPr>
        <w:t xml:space="preserve"> polskich drzewostanów</w:t>
      </w:r>
      <w:r w:rsidR="00402BA3">
        <w:t>, m.in. poprzez ustanowienie lasów społecznych oraz ochronę lasów cennych przyrodniczo</w:t>
      </w:r>
      <w:r>
        <w:t xml:space="preserve">. </w:t>
      </w:r>
      <w:r w:rsidRPr="00A42840">
        <w:t xml:space="preserve">Przyczyni się to do zmniejszenia intensywności ich użytkowania </w:t>
      </w:r>
      <w:r w:rsidR="00B00E5B">
        <w:t xml:space="preserve">i </w:t>
      </w:r>
      <w:r w:rsidRPr="00A42840">
        <w:t>przełoży na zmniejszenie</w:t>
      </w:r>
      <w:r w:rsidR="00402BA3">
        <w:t xml:space="preserve"> emisji</w:t>
      </w:r>
      <w:r w:rsidRPr="00A42840">
        <w:t xml:space="preserve"> z</w:t>
      </w:r>
      <w:r w:rsidR="00402BA3">
        <w:t> </w:t>
      </w:r>
      <w:r w:rsidRPr="00A42840">
        <w:t>zarządzan</w:t>
      </w:r>
      <w:r>
        <w:t>ych</w:t>
      </w:r>
      <w:r w:rsidRPr="00A42840">
        <w:t xml:space="preserve"> gruntów leśny</w:t>
      </w:r>
      <w:r>
        <w:t>ch.</w:t>
      </w:r>
      <w:r w:rsidR="00365B44" w:rsidRPr="00365B44">
        <w:t xml:space="preserve"> </w:t>
      </w:r>
      <w:r w:rsidR="00D6734D">
        <w:t xml:space="preserve">Planuje się również </w:t>
      </w:r>
      <w:bookmarkStart w:id="88" w:name="_Hlk175310876"/>
      <w:r w:rsidR="00D6734D" w:rsidRPr="00DB57B1">
        <w:rPr>
          <w:b/>
          <w:bCs/>
        </w:rPr>
        <w:t>zwiększenie zasobów wodnych w lasach</w:t>
      </w:r>
      <w:r w:rsidR="00D6734D">
        <w:t>, co ułatwi adaptację lasów do prognozowanych zmian klima</w:t>
      </w:r>
      <w:bookmarkEnd w:id="88"/>
      <w:r w:rsidR="00D6734D">
        <w:t xml:space="preserve">tu, m.in. poprzez </w:t>
      </w:r>
      <w:r w:rsidR="00D6734D" w:rsidRPr="00D22833">
        <w:t>budowanie i modernizację obiektów małej retencji (przyczyniającej się do zatrzymania wody w lasach) czy odtworzenie siedlisk hydrogenicznych (bagna, torfowiska i tereny podmokłe)</w:t>
      </w:r>
      <w:r w:rsidR="00D6734D">
        <w:t>.</w:t>
      </w:r>
    </w:p>
    <w:p w14:paraId="4B3CD199" w14:textId="4E0916FA" w:rsidR="00A42840" w:rsidRDefault="009D7B3C" w:rsidP="00080BA7">
      <w:r>
        <w:t>Zarówno z punktu widzenia pochłaniania emisji GC, jak i adaptacji do zmian klimatu niezbędne są działania w obszarze przeciwpożarowym. Z tego względu u</w:t>
      </w:r>
      <w:r w:rsidRPr="00E944AF">
        <w:t>trzym</w:t>
      </w:r>
      <w:r>
        <w:t>yw</w:t>
      </w:r>
      <w:r w:rsidRPr="00E944AF">
        <w:t>ana i</w:t>
      </w:r>
      <w:r>
        <w:t xml:space="preserve"> </w:t>
      </w:r>
      <w:r w:rsidRPr="00E944AF">
        <w:t>rozbudow</w:t>
      </w:r>
      <w:r>
        <w:t>yw</w:t>
      </w:r>
      <w:r w:rsidRPr="00E944AF">
        <w:t xml:space="preserve">ana </w:t>
      </w:r>
      <w:r>
        <w:t>będzie</w:t>
      </w:r>
      <w:r w:rsidRPr="00E944AF">
        <w:t xml:space="preserve"> </w:t>
      </w:r>
      <w:r w:rsidRPr="00F12C9E">
        <w:rPr>
          <w:b/>
          <w:bCs/>
        </w:rPr>
        <w:t>infrastruktura przeciwpożarowa</w:t>
      </w:r>
      <w:r w:rsidRPr="00590F25">
        <w:t xml:space="preserve"> w ponad </w:t>
      </w:r>
      <w:r>
        <w:t>200 nadleśnictwach, co przełoży się na ograniczenie emisji z pożarów lasów które prowadzą do uwalniania dużych ilości CO</w:t>
      </w:r>
      <w:r w:rsidRPr="00F6570E">
        <w:rPr>
          <w:vertAlign w:val="subscript"/>
        </w:rPr>
        <w:t>2</w:t>
      </w:r>
      <w:r>
        <w:t xml:space="preserve"> zakumulowanych w drzewach</w:t>
      </w:r>
      <w:r w:rsidRPr="00E944AF">
        <w:t xml:space="preserve">. </w:t>
      </w:r>
    </w:p>
    <w:p w14:paraId="5F5E5E3C" w14:textId="354FF593" w:rsidR="004C2D99" w:rsidRDefault="00624987" w:rsidP="00E769EB">
      <w:pPr>
        <w:spacing w:before="360"/>
      </w:pPr>
      <w:r w:rsidRPr="004C2D99">
        <w:rPr>
          <w:b/>
          <w:bCs/>
        </w:rPr>
        <w:t xml:space="preserve">Pochłanianie emisji </w:t>
      </w:r>
      <w:r>
        <w:rPr>
          <w:b/>
          <w:bCs/>
        </w:rPr>
        <w:t xml:space="preserve">GC </w:t>
      </w:r>
      <w:r w:rsidRPr="004C2D99">
        <w:rPr>
          <w:b/>
          <w:bCs/>
        </w:rPr>
        <w:t>przez</w:t>
      </w:r>
      <w:r>
        <w:rPr>
          <w:b/>
          <w:bCs/>
        </w:rPr>
        <w:t xml:space="preserve"> rolnictwo</w:t>
      </w:r>
    </w:p>
    <w:p w14:paraId="55C19DF8" w14:textId="6EC6E4E4" w:rsidR="002A4D48" w:rsidRDefault="008D032C" w:rsidP="00DE7A4A">
      <w:pPr>
        <w:spacing w:after="80"/>
      </w:pPr>
      <w:r>
        <w:t xml:space="preserve">Choć znacznie mniejszym stopniu niż grunty leśne, do </w:t>
      </w:r>
      <w:r w:rsidR="002F444D" w:rsidRPr="002F444D">
        <w:t xml:space="preserve">zwiększenia zasobów węgla w glebie i ograniczenia jego uwalniania do atmosfery będą przyczyniać się </w:t>
      </w:r>
      <w:r w:rsidR="002F444D">
        <w:t xml:space="preserve">również </w:t>
      </w:r>
      <w:r w:rsidR="002F444D" w:rsidRPr="002F444D">
        <w:t xml:space="preserve">działania podejmowane </w:t>
      </w:r>
      <w:r w:rsidR="002F444D" w:rsidRPr="002A4D48">
        <w:rPr>
          <w:b/>
          <w:bCs/>
        </w:rPr>
        <w:t>w rolnictwie</w:t>
      </w:r>
      <w:r w:rsidR="002F444D" w:rsidRPr="002F444D">
        <w:t xml:space="preserve">. Trzeba jednak podkreślić, </w:t>
      </w:r>
      <w:r w:rsidR="00852EDC">
        <w:t>ż</w:t>
      </w:r>
      <w:r w:rsidR="002F444D" w:rsidRPr="002F444D">
        <w:t>e potencjał pochłaniania w</w:t>
      </w:r>
      <w:r w:rsidR="002F444D">
        <w:t> </w:t>
      </w:r>
      <w:r w:rsidR="002F444D" w:rsidRPr="002F444D">
        <w:t>tym sektorze jest stosunkowo niewielki</w:t>
      </w:r>
      <w:r>
        <w:t>,</w:t>
      </w:r>
      <w:r w:rsidR="002F444D" w:rsidRPr="002F444D">
        <w:t xml:space="preserve"> a jego zwiększenie nie jest możliwe bez </w:t>
      </w:r>
      <w:r w:rsidR="002F444D">
        <w:t xml:space="preserve">wpływu na </w:t>
      </w:r>
      <w:r w:rsidR="002F444D" w:rsidRPr="002F444D">
        <w:t>bezpieczeństw</w:t>
      </w:r>
      <w:r w:rsidR="002F444D">
        <w:t>o</w:t>
      </w:r>
      <w:r w:rsidR="002F444D" w:rsidRPr="002F444D">
        <w:t xml:space="preserve"> żywnościowe. Działania na rzecz zwiększenia pochłaniania węgla w rolnictwie </w:t>
      </w:r>
      <w:r w:rsidR="00852EDC">
        <w:t xml:space="preserve">są </w:t>
      </w:r>
      <w:r w:rsidR="002F444D" w:rsidRPr="002F444D">
        <w:t xml:space="preserve">realizowane </w:t>
      </w:r>
      <w:r w:rsidR="002A4D48">
        <w:t xml:space="preserve">w ramach </w:t>
      </w:r>
      <w:r w:rsidR="002A4D48" w:rsidRPr="00971DC1">
        <w:rPr>
          <w:i/>
          <w:iCs/>
        </w:rPr>
        <w:t>Planu Strategicznego W</w:t>
      </w:r>
      <w:r w:rsidR="005C6B46" w:rsidRPr="00971DC1">
        <w:rPr>
          <w:i/>
          <w:iCs/>
        </w:rPr>
        <w:t xml:space="preserve">spólnej </w:t>
      </w:r>
      <w:r w:rsidR="002A4D48" w:rsidRPr="00971DC1">
        <w:rPr>
          <w:i/>
          <w:iCs/>
        </w:rPr>
        <w:t>P</w:t>
      </w:r>
      <w:r w:rsidR="005C6B46" w:rsidRPr="00971DC1">
        <w:rPr>
          <w:i/>
          <w:iCs/>
        </w:rPr>
        <w:t xml:space="preserve">olityki </w:t>
      </w:r>
      <w:r w:rsidR="002A4D48" w:rsidRPr="00971DC1">
        <w:rPr>
          <w:i/>
          <w:iCs/>
        </w:rPr>
        <w:t>R</w:t>
      </w:r>
      <w:r w:rsidR="005C6B46" w:rsidRPr="00971DC1">
        <w:rPr>
          <w:i/>
          <w:iCs/>
        </w:rPr>
        <w:t>olnej</w:t>
      </w:r>
      <w:r w:rsidR="002A4D48" w:rsidRPr="00971DC1">
        <w:rPr>
          <w:i/>
          <w:iCs/>
        </w:rPr>
        <w:t xml:space="preserve"> na lata 2023-2027</w:t>
      </w:r>
      <w:r w:rsidR="002A4D48">
        <w:t xml:space="preserve"> </w:t>
      </w:r>
      <w:r w:rsidR="002F444D" w:rsidRPr="002F444D">
        <w:t xml:space="preserve">przez </w:t>
      </w:r>
      <w:r w:rsidR="002F444D" w:rsidRPr="002A4D48">
        <w:rPr>
          <w:b/>
          <w:bCs/>
        </w:rPr>
        <w:t>normy warunkowości</w:t>
      </w:r>
      <w:r w:rsidR="002F444D" w:rsidRPr="002F444D">
        <w:t xml:space="preserve">: </w:t>
      </w:r>
    </w:p>
    <w:p w14:paraId="34B2583B" w14:textId="77777777" w:rsidR="002A4D48" w:rsidRDefault="002F444D" w:rsidP="002A4D48">
      <w:pPr>
        <w:pStyle w:val="Akapitzlist"/>
        <w:numPr>
          <w:ilvl w:val="0"/>
          <w:numId w:val="1"/>
        </w:numPr>
      </w:pPr>
      <w:r w:rsidRPr="002F444D">
        <w:t>ograniczanie przekształcania trwałych użytków zielonych (TUZ) oraz torfowisk i</w:t>
      </w:r>
      <w:r w:rsidR="00852EDC">
        <w:t> </w:t>
      </w:r>
      <w:r w:rsidRPr="002F444D">
        <w:t xml:space="preserve">terenów podmokłych na grunty orne, </w:t>
      </w:r>
    </w:p>
    <w:p w14:paraId="777E7FD7" w14:textId="77777777" w:rsidR="002A4D48" w:rsidRDefault="002F444D" w:rsidP="002A4D48">
      <w:pPr>
        <w:pStyle w:val="Akapitzlist"/>
        <w:numPr>
          <w:ilvl w:val="0"/>
          <w:numId w:val="1"/>
        </w:numPr>
      </w:pPr>
      <w:r w:rsidRPr="002F444D">
        <w:t>a także wymóg utrzymywania minimalnej pokrywy glebowej.</w:t>
      </w:r>
    </w:p>
    <w:p w14:paraId="5C1B81AE" w14:textId="0BAD7D79" w:rsidR="002A4D48" w:rsidRDefault="002A4D48" w:rsidP="00DE7A4A">
      <w:pPr>
        <w:spacing w:after="80"/>
      </w:pPr>
      <w:r>
        <w:t>Również w ramach Planu w</w:t>
      </w:r>
      <w:r w:rsidR="002F444D" w:rsidRPr="002F444D">
        <w:t xml:space="preserve">spierane będą </w:t>
      </w:r>
      <w:r w:rsidR="002F444D" w:rsidRPr="00D10361">
        <w:rPr>
          <w:b/>
          <w:bCs/>
        </w:rPr>
        <w:t>inwestycje związane z leśnictwem i zadrzewieniami na gruntach ornych oraz praktyki rolnicze</w:t>
      </w:r>
      <w:r w:rsidR="002F444D" w:rsidRPr="002F444D">
        <w:t>, które prowadzą do zwiększenia zasobów węgla w glebie i</w:t>
      </w:r>
      <w:r w:rsidR="00D10361">
        <w:t> </w:t>
      </w:r>
      <w:r w:rsidR="002F444D" w:rsidRPr="002F444D">
        <w:t xml:space="preserve">ograniczają jego uwalnianie do atmosfery. </w:t>
      </w:r>
      <w:r>
        <w:t xml:space="preserve">Dla zwiększenia możliwości sekwestracji węgla w zakresie działań leśnych i zadrzewieniowych największe znaczenie mają trzy interwencje: </w:t>
      </w:r>
    </w:p>
    <w:p w14:paraId="54287AF1" w14:textId="77777777" w:rsidR="00D10361" w:rsidRDefault="002A4D48" w:rsidP="00D10361">
      <w:pPr>
        <w:pStyle w:val="Akapitzlist"/>
        <w:numPr>
          <w:ilvl w:val="0"/>
          <w:numId w:val="1"/>
        </w:numPr>
      </w:pPr>
      <w:r>
        <w:t>wsparcie na zalesianie gruntów rolnych,</w:t>
      </w:r>
    </w:p>
    <w:p w14:paraId="2595937C" w14:textId="77777777" w:rsidR="00D10361" w:rsidRDefault="00D10361" w:rsidP="00D10361">
      <w:pPr>
        <w:pStyle w:val="Akapitzlist"/>
        <w:numPr>
          <w:ilvl w:val="0"/>
          <w:numId w:val="1"/>
        </w:numPr>
      </w:pPr>
      <w:r>
        <w:t>wsparcie</w:t>
      </w:r>
      <w:r w:rsidR="002A4D48">
        <w:t xml:space="preserve"> na tworzenie zadrzewień śródpolnych oraz </w:t>
      </w:r>
    </w:p>
    <w:p w14:paraId="52CA5A89" w14:textId="4F5CEAF5" w:rsidR="002A4D48" w:rsidRDefault="00D10361" w:rsidP="00D10361">
      <w:pPr>
        <w:pStyle w:val="Akapitzlist"/>
        <w:numPr>
          <w:ilvl w:val="0"/>
          <w:numId w:val="1"/>
        </w:numPr>
      </w:pPr>
      <w:r>
        <w:t xml:space="preserve">wsparcie </w:t>
      </w:r>
      <w:r w:rsidR="002A4D48">
        <w:t xml:space="preserve">na zakładanie systemów rolno-leśnych.  </w:t>
      </w:r>
    </w:p>
    <w:p w14:paraId="57B1D016" w14:textId="3AC436CB" w:rsidR="005C6B46" w:rsidRDefault="00433BFC" w:rsidP="00DE7A4A">
      <w:pPr>
        <w:spacing w:after="80"/>
      </w:pPr>
      <w:r>
        <w:t>W</w:t>
      </w:r>
      <w:r w:rsidR="00D10361">
        <w:t xml:space="preserve"> ramach I filaru </w:t>
      </w:r>
      <w:r w:rsidR="005C6B46">
        <w:t>WPR</w:t>
      </w:r>
      <w:r>
        <w:t>,</w:t>
      </w:r>
      <w:r w:rsidR="00D10361">
        <w:t xml:space="preserve"> specjalnie na potrzeby zwiększania zasobów węgla w glebie </w:t>
      </w:r>
      <w:r>
        <w:t xml:space="preserve">zaprojektowano </w:t>
      </w:r>
      <w:r w:rsidR="00D10361" w:rsidRPr="005C6B46">
        <w:rPr>
          <w:b/>
          <w:bCs/>
        </w:rPr>
        <w:t>ekoschemat: rolnictwo węglowe i zarzadzanie składnikami odżywczymi</w:t>
      </w:r>
      <w:r w:rsidR="00D10361">
        <w:t>. W ramach te</w:t>
      </w:r>
      <w:r w:rsidR="00047932">
        <w:t xml:space="preserve">go </w:t>
      </w:r>
      <w:r w:rsidR="00D10361">
        <w:t xml:space="preserve">ekoschematu wspierane jest </w:t>
      </w:r>
      <w:r>
        <w:t>osiem</w:t>
      </w:r>
      <w:r w:rsidR="00D10361">
        <w:t xml:space="preserve"> praktyk rolniczych</w:t>
      </w:r>
      <w:r>
        <w:t xml:space="preserve">, które sprzyjają sekwestracji węgla w glebie, budowaniu jej żyzności i ograniczaniu utraty składników nawozowych, </w:t>
      </w:r>
      <w:r w:rsidR="00047932">
        <w:t xml:space="preserve">co </w:t>
      </w:r>
      <w:r>
        <w:t>ma wpływ na ograniczenie emisji</w:t>
      </w:r>
      <w:r w:rsidR="00D10361">
        <w:t xml:space="preserve">: </w:t>
      </w:r>
    </w:p>
    <w:p w14:paraId="5C8CB860" w14:textId="77777777" w:rsidR="00433BFC" w:rsidRDefault="00433BFC" w:rsidP="00612B5D">
      <w:pPr>
        <w:pStyle w:val="Akapitzlist"/>
        <w:numPr>
          <w:ilvl w:val="1"/>
          <w:numId w:val="42"/>
        </w:numPr>
        <w:ind w:left="709"/>
      </w:pPr>
      <w:r>
        <w:t xml:space="preserve">ekstensywne użytkowanie trwałych użytków zielonych (TUZ) z obsadą zwierząt, </w:t>
      </w:r>
    </w:p>
    <w:p w14:paraId="1D8A299F" w14:textId="77777777" w:rsidR="00433BFC" w:rsidRDefault="00433BFC" w:rsidP="00612B5D">
      <w:pPr>
        <w:pStyle w:val="Akapitzlist"/>
        <w:numPr>
          <w:ilvl w:val="1"/>
          <w:numId w:val="42"/>
        </w:numPr>
        <w:ind w:left="709"/>
      </w:pPr>
      <w:r>
        <w:t xml:space="preserve">międzyplony ozime lub wsiewki śródplonowe, </w:t>
      </w:r>
    </w:p>
    <w:p w14:paraId="586B7E12" w14:textId="77777777" w:rsidR="00433BFC" w:rsidRDefault="00433BFC" w:rsidP="00612B5D">
      <w:pPr>
        <w:pStyle w:val="Akapitzlist"/>
        <w:numPr>
          <w:ilvl w:val="1"/>
          <w:numId w:val="42"/>
        </w:numPr>
        <w:ind w:left="709"/>
      </w:pPr>
      <w:r>
        <w:t xml:space="preserve">opracowanie i przestrzeganie planu nawożenia, wariant podstawowy i wariant z wapnowaniem, </w:t>
      </w:r>
    </w:p>
    <w:p w14:paraId="2ED0530E" w14:textId="77777777" w:rsidR="00433BFC" w:rsidRDefault="00433BFC" w:rsidP="00612B5D">
      <w:pPr>
        <w:pStyle w:val="Akapitzlist"/>
        <w:numPr>
          <w:ilvl w:val="1"/>
          <w:numId w:val="42"/>
        </w:numPr>
        <w:ind w:left="709"/>
      </w:pPr>
      <w:r>
        <w:t xml:space="preserve">zróżnicowana struktura upraw, </w:t>
      </w:r>
    </w:p>
    <w:p w14:paraId="090F03C0" w14:textId="77777777" w:rsidR="00433BFC" w:rsidRDefault="00433BFC" w:rsidP="00612B5D">
      <w:pPr>
        <w:pStyle w:val="Akapitzlist"/>
        <w:numPr>
          <w:ilvl w:val="1"/>
          <w:numId w:val="42"/>
        </w:numPr>
        <w:ind w:left="709"/>
      </w:pPr>
      <w:r>
        <w:t xml:space="preserve">wymieszanie obornika na gruntach ornych w terminie 12 godzin od jego aplikacji, </w:t>
      </w:r>
    </w:p>
    <w:p w14:paraId="200F910D" w14:textId="77777777" w:rsidR="00433BFC" w:rsidRDefault="00433BFC" w:rsidP="00612B5D">
      <w:pPr>
        <w:pStyle w:val="Akapitzlist"/>
        <w:numPr>
          <w:ilvl w:val="1"/>
          <w:numId w:val="42"/>
        </w:numPr>
        <w:ind w:left="709"/>
      </w:pPr>
      <w:r>
        <w:t xml:space="preserve">stosowanie nawozów naturalnych płynnych innymi metodami niż rozbryzgowo, </w:t>
      </w:r>
    </w:p>
    <w:p w14:paraId="103C7153" w14:textId="77777777" w:rsidR="00433BFC" w:rsidRDefault="00433BFC" w:rsidP="00612B5D">
      <w:pPr>
        <w:pStyle w:val="Akapitzlist"/>
        <w:numPr>
          <w:ilvl w:val="1"/>
          <w:numId w:val="42"/>
        </w:numPr>
        <w:ind w:left="709"/>
      </w:pPr>
      <w:r>
        <w:t xml:space="preserve">uproszczone systemy uprawy, </w:t>
      </w:r>
    </w:p>
    <w:p w14:paraId="79D42935" w14:textId="77777777" w:rsidR="00433BFC" w:rsidRDefault="00433BFC" w:rsidP="00612B5D">
      <w:pPr>
        <w:pStyle w:val="Akapitzlist"/>
        <w:numPr>
          <w:ilvl w:val="1"/>
          <w:numId w:val="42"/>
        </w:numPr>
        <w:ind w:left="709"/>
      </w:pPr>
      <w:r>
        <w:lastRenderedPageBreak/>
        <w:t xml:space="preserve">wymieszanie słomy z glebą. </w:t>
      </w:r>
    </w:p>
    <w:p w14:paraId="0AB479E6" w14:textId="626EC41C" w:rsidR="002F444D" w:rsidRPr="000E240E" w:rsidRDefault="002F444D" w:rsidP="00080BA7">
      <w:r w:rsidRPr="002F444D">
        <w:t xml:space="preserve">Do zwiększenia pochłaniania węgla </w:t>
      </w:r>
      <w:r w:rsidR="009D7B3C">
        <w:t xml:space="preserve">w sektorze LULUCF </w:t>
      </w:r>
      <w:r w:rsidRPr="002F444D">
        <w:t xml:space="preserve">może przyczynić się projektowany </w:t>
      </w:r>
      <w:bookmarkStart w:id="89" w:name="_Hlk171003599"/>
      <w:r w:rsidRPr="002F444D">
        <w:t>system certyfikacji praktyk powodujących trwałe wiązanie węgla m.in. w sektorze rolnym</w:t>
      </w:r>
      <w:bookmarkEnd w:id="89"/>
      <w:r>
        <w:t>.</w:t>
      </w:r>
    </w:p>
    <w:p w14:paraId="0CAE933F" w14:textId="77777777" w:rsidR="00080BA7" w:rsidRDefault="00080BA7" w:rsidP="00080BA7">
      <w:pPr>
        <w:spacing w:before="240" w:after="80"/>
        <w:rPr>
          <w:rFonts w:ascii="Bahnschrift" w:hAnsi="Bahnschrift"/>
          <w:b/>
          <w:bCs/>
          <w:sz w:val="32"/>
          <w:szCs w:val="32"/>
        </w:rPr>
      </w:pPr>
      <w:r w:rsidRPr="00C46DAA">
        <w:rPr>
          <w:rFonts w:ascii="Bahnschrift" w:hAnsi="Bahnschrift"/>
          <w:b/>
          <w:bCs/>
          <w:sz w:val="32"/>
          <w:szCs w:val="32"/>
        </w:rPr>
        <w:t>DZIAŁANIA</w:t>
      </w:r>
    </w:p>
    <w:p w14:paraId="59B58F38" w14:textId="104C0325" w:rsidR="00D10361" w:rsidRDefault="005736D7" w:rsidP="005C6B46">
      <w:pPr>
        <w:spacing w:before="240"/>
        <w:rPr>
          <w:b/>
          <w:bCs/>
        </w:rPr>
      </w:pPr>
      <w:r w:rsidRPr="005736D7">
        <w:rPr>
          <w:b/>
          <w:bCs/>
        </w:rPr>
        <w:t xml:space="preserve">W zakresie </w:t>
      </w:r>
      <w:r>
        <w:rPr>
          <w:b/>
          <w:bCs/>
        </w:rPr>
        <w:t xml:space="preserve">pochłaniania emisji przez sektor </w:t>
      </w:r>
      <w:r w:rsidRPr="005736D7">
        <w:rPr>
          <w:b/>
          <w:bCs/>
        </w:rPr>
        <w:t>leśnictwa</w:t>
      </w:r>
    </w:p>
    <w:p w14:paraId="6F192798" w14:textId="142A20CA" w:rsidR="005736D7" w:rsidRDefault="005736D7" w:rsidP="005736D7">
      <w:pPr>
        <w:pStyle w:val="Akapitzlist"/>
        <w:numPr>
          <w:ilvl w:val="0"/>
          <w:numId w:val="6"/>
        </w:numPr>
        <w:rPr>
          <w:szCs w:val="20"/>
        </w:rPr>
      </w:pPr>
      <w:r>
        <w:rPr>
          <w:szCs w:val="20"/>
        </w:rPr>
        <w:fldChar w:fldCharType="begin"/>
      </w:r>
      <w:r>
        <w:rPr>
          <w:szCs w:val="20"/>
        </w:rPr>
        <w:instrText xml:space="preserve"> REF _Ref158810999 \h </w:instrText>
      </w:r>
      <w:r>
        <w:rPr>
          <w:szCs w:val="20"/>
        </w:rPr>
      </w:r>
      <w:r>
        <w:rPr>
          <w:szCs w:val="20"/>
        </w:rPr>
        <w:fldChar w:fldCharType="separate"/>
      </w:r>
      <w:r w:rsidR="00DD3929" w:rsidRPr="00F12C9E">
        <w:t xml:space="preserve">Działanie </w:t>
      </w:r>
      <w:r w:rsidR="00DD3929">
        <w:rPr>
          <w:noProof/>
        </w:rPr>
        <w:t>83</w:t>
      </w:r>
      <w:r w:rsidR="00DD3929" w:rsidRPr="00B4077C">
        <w:t>.</w:t>
      </w:r>
      <w:r w:rsidR="00DD3929" w:rsidRPr="00F12C9E">
        <w:t xml:space="preserve"> </w:t>
      </w:r>
      <w:r w:rsidR="00DD3929" w:rsidRPr="00CE5AEF">
        <w:t>Przygotowanie</w:t>
      </w:r>
      <w:r w:rsidR="00DD3929" w:rsidRPr="00F12C9E">
        <w:t xml:space="preserve"> planów gospodarowania zasobami wodnymi w lasach.</w:t>
      </w:r>
      <w:r>
        <w:rPr>
          <w:szCs w:val="20"/>
        </w:rPr>
        <w:fldChar w:fldCharType="end"/>
      </w:r>
    </w:p>
    <w:p w14:paraId="3310F605" w14:textId="28D5FBE7" w:rsidR="005736D7" w:rsidRDefault="005736D7" w:rsidP="005736D7">
      <w:pPr>
        <w:pStyle w:val="Akapitzlist"/>
        <w:numPr>
          <w:ilvl w:val="0"/>
          <w:numId w:val="6"/>
        </w:numPr>
        <w:rPr>
          <w:szCs w:val="20"/>
        </w:rPr>
      </w:pPr>
      <w:r>
        <w:rPr>
          <w:szCs w:val="20"/>
        </w:rPr>
        <w:fldChar w:fldCharType="begin"/>
      </w:r>
      <w:r>
        <w:rPr>
          <w:szCs w:val="20"/>
        </w:rPr>
        <w:instrText xml:space="preserve"> REF _Ref158723930 \h </w:instrText>
      </w:r>
      <w:r>
        <w:rPr>
          <w:szCs w:val="20"/>
        </w:rPr>
      </w:r>
      <w:r>
        <w:rPr>
          <w:szCs w:val="20"/>
        </w:rPr>
        <w:fldChar w:fldCharType="separate"/>
      </w:r>
      <w:r w:rsidR="00DD3929" w:rsidRPr="0043213A">
        <w:t xml:space="preserve">Działanie </w:t>
      </w:r>
      <w:r w:rsidR="00DD3929">
        <w:rPr>
          <w:noProof/>
        </w:rPr>
        <w:t>84</w:t>
      </w:r>
      <w:r w:rsidR="00DD3929" w:rsidRPr="0043213A">
        <w:t xml:space="preserve">. Określanie celów i zasad prowadzenia trwale zrównoważonej gospodarki leśnej </w:t>
      </w:r>
      <w:r w:rsidR="00DD3929">
        <w:t>dla nadleśnictw</w:t>
      </w:r>
      <w:r w:rsidR="00DD3929" w:rsidRPr="0043213A">
        <w:t>.</w:t>
      </w:r>
      <w:r>
        <w:rPr>
          <w:szCs w:val="20"/>
        </w:rPr>
        <w:fldChar w:fldCharType="end"/>
      </w:r>
    </w:p>
    <w:p w14:paraId="051FCDF2" w14:textId="7AB62BD3" w:rsidR="00654E82" w:rsidRPr="00654E82" w:rsidRDefault="00654E82" w:rsidP="005736D7">
      <w:pPr>
        <w:pStyle w:val="Akapitzlist"/>
        <w:numPr>
          <w:ilvl w:val="0"/>
          <w:numId w:val="6"/>
        </w:numPr>
      </w:pPr>
      <w:r w:rsidRPr="00654E82">
        <w:fldChar w:fldCharType="begin"/>
      </w:r>
      <w:r w:rsidRPr="00654E82">
        <w:instrText xml:space="preserve"> REF _Ref172030489 \h  \* MERGEFORMAT </w:instrText>
      </w:r>
      <w:r w:rsidRPr="00654E82">
        <w:fldChar w:fldCharType="separate"/>
      </w:r>
      <w:r w:rsidR="00DD3929" w:rsidRPr="00DD3929">
        <w:t>Działanie 85. Prowadzenie gospodarki nasiennej w leśnictwie.</w:t>
      </w:r>
      <w:r w:rsidRPr="00654E82">
        <w:fldChar w:fldCharType="end"/>
      </w:r>
    </w:p>
    <w:p w14:paraId="0DA5B866" w14:textId="7D473446" w:rsidR="009E6ED8" w:rsidRPr="00654E82" w:rsidRDefault="00654E82" w:rsidP="005736D7">
      <w:pPr>
        <w:pStyle w:val="Akapitzlist"/>
        <w:numPr>
          <w:ilvl w:val="0"/>
          <w:numId w:val="6"/>
        </w:numPr>
      </w:pPr>
      <w:r w:rsidRPr="00654E82">
        <w:fldChar w:fldCharType="begin"/>
      </w:r>
      <w:r w:rsidRPr="00654E82">
        <w:instrText xml:space="preserve"> REF _Ref158811078 \h </w:instrText>
      </w:r>
      <w:r>
        <w:instrText xml:space="preserve"> \* MERGEFORMAT </w:instrText>
      </w:r>
      <w:r w:rsidRPr="00654E82">
        <w:fldChar w:fldCharType="separate"/>
      </w:r>
      <w:r w:rsidR="00DD3929" w:rsidRPr="00CE5AEF">
        <w:t xml:space="preserve">Działanie </w:t>
      </w:r>
      <w:r w:rsidR="00DD3929">
        <w:t>86</w:t>
      </w:r>
      <w:r w:rsidR="00DD3929" w:rsidRPr="00CE5AEF">
        <w:t xml:space="preserve">. </w:t>
      </w:r>
      <w:r w:rsidR="00DD3929">
        <w:t>Lasy</w:t>
      </w:r>
      <w:r w:rsidR="00DD3929" w:rsidRPr="00CE5AEF">
        <w:t xml:space="preserve"> węglowe.</w:t>
      </w:r>
      <w:r w:rsidRPr="00654E82">
        <w:fldChar w:fldCharType="end"/>
      </w:r>
    </w:p>
    <w:p w14:paraId="354E38E3" w14:textId="1041FF4A" w:rsidR="00654E82" w:rsidRDefault="00654E82" w:rsidP="005736D7">
      <w:pPr>
        <w:pStyle w:val="Akapitzlist"/>
        <w:numPr>
          <w:ilvl w:val="0"/>
          <w:numId w:val="6"/>
        </w:numPr>
        <w:rPr>
          <w:szCs w:val="20"/>
        </w:rPr>
      </w:pPr>
      <w:r>
        <w:rPr>
          <w:szCs w:val="20"/>
        </w:rPr>
        <w:fldChar w:fldCharType="begin"/>
      </w:r>
      <w:r>
        <w:rPr>
          <w:szCs w:val="20"/>
        </w:rPr>
        <w:instrText xml:space="preserve"> REF _Ref172030488 \h </w:instrText>
      </w:r>
      <w:r>
        <w:rPr>
          <w:szCs w:val="20"/>
        </w:rPr>
      </w:r>
      <w:r>
        <w:rPr>
          <w:szCs w:val="20"/>
        </w:rPr>
        <w:fldChar w:fldCharType="separate"/>
      </w:r>
      <w:r w:rsidR="00DD3929" w:rsidRPr="00AC0694">
        <w:t xml:space="preserve">Działanie </w:t>
      </w:r>
      <w:r w:rsidR="00DD3929">
        <w:rPr>
          <w:noProof/>
        </w:rPr>
        <w:t>87</w:t>
      </w:r>
      <w:r w:rsidR="00DD3929" w:rsidRPr="00AC0694">
        <w:t xml:space="preserve">. </w:t>
      </w:r>
      <w:r w:rsidR="00DD3929" w:rsidRPr="00CE5AEF">
        <w:t>Przeciwdziałanie</w:t>
      </w:r>
      <w:r w:rsidR="00DD3929" w:rsidRPr="00AC0694">
        <w:t xml:space="preserve"> zamieraniu lasów.</w:t>
      </w:r>
      <w:r>
        <w:rPr>
          <w:szCs w:val="20"/>
        </w:rPr>
        <w:fldChar w:fldCharType="end"/>
      </w:r>
    </w:p>
    <w:p w14:paraId="18E75A4C" w14:textId="2A718124" w:rsidR="005736D7" w:rsidRDefault="005736D7" w:rsidP="005736D7">
      <w:pPr>
        <w:pStyle w:val="Akapitzlist"/>
        <w:numPr>
          <w:ilvl w:val="0"/>
          <w:numId w:val="6"/>
        </w:numPr>
        <w:rPr>
          <w:szCs w:val="20"/>
        </w:rPr>
      </w:pPr>
      <w:r>
        <w:rPr>
          <w:szCs w:val="20"/>
        </w:rPr>
        <w:fldChar w:fldCharType="begin"/>
      </w:r>
      <w:r>
        <w:rPr>
          <w:szCs w:val="20"/>
        </w:rPr>
        <w:instrText xml:space="preserve"> REF _Ref159358637 \h </w:instrText>
      </w:r>
      <w:r>
        <w:rPr>
          <w:szCs w:val="20"/>
        </w:rPr>
      </w:r>
      <w:r>
        <w:rPr>
          <w:szCs w:val="20"/>
        </w:rPr>
        <w:fldChar w:fldCharType="separate"/>
      </w:r>
      <w:r w:rsidR="00DD3929" w:rsidRPr="00CE5AEF">
        <w:t xml:space="preserve">Działanie </w:t>
      </w:r>
      <w:r w:rsidR="00DD3929">
        <w:rPr>
          <w:noProof/>
        </w:rPr>
        <w:t>88</w:t>
      </w:r>
      <w:r w:rsidR="00DD3929" w:rsidRPr="00CE5AEF">
        <w:t>. Określenie kierunkowych zadań z zakresu ochrony lasu, w tym ochrony przeciwpożarowej</w:t>
      </w:r>
      <w:r w:rsidR="00DD3929">
        <w:t xml:space="preserve"> dla nadleśnictw</w:t>
      </w:r>
      <w:r w:rsidR="00DD3929" w:rsidRPr="00CE5AEF">
        <w:t>.</w:t>
      </w:r>
      <w:r>
        <w:rPr>
          <w:szCs w:val="20"/>
        </w:rPr>
        <w:fldChar w:fldCharType="end"/>
      </w:r>
    </w:p>
    <w:p w14:paraId="614915DE" w14:textId="621CEF54" w:rsidR="005736D7" w:rsidRDefault="005736D7" w:rsidP="005736D7">
      <w:pPr>
        <w:pStyle w:val="Akapitzlist"/>
        <w:numPr>
          <w:ilvl w:val="0"/>
          <w:numId w:val="6"/>
        </w:numPr>
        <w:rPr>
          <w:szCs w:val="20"/>
        </w:rPr>
      </w:pPr>
      <w:r>
        <w:rPr>
          <w:szCs w:val="20"/>
        </w:rPr>
        <w:fldChar w:fldCharType="begin"/>
      </w:r>
      <w:r>
        <w:rPr>
          <w:szCs w:val="20"/>
        </w:rPr>
        <w:instrText xml:space="preserve"> REF _Ref158811110 \h </w:instrText>
      </w:r>
      <w:r>
        <w:rPr>
          <w:szCs w:val="20"/>
        </w:rPr>
      </w:r>
      <w:r>
        <w:rPr>
          <w:szCs w:val="20"/>
        </w:rPr>
        <w:fldChar w:fldCharType="separate"/>
      </w:r>
      <w:r w:rsidR="00DD3929" w:rsidRPr="00AC0694">
        <w:t xml:space="preserve">Działanie </w:t>
      </w:r>
      <w:r w:rsidR="00DD3929">
        <w:rPr>
          <w:noProof/>
        </w:rPr>
        <w:t>89</w:t>
      </w:r>
      <w:r w:rsidR="00DD3929" w:rsidRPr="00AC0694">
        <w:t>. Odtworzenie oraz zachowanie obszarów bagiennych, torfowisk i terenów podmokłych</w:t>
      </w:r>
      <w:r w:rsidR="00DD3929">
        <w:t xml:space="preserve"> </w:t>
      </w:r>
      <w:r w:rsidR="00DD3929" w:rsidRPr="00AC0694">
        <w:t xml:space="preserve">na </w:t>
      </w:r>
      <w:r w:rsidR="00DD3929" w:rsidRPr="00CE5AEF">
        <w:t>obszarach</w:t>
      </w:r>
      <w:r w:rsidR="00DD3929" w:rsidRPr="00AC0694">
        <w:t xml:space="preserve"> Natura 2000 i Zielonej Infrastruktury.</w:t>
      </w:r>
      <w:r>
        <w:rPr>
          <w:szCs w:val="20"/>
        </w:rPr>
        <w:fldChar w:fldCharType="end"/>
      </w:r>
    </w:p>
    <w:p w14:paraId="4BD8BF1D" w14:textId="76291E10" w:rsidR="005736D7" w:rsidRDefault="005736D7" w:rsidP="005736D7">
      <w:pPr>
        <w:pStyle w:val="Akapitzlist"/>
        <w:numPr>
          <w:ilvl w:val="0"/>
          <w:numId w:val="6"/>
        </w:numPr>
        <w:rPr>
          <w:szCs w:val="20"/>
        </w:rPr>
      </w:pPr>
      <w:r>
        <w:rPr>
          <w:szCs w:val="20"/>
        </w:rPr>
        <w:fldChar w:fldCharType="begin"/>
      </w:r>
      <w:r>
        <w:rPr>
          <w:szCs w:val="20"/>
        </w:rPr>
        <w:instrText xml:space="preserve"> REF _Ref158811125 \h </w:instrText>
      </w:r>
      <w:r>
        <w:rPr>
          <w:szCs w:val="20"/>
        </w:rPr>
      </w:r>
      <w:r>
        <w:rPr>
          <w:szCs w:val="20"/>
        </w:rPr>
        <w:fldChar w:fldCharType="separate"/>
      </w:r>
      <w:r w:rsidR="00DD3929" w:rsidRPr="00AC0694">
        <w:t xml:space="preserve">Działanie </w:t>
      </w:r>
      <w:r w:rsidR="00DD3929">
        <w:rPr>
          <w:noProof/>
        </w:rPr>
        <w:t>90</w:t>
      </w:r>
      <w:r w:rsidR="00DD3929" w:rsidRPr="00AC0694">
        <w:t xml:space="preserve">. </w:t>
      </w:r>
      <w:r w:rsidR="00DD3929">
        <w:t>Rozwój małej retencji wodnej</w:t>
      </w:r>
      <w:r w:rsidR="00DD3929" w:rsidRPr="00AC0694">
        <w:t>.</w:t>
      </w:r>
      <w:r>
        <w:rPr>
          <w:szCs w:val="20"/>
        </w:rPr>
        <w:fldChar w:fldCharType="end"/>
      </w:r>
    </w:p>
    <w:p w14:paraId="392D5982" w14:textId="2F754972" w:rsidR="005736D7" w:rsidRPr="005736D7" w:rsidRDefault="005736D7" w:rsidP="005C6B46">
      <w:pPr>
        <w:spacing w:before="360"/>
        <w:rPr>
          <w:b/>
          <w:bCs/>
        </w:rPr>
      </w:pPr>
      <w:r w:rsidRPr="005736D7">
        <w:rPr>
          <w:b/>
          <w:bCs/>
        </w:rPr>
        <w:t xml:space="preserve">W zakresie </w:t>
      </w:r>
      <w:r>
        <w:rPr>
          <w:b/>
          <w:bCs/>
        </w:rPr>
        <w:t>pochłaniania emisji przez sektor rolnictwa</w:t>
      </w:r>
    </w:p>
    <w:p w14:paraId="7B04F819" w14:textId="00372B28" w:rsidR="00962FAE" w:rsidRDefault="00962FAE" w:rsidP="008340D5">
      <w:pPr>
        <w:pStyle w:val="Akapitzlist"/>
        <w:numPr>
          <w:ilvl w:val="0"/>
          <w:numId w:val="6"/>
        </w:numPr>
        <w:rPr>
          <w:szCs w:val="20"/>
        </w:rPr>
      </w:pPr>
      <w:r>
        <w:rPr>
          <w:szCs w:val="20"/>
        </w:rPr>
        <w:fldChar w:fldCharType="begin"/>
      </w:r>
      <w:r>
        <w:rPr>
          <w:szCs w:val="20"/>
        </w:rPr>
        <w:instrText xml:space="preserve"> REF _Ref159930533 \h </w:instrText>
      </w:r>
      <w:r>
        <w:rPr>
          <w:szCs w:val="20"/>
        </w:rPr>
      </w:r>
      <w:r>
        <w:rPr>
          <w:szCs w:val="20"/>
        </w:rPr>
        <w:fldChar w:fldCharType="separate"/>
      </w:r>
      <w:r w:rsidR="00DD3929" w:rsidRPr="00D9493F">
        <w:t xml:space="preserve">Działanie </w:t>
      </w:r>
      <w:r w:rsidR="00DD3929">
        <w:rPr>
          <w:noProof/>
        </w:rPr>
        <w:t>55</w:t>
      </w:r>
      <w:r w:rsidR="00DD3929" w:rsidRPr="00D9493F">
        <w:t>.</w:t>
      </w:r>
      <w:r w:rsidR="00DD3929">
        <w:t xml:space="preserve"> Stosowanie w</w:t>
      </w:r>
      <w:r w:rsidR="00DD3929" w:rsidRPr="00D9493F">
        <w:t>arunkowoś</w:t>
      </w:r>
      <w:r w:rsidR="00DD3929">
        <w:t>ci</w:t>
      </w:r>
      <w:r w:rsidR="00DD3929" w:rsidRPr="00D9493F">
        <w:t xml:space="preserve"> (środowiskow</w:t>
      </w:r>
      <w:r w:rsidR="00DD3929">
        <w:t>ej</w:t>
      </w:r>
      <w:r w:rsidR="00DD3929" w:rsidRPr="00D9493F">
        <w:t>) w ramach WPR</w:t>
      </w:r>
      <w:r w:rsidR="00DD3929">
        <w:t>.</w:t>
      </w:r>
      <w:r>
        <w:rPr>
          <w:szCs w:val="20"/>
        </w:rPr>
        <w:fldChar w:fldCharType="end"/>
      </w:r>
    </w:p>
    <w:p w14:paraId="7734CF58" w14:textId="3BAB591C" w:rsidR="00962FAE" w:rsidRDefault="00962FAE" w:rsidP="008340D5">
      <w:pPr>
        <w:pStyle w:val="Akapitzlist"/>
        <w:numPr>
          <w:ilvl w:val="0"/>
          <w:numId w:val="6"/>
        </w:numPr>
        <w:rPr>
          <w:szCs w:val="20"/>
        </w:rPr>
      </w:pPr>
      <w:r>
        <w:rPr>
          <w:szCs w:val="20"/>
        </w:rPr>
        <w:fldChar w:fldCharType="begin"/>
      </w:r>
      <w:r>
        <w:rPr>
          <w:szCs w:val="20"/>
        </w:rPr>
        <w:instrText xml:space="preserve"> REF _Ref159930536 \h </w:instrText>
      </w:r>
      <w:r>
        <w:rPr>
          <w:szCs w:val="20"/>
        </w:rPr>
      </w:r>
      <w:r>
        <w:rPr>
          <w:szCs w:val="20"/>
        </w:rPr>
        <w:fldChar w:fldCharType="separate"/>
      </w:r>
      <w:r w:rsidR="00DD3929" w:rsidRPr="00D9493F">
        <w:t xml:space="preserve">Działanie </w:t>
      </w:r>
      <w:r w:rsidR="00DD3929">
        <w:rPr>
          <w:noProof/>
        </w:rPr>
        <w:t>56</w:t>
      </w:r>
      <w:r w:rsidR="00DD3929" w:rsidRPr="00D9493F">
        <w:t>.</w:t>
      </w:r>
      <w:r w:rsidR="00DD3929">
        <w:t xml:space="preserve"> Stosowanie e</w:t>
      </w:r>
      <w:r w:rsidR="00DD3929" w:rsidRPr="00D9493F">
        <w:t>koschemat</w:t>
      </w:r>
      <w:r w:rsidR="00DD3929">
        <w:t>ów</w:t>
      </w:r>
      <w:r w:rsidR="00DD3929" w:rsidRPr="00D9493F">
        <w:t xml:space="preserve"> w ramach WPR</w:t>
      </w:r>
      <w:r w:rsidR="00DD3929">
        <w:t>.</w:t>
      </w:r>
      <w:r>
        <w:rPr>
          <w:szCs w:val="20"/>
        </w:rPr>
        <w:fldChar w:fldCharType="end"/>
      </w:r>
    </w:p>
    <w:p w14:paraId="72246D73" w14:textId="7C3A98B1" w:rsidR="00962FAE" w:rsidRDefault="00962FAE" w:rsidP="008340D5">
      <w:pPr>
        <w:pStyle w:val="Akapitzlist"/>
        <w:numPr>
          <w:ilvl w:val="0"/>
          <w:numId w:val="6"/>
        </w:numPr>
        <w:rPr>
          <w:szCs w:val="20"/>
        </w:rPr>
      </w:pPr>
      <w:r>
        <w:rPr>
          <w:szCs w:val="20"/>
        </w:rPr>
        <w:fldChar w:fldCharType="begin"/>
      </w:r>
      <w:r>
        <w:rPr>
          <w:szCs w:val="20"/>
        </w:rPr>
        <w:instrText xml:space="preserve"> REF _Ref159930539 \h </w:instrText>
      </w:r>
      <w:r>
        <w:rPr>
          <w:szCs w:val="20"/>
        </w:rPr>
      </w:r>
      <w:r>
        <w:rPr>
          <w:szCs w:val="20"/>
        </w:rPr>
        <w:fldChar w:fldCharType="separate"/>
      </w:r>
      <w:r w:rsidR="00DD3929" w:rsidRPr="00D9493F">
        <w:t xml:space="preserve">Działanie </w:t>
      </w:r>
      <w:r w:rsidR="00DD3929">
        <w:rPr>
          <w:noProof/>
        </w:rPr>
        <w:t>57</w:t>
      </w:r>
      <w:r w:rsidR="00DD3929" w:rsidRPr="00D9493F">
        <w:t>.</w:t>
      </w:r>
      <w:r w:rsidR="00DD3929">
        <w:rPr>
          <w:i/>
          <w:iCs/>
        </w:rPr>
        <w:t xml:space="preserve"> </w:t>
      </w:r>
      <w:r w:rsidR="00DD3929">
        <w:t>D</w:t>
      </w:r>
      <w:r w:rsidR="00DD3929" w:rsidRPr="00D9493F">
        <w:t>ziałania rolno</w:t>
      </w:r>
      <w:r w:rsidR="00DD3929">
        <w:t>-</w:t>
      </w:r>
      <w:r w:rsidR="00DD3929" w:rsidRPr="00D9493F">
        <w:t>środowiskowo-klimatyczne w ramach WPR</w:t>
      </w:r>
      <w:r w:rsidR="00DD3929">
        <w:rPr>
          <w:i/>
          <w:iCs/>
        </w:rPr>
        <w:t>.</w:t>
      </w:r>
      <w:r>
        <w:rPr>
          <w:szCs w:val="20"/>
        </w:rPr>
        <w:fldChar w:fldCharType="end"/>
      </w:r>
    </w:p>
    <w:p w14:paraId="739C0D2F" w14:textId="48435BF0" w:rsidR="00962FAE" w:rsidRDefault="00962FAE" w:rsidP="008340D5">
      <w:pPr>
        <w:pStyle w:val="Akapitzlist"/>
        <w:numPr>
          <w:ilvl w:val="0"/>
          <w:numId w:val="6"/>
        </w:numPr>
        <w:rPr>
          <w:szCs w:val="20"/>
        </w:rPr>
      </w:pPr>
      <w:r>
        <w:rPr>
          <w:szCs w:val="20"/>
        </w:rPr>
        <w:fldChar w:fldCharType="begin"/>
      </w:r>
      <w:r>
        <w:rPr>
          <w:szCs w:val="20"/>
        </w:rPr>
        <w:instrText xml:space="preserve"> REF _Ref159930549 \h </w:instrText>
      </w:r>
      <w:r>
        <w:rPr>
          <w:szCs w:val="20"/>
        </w:rPr>
      </w:r>
      <w:r>
        <w:rPr>
          <w:szCs w:val="20"/>
        </w:rPr>
        <w:fldChar w:fldCharType="separate"/>
      </w:r>
      <w:r w:rsidR="00DD3929" w:rsidRPr="00D9493F">
        <w:t xml:space="preserve">Działanie </w:t>
      </w:r>
      <w:r w:rsidR="00DD3929">
        <w:rPr>
          <w:noProof/>
        </w:rPr>
        <w:t>59</w:t>
      </w:r>
      <w:r w:rsidR="00DD3929" w:rsidRPr="00D9493F">
        <w:t>. Interwencje leśne i zadrzewieniowe w ramach WPR.</w:t>
      </w:r>
      <w:r>
        <w:rPr>
          <w:szCs w:val="20"/>
        </w:rPr>
        <w:fldChar w:fldCharType="end"/>
      </w:r>
    </w:p>
    <w:p w14:paraId="730F8570" w14:textId="237BC6B2" w:rsidR="00612679" w:rsidRDefault="004E000C" w:rsidP="005F4621">
      <w:pPr>
        <w:pStyle w:val="Nagwek3"/>
        <w:rPr>
          <w:color w:val="70AD47" w:themeColor="accent6"/>
        </w:rPr>
      </w:pPr>
      <w:bookmarkStart w:id="90" w:name="_Toc159598296"/>
      <w:bookmarkStart w:id="91" w:name="_Toc179536944"/>
      <w:bookmarkEnd w:id="78"/>
      <w:r>
        <w:rPr>
          <w:color w:val="70AD47" w:themeColor="accent6"/>
        </w:rPr>
        <w:t>Poprawa j</w:t>
      </w:r>
      <w:r w:rsidR="00612679">
        <w:rPr>
          <w:color w:val="70AD47" w:themeColor="accent6"/>
        </w:rPr>
        <w:t>akoś</w:t>
      </w:r>
      <w:r>
        <w:rPr>
          <w:color w:val="70AD47" w:themeColor="accent6"/>
        </w:rPr>
        <w:t>ci</w:t>
      </w:r>
      <w:r w:rsidR="00612679">
        <w:rPr>
          <w:color w:val="70AD47" w:themeColor="accent6"/>
        </w:rPr>
        <w:t xml:space="preserve"> środowiska</w:t>
      </w:r>
      <w:r w:rsidR="000973FB">
        <w:rPr>
          <w:color w:val="70AD47" w:themeColor="accent6"/>
        </w:rPr>
        <w:t>, w tym powietrza</w:t>
      </w:r>
      <w:bookmarkEnd w:id="90"/>
      <w:bookmarkEnd w:id="91"/>
    </w:p>
    <w:p w14:paraId="42D91F83" w14:textId="7F47E834" w:rsidR="00534863" w:rsidRDefault="00DE0CED" w:rsidP="00332CFC">
      <w:r>
        <w:rPr>
          <w:noProof/>
        </w:rPr>
        <mc:AlternateContent>
          <mc:Choice Requires="wps">
            <w:drawing>
              <wp:anchor distT="0" distB="0" distL="114300" distR="114300" simplePos="0" relativeHeight="251692032" behindDoc="1" locked="0" layoutInCell="1" allowOverlap="1" wp14:anchorId="0AE0E0F1" wp14:editId="1388B9AD">
                <wp:simplePos x="0" y="0"/>
                <wp:positionH relativeFrom="margin">
                  <wp:align>right</wp:align>
                </wp:positionH>
                <wp:positionV relativeFrom="paragraph">
                  <wp:posOffset>74295</wp:posOffset>
                </wp:positionV>
                <wp:extent cx="2969895" cy="1341755"/>
                <wp:effectExtent l="19050" t="57150" r="97155" b="66040"/>
                <wp:wrapSquare wrapText="bothSides"/>
                <wp:docPr id="188445096" name="Prostokąt: zaokrąglone rogi 6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969895" cy="1341755"/>
                        </a:xfrm>
                        <a:prstGeom prst="roundRect">
                          <a:avLst>
                            <a:gd name="adj" fmla="val 11857"/>
                          </a:avLst>
                        </a:prstGeom>
                        <a:solidFill>
                          <a:schemeClr val="bg1"/>
                        </a:solidFill>
                        <a:ln w="9525">
                          <a:solidFill>
                            <a:schemeClr val="accent6"/>
                          </a:solidFill>
                        </a:ln>
                        <a:effectLst>
                          <a:outerShdw blurRad="50800" dist="38100" algn="l"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txbx>
                        <w:txbxContent>
                          <w:p w14:paraId="56F29131" w14:textId="77777777" w:rsidR="00534863" w:rsidRPr="004E21CF" w:rsidRDefault="00534863" w:rsidP="00534863">
                            <w:pPr>
                              <w:pStyle w:val="Ramka"/>
                            </w:pPr>
                            <w:r>
                              <w:t>Poprawa jakości środowiska to proces wprowadzania działań i środków mających na celu ochronę, odtworzenie lub podniesienie ogólnej jakości otaczającego nas środowiska. Obejmuje to różnorodne obszary, takie jak jakość powietrza, wody, gleby, bioróżnorodność oraz ogólnie pojętą zrównoważoną gospodarkę zasobami naturalnymi.</w:t>
                            </w:r>
                          </w:p>
                        </w:txbxContent>
                      </wps:txbx>
                      <wps:bodyPr rot="0" spcFirstLastPara="0" vertOverflow="overflow" horzOverflow="overflow" vert="horz" wrap="square" lIns="72000" tIns="90000" rIns="72000" bIns="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0AE0E0F1" id="Prostokąt: zaokrąglone rogi 63" o:spid="_x0000_s1087" style="position:absolute;left:0;text-align:left;margin-left:182.65pt;margin-top:5.85pt;width:233.85pt;height:105.65pt;z-index:-25162444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arcsize="777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" fillcolor="white [3212]" strokecolor="#70ad47 [3209]">
                <v:stroke joinstyle="miter"/>
                <v:shadow on="t" color="black" opacity="26214f" origin="-.5" offset="3pt,0"/>
                <v:path arrowok="t"/>
                <v:textbox style="mso-fit-shape-to-text:t" inset="2mm,2.5mm,2mm,0">
                  <w:txbxContent>
                    <w:p w14:paraId="56F29131" w14:textId="77777777" w:rsidR="00534863" w:rsidRPr="004E21CF" w:rsidRDefault="00534863" w:rsidP="00534863">
                      <w:pPr>
                        <w:pStyle w:val="Ramka"/>
                      </w:pPr>
                      <w:r>
                        <w:t>Poprawa jakości środowiska to proces wprowadzania działań i środków mających na celu ochronę, odtworzenie lub podniesienie ogólnej jakości otaczającego nas środowiska. Obejmuje to różnorodne obszary, takie jak jakość powietrza, wody, gleby, bioróżnorodność oraz ogólnie pojętą zrównoważoną gospodarkę zasobami naturalnymi.</w:t>
                      </w:r>
                    </w:p>
                  </w:txbxContent>
                </v:textbox>
                <w10:wrap type="square" anchorx="margin"/>
              </v:roundrect>
            </w:pict>
          </mc:Fallback>
        </mc:AlternateContent>
      </w:r>
      <w:r w:rsidR="00332CFC">
        <w:t>Środowisko to kompleksowy system składający się z elementów przyrodniczych i antropogenicznych, które współistnieją i oddziałują ze sobą. Obejmuje atmosferę, hydrosferę, ląd, a także ludzi i ich działania. Ochrona środowiska skupia się na zrównoważonym gospodarowaniu zasobami naturalnymi, minimalizowaniu negatywnego wpływu działalności człowieka na ekosystemy oraz promowaniu harmonijnej współpracy między społecznością, a naturą. Współczesne wyzwania środowiskowe wymagają podejścia globalnego i</w:t>
      </w:r>
      <w:r w:rsidR="005614FF">
        <w:t> </w:t>
      </w:r>
      <w:r w:rsidR="00332CFC">
        <w:t xml:space="preserve">działań skoncentrowanych na ochronie bioróżnorodności oraz zrównoważonym rozwoju. </w:t>
      </w:r>
    </w:p>
    <w:p w14:paraId="143EB810" w14:textId="7B88FE76" w:rsidR="00782942" w:rsidRPr="00782942" w:rsidRDefault="00332CFC" w:rsidP="00782942">
      <w:r>
        <w:t xml:space="preserve">W tej części wskazano cele dotyczące poprawy jakości środowiska w zakresie stanu powietrza, stanu wód </w:t>
      </w:r>
      <w:r w:rsidR="004948D8">
        <w:t xml:space="preserve">oraz </w:t>
      </w:r>
      <w:r>
        <w:t>odpadów i ścieków.</w:t>
      </w:r>
    </w:p>
    <w:p w14:paraId="7F756AD6" w14:textId="2FBB52C7" w:rsidR="00C140A9" w:rsidRDefault="00C140A9" w:rsidP="00C140A9">
      <w:pPr>
        <w:pStyle w:val="Nagwek4"/>
        <w:rPr>
          <w:color w:val="70AD47" w:themeColor="accent6"/>
        </w:rPr>
      </w:pPr>
      <w:bookmarkStart w:id="92" w:name="_Toc159598297"/>
      <w:bookmarkStart w:id="93" w:name="_Toc179536945"/>
      <w:r>
        <w:rPr>
          <w:color w:val="70AD47" w:themeColor="accent6"/>
        </w:rPr>
        <w:lastRenderedPageBreak/>
        <w:t>Cel w zakresie jakości powietrza</w:t>
      </w:r>
      <w:bookmarkEnd w:id="92"/>
      <w:bookmarkEnd w:id="93"/>
      <w:r>
        <w:rPr>
          <w:color w:val="70AD47" w:themeColor="accent6"/>
        </w:rPr>
        <w:t xml:space="preserve"> </w:t>
      </w:r>
    </w:p>
    <w:p w14:paraId="0B44B828" w14:textId="14299776" w:rsidR="00731619" w:rsidRDefault="00DE0CED" w:rsidP="00731619">
      <w:r>
        <w:rPr>
          <w:noProof/>
        </w:rPr>
        <mc:AlternateContent>
          <mc:Choice Requires="wps">
            <w:drawing>
              <wp:anchor distT="0" distB="0" distL="114300" distR="114300" simplePos="0" relativeHeight="251687936" behindDoc="1" locked="0" layoutInCell="1" allowOverlap="1" wp14:anchorId="23476568" wp14:editId="7DC5465F">
                <wp:simplePos x="0" y="0"/>
                <wp:positionH relativeFrom="margin">
                  <wp:posOffset>2956560</wp:posOffset>
                </wp:positionH>
                <wp:positionV relativeFrom="paragraph">
                  <wp:posOffset>69850</wp:posOffset>
                </wp:positionV>
                <wp:extent cx="2700020" cy="977265"/>
                <wp:effectExtent l="19050" t="57150" r="100330" b="63500"/>
                <wp:wrapSquare wrapText="bothSides"/>
                <wp:docPr id="434040878" name="Prostokąt: zaokrąglone rogi 6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700020" cy="977265"/>
                        </a:xfrm>
                        <a:prstGeom prst="roundRect">
                          <a:avLst>
                            <a:gd name="adj" fmla="val 11857"/>
                          </a:avLst>
                        </a:prstGeom>
                        <a:solidFill>
                          <a:schemeClr val="bg1"/>
                        </a:solidFill>
                        <a:ln w="9525">
                          <a:solidFill>
                            <a:schemeClr val="accent6"/>
                          </a:solidFill>
                        </a:ln>
                        <a:effectLst>
                          <a:outerShdw blurRad="50800" dist="38100" algn="l"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txbx>
                        <w:txbxContent>
                          <w:p w14:paraId="36C5B2F7" w14:textId="1254ADC5" w:rsidR="007864F4" w:rsidRPr="004E21CF" w:rsidRDefault="00534863" w:rsidP="007864F4">
                            <w:pPr>
                              <w:pStyle w:val="Ramka"/>
                            </w:pPr>
                            <w:r>
                              <w:t>Na jakość powietrza wpływa szereg różnorodnych czynników w tym m.in.: emisje zanieczyszczeń, warunki meteorologiczne, topografia, używanie paliw kopalnych, aktywność ludzka czy sezonowe zmiany</w:t>
                            </w:r>
                            <w:r w:rsidR="007864F4">
                              <w:t>.</w:t>
                            </w:r>
                          </w:p>
                        </w:txbxContent>
                      </wps:txbx>
                      <wps:bodyPr rot="0" spcFirstLastPara="0" vertOverflow="overflow" horzOverflow="overflow" vert="horz" wrap="square" lIns="72000" tIns="90000" rIns="72000" bIns="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23476568" id="Prostokąt: zaokrąglone rogi 62" o:spid="_x0000_s1088" style="position:absolute;left:0;text-align:left;margin-left:232.8pt;margin-top:5.5pt;width:212.6pt;height:76.95pt;z-index:-2516285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777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" fillcolor="white [3212]" strokecolor="#70ad47 [3209]">
                <v:stroke joinstyle="miter"/>
                <v:shadow on="t" color="black" opacity="26214f" origin="-.5" offset="3pt,0"/>
                <v:path arrowok="t"/>
                <v:textbox style="mso-fit-shape-to-text:t" inset="2mm,2.5mm,2mm,0">
                  <w:txbxContent>
                    <w:p w14:paraId="36C5B2F7" w14:textId="1254ADC5" w:rsidR="007864F4" w:rsidRPr="004E21CF" w:rsidRDefault="00534863" w:rsidP="007864F4">
                      <w:pPr>
                        <w:pStyle w:val="Ramka"/>
                      </w:pPr>
                      <w:r>
                        <w:t>Na jakość powietrza wpływa szereg różnorodnych czynników w tym m.in.: emisje zanieczyszczeń, warunki meteorologiczne, topografia, używanie paliw kopalnych, aktywność ludzka czy sezonowe zmiany</w:t>
                      </w:r>
                      <w:r w:rsidR="007864F4">
                        <w:t>.</w:t>
                      </w:r>
                    </w:p>
                  </w:txbxContent>
                </v:textbox>
                <w10:wrap type="square" anchorx="margin"/>
              </v:roundrect>
            </w:pict>
          </mc:Fallback>
        </mc:AlternateContent>
      </w:r>
      <w:r w:rsidR="00731619">
        <w:t xml:space="preserve">Emisje zanieczyszczeń </w:t>
      </w:r>
      <w:r w:rsidR="00731619" w:rsidRPr="00936B2E">
        <w:t>powietrza wpływają negatywnie na środowisko przyrodnicze</w:t>
      </w:r>
      <w:r w:rsidR="00731619">
        <w:t>, w tym zdrowie człowieka</w:t>
      </w:r>
      <w:r w:rsidR="00731619" w:rsidRPr="00936B2E">
        <w:t>. Ich najgroźniejszymi skutkami są kwaśne opady, nasilenie efektu cieplarnianego, dziura ozonowa, smog, pyły, zanieczyszczenie gleby i wody</w:t>
      </w:r>
      <w:r w:rsidR="00731619">
        <w:t xml:space="preserve"> – dlatego działania związane z ich redukcją są silnie pożądane. </w:t>
      </w:r>
    </w:p>
    <w:p w14:paraId="3FE1D05B" w14:textId="77777777" w:rsidR="00731619" w:rsidRDefault="00731619" w:rsidP="00731619">
      <w:r>
        <w:t xml:space="preserve">Dyrektywa 2016/2284/UE w sprawie redukcji krajowych emisji niektórych rodzajów zanieczyszczeń atmosferycznych (dyrektywa NEC) ustanowiła </w:t>
      </w:r>
      <w:r w:rsidRPr="00136584">
        <w:t>zobowiązania dla państw UE w</w:t>
      </w:r>
      <w:r>
        <w:t> </w:t>
      </w:r>
      <w:r w:rsidRPr="00136584">
        <w:t>zakresie redukcji emisji antropogenicznych zanieczyszczeń do atmosfery</w:t>
      </w:r>
      <w:r>
        <w:rPr>
          <w:rStyle w:val="Odwoanieprzypisudolnego"/>
        </w:rPr>
        <w:footnoteReference w:id="49"/>
      </w:r>
      <w:r>
        <w:t xml:space="preserve">. </w:t>
      </w:r>
    </w:p>
    <w:p w14:paraId="66597B9E" w14:textId="3FB8D28B" w:rsidR="00731619" w:rsidRDefault="00731619" w:rsidP="007864F4">
      <w:r>
        <w:t xml:space="preserve">Polska została zobowiązana do osiągnięcia celów redukcji zanieczyszczeń antropogenicznych do atmosfery w dwóch okresach, które obejmują lata od 2020 r. do 2029 r. i od 2030 r. (względem referencyjnego 2005 r.) według schematu poniżej. </w:t>
      </w:r>
    </w:p>
    <w:p w14:paraId="4F9B1CCB" w14:textId="77777777" w:rsidR="00845A87" w:rsidRDefault="00845A87" w:rsidP="007864F4"/>
    <w:tbl>
      <w:tblPr>
        <w:tblStyle w:val="Tabela-Siatka"/>
        <w:tblW w:w="8952" w:type="dxa"/>
        <w:tblBorders>
          <w:top w:val="single" w:sz="48" w:space="0" w:color="EDEDED" w:themeColor="accent3" w:themeTint="33"/>
          <w:left w:val="single" w:sz="48" w:space="0" w:color="EDEDED" w:themeColor="accent3" w:themeTint="33"/>
          <w:bottom w:val="single" w:sz="48" w:space="0" w:color="EDEDED" w:themeColor="accent3" w:themeTint="33"/>
          <w:right w:val="single" w:sz="48" w:space="0" w:color="EDEDED" w:themeColor="accent3" w:themeTint="33"/>
          <w:insideH w:val="none" w:sz="0" w:space="0" w:color="auto"/>
          <w:insideV w:val="none" w:sz="0" w:space="0" w:color="auto"/>
        </w:tblBorders>
        <w:tblLook w:val="04A0" w:firstRow="1" w:lastRow="0" w:firstColumn="1" w:lastColumn="0" w:noHBand="0" w:noVBand="1"/>
      </w:tblPr>
      <w:tblGrid>
        <w:gridCol w:w="1783"/>
        <w:gridCol w:w="1462"/>
        <w:gridCol w:w="1977"/>
        <w:gridCol w:w="1978"/>
        <w:gridCol w:w="1752"/>
      </w:tblGrid>
      <w:tr w:rsidR="006C78E5" w14:paraId="624402D1" w14:textId="529F3F03" w:rsidTr="003E2A17">
        <w:tc>
          <w:tcPr>
            <w:tcW w:w="1783" w:type="dxa"/>
            <w:vMerge w:val="restart"/>
            <w:tcBorders>
              <w:right w:val="single" w:sz="12" w:space="0" w:color="C9C9C9" w:themeColor="accent3" w:themeTint="99"/>
            </w:tcBorders>
            <w:shd w:val="clear" w:color="auto" w:fill="EDEDED" w:themeFill="accent3" w:themeFillTint="33"/>
            <w:vAlign w:val="center"/>
          </w:tcPr>
          <w:p w14:paraId="2EB8250C" w14:textId="77777777" w:rsidR="009D7B3C" w:rsidRDefault="009D7B3C" w:rsidP="000608EA">
            <w:pPr>
              <w:jc w:val="left"/>
              <w:rPr>
                <w:b/>
                <w:bCs/>
              </w:rPr>
            </w:pPr>
          </w:p>
          <w:p w14:paraId="11E8593B" w14:textId="5644AFFA" w:rsidR="006C78E5" w:rsidRPr="00F707C8" w:rsidRDefault="006C78E5" w:rsidP="000608EA">
            <w:pPr>
              <w:jc w:val="left"/>
              <w:rPr>
                <w:b/>
                <w:bCs/>
              </w:rPr>
            </w:pPr>
            <w:r w:rsidRPr="00F707C8">
              <w:rPr>
                <w:b/>
                <w:bCs/>
              </w:rPr>
              <w:t xml:space="preserve">Cele ograniczenia zanieczyszczeń </w:t>
            </w:r>
            <w:r w:rsidRPr="00F707C8">
              <w:t>względem 2005 r.</w:t>
            </w:r>
          </w:p>
        </w:tc>
        <w:tc>
          <w:tcPr>
            <w:tcW w:w="1462" w:type="dxa"/>
            <w:tcBorders>
              <w:left w:val="single" w:sz="12" w:space="0" w:color="C9C9C9" w:themeColor="accent3" w:themeTint="99"/>
              <w:bottom w:val="nil"/>
            </w:tcBorders>
            <w:shd w:val="clear" w:color="auto" w:fill="EDEDED" w:themeFill="accent3" w:themeFillTint="33"/>
            <w:vAlign w:val="center"/>
          </w:tcPr>
          <w:p w14:paraId="19B3F771" w14:textId="77777777" w:rsidR="006C78E5" w:rsidRDefault="006C78E5" w:rsidP="000608EA">
            <w:pPr>
              <w:jc w:val="center"/>
            </w:pPr>
          </w:p>
        </w:tc>
        <w:tc>
          <w:tcPr>
            <w:tcW w:w="1977" w:type="dxa"/>
            <w:tcBorders>
              <w:bottom w:val="nil"/>
            </w:tcBorders>
            <w:shd w:val="clear" w:color="auto" w:fill="EDEDED" w:themeFill="accent3" w:themeFillTint="33"/>
            <w:vAlign w:val="center"/>
          </w:tcPr>
          <w:p w14:paraId="282856B6" w14:textId="39996964" w:rsidR="006C78E5" w:rsidRPr="00F707C8" w:rsidRDefault="006C78E5" w:rsidP="000608EA">
            <w:pPr>
              <w:jc w:val="center"/>
              <w:rPr>
                <w:i/>
                <w:iCs/>
                <w:szCs w:val="20"/>
              </w:rPr>
            </w:pPr>
            <w:r>
              <w:rPr>
                <w:i/>
                <w:iCs/>
                <w:szCs w:val="20"/>
              </w:rPr>
              <w:t xml:space="preserve">w </w:t>
            </w:r>
            <w:r w:rsidRPr="00F707C8">
              <w:rPr>
                <w:i/>
                <w:iCs/>
                <w:szCs w:val="20"/>
              </w:rPr>
              <w:t>każdy</w:t>
            </w:r>
            <w:r>
              <w:rPr>
                <w:i/>
                <w:iCs/>
                <w:szCs w:val="20"/>
              </w:rPr>
              <w:t>m</w:t>
            </w:r>
            <w:r w:rsidRPr="00F707C8">
              <w:rPr>
                <w:i/>
                <w:iCs/>
                <w:szCs w:val="20"/>
              </w:rPr>
              <w:t xml:space="preserve"> rok</w:t>
            </w:r>
            <w:r>
              <w:rPr>
                <w:i/>
                <w:iCs/>
                <w:szCs w:val="20"/>
              </w:rPr>
              <w:t>u</w:t>
            </w:r>
            <w:r w:rsidRPr="00F707C8">
              <w:rPr>
                <w:i/>
                <w:iCs/>
                <w:szCs w:val="20"/>
              </w:rPr>
              <w:t xml:space="preserve"> </w:t>
            </w:r>
            <w:r>
              <w:rPr>
                <w:i/>
                <w:iCs/>
                <w:szCs w:val="20"/>
              </w:rPr>
              <w:t xml:space="preserve">w okresie </w:t>
            </w:r>
            <w:r w:rsidRPr="00F707C8">
              <w:rPr>
                <w:i/>
                <w:iCs/>
                <w:szCs w:val="20"/>
              </w:rPr>
              <w:t>2020–2029</w:t>
            </w:r>
          </w:p>
        </w:tc>
        <w:tc>
          <w:tcPr>
            <w:tcW w:w="1978" w:type="dxa"/>
            <w:tcBorders>
              <w:bottom w:val="nil"/>
              <w:right w:val="single" w:sz="4" w:space="0" w:color="D9D9D9" w:themeColor="background1" w:themeShade="D9"/>
            </w:tcBorders>
            <w:shd w:val="clear" w:color="auto" w:fill="EDEDED" w:themeFill="accent3" w:themeFillTint="33"/>
            <w:vAlign w:val="center"/>
          </w:tcPr>
          <w:p w14:paraId="2E93417C" w14:textId="117599C1" w:rsidR="006C78E5" w:rsidRPr="00F707C8" w:rsidRDefault="006C78E5" w:rsidP="000608EA">
            <w:pPr>
              <w:jc w:val="center"/>
              <w:rPr>
                <w:i/>
                <w:iCs/>
                <w:szCs w:val="20"/>
              </w:rPr>
            </w:pPr>
            <w:r>
              <w:rPr>
                <w:i/>
                <w:iCs/>
                <w:szCs w:val="20"/>
              </w:rPr>
              <w:t xml:space="preserve">w </w:t>
            </w:r>
            <w:r w:rsidRPr="00F707C8">
              <w:rPr>
                <w:i/>
                <w:iCs/>
                <w:szCs w:val="20"/>
              </w:rPr>
              <w:t>każdy</w:t>
            </w:r>
            <w:r>
              <w:rPr>
                <w:i/>
                <w:iCs/>
                <w:szCs w:val="20"/>
              </w:rPr>
              <w:t>m</w:t>
            </w:r>
            <w:r w:rsidRPr="00F707C8">
              <w:rPr>
                <w:i/>
                <w:iCs/>
                <w:szCs w:val="20"/>
              </w:rPr>
              <w:t xml:space="preserve"> rok</w:t>
            </w:r>
            <w:r>
              <w:rPr>
                <w:i/>
                <w:iCs/>
                <w:szCs w:val="20"/>
              </w:rPr>
              <w:t>u</w:t>
            </w:r>
            <w:r w:rsidRPr="00F707C8">
              <w:rPr>
                <w:i/>
                <w:iCs/>
                <w:szCs w:val="20"/>
              </w:rPr>
              <w:t xml:space="preserve"> od</w:t>
            </w:r>
            <w:r w:rsidR="00F47A2C">
              <w:rPr>
                <w:i/>
                <w:iCs/>
                <w:szCs w:val="20"/>
              </w:rPr>
              <w:t> </w:t>
            </w:r>
            <w:r w:rsidRPr="00F707C8">
              <w:rPr>
                <w:i/>
                <w:iCs/>
                <w:szCs w:val="20"/>
              </w:rPr>
              <w:t>2030 r.</w:t>
            </w:r>
          </w:p>
        </w:tc>
        <w:tc>
          <w:tcPr>
            <w:tcW w:w="1752" w:type="dxa"/>
            <w:tcBorders>
              <w:left w:val="single" w:sz="4" w:space="0" w:color="D9D9D9" w:themeColor="background1" w:themeShade="D9"/>
              <w:bottom w:val="nil"/>
            </w:tcBorders>
            <w:shd w:val="clear" w:color="auto" w:fill="EDEDED" w:themeFill="accent3" w:themeFillTint="33"/>
          </w:tcPr>
          <w:p w14:paraId="42414057" w14:textId="2906BF46" w:rsidR="006C78E5" w:rsidRDefault="006C78E5" w:rsidP="000608EA">
            <w:pPr>
              <w:jc w:val="center"/>
              <w:rPr>
                <w:i/>
                <w:iCs/>
                <w:szCs w:val="20"/>
              </w:rPr>
            </w:pPr>
            <w:r>
              <w:rPr>
                <w:i/>
                <w:iCs/>
                <w:szCs w:val="20"/>
              </w:rPr>
              <w:t>wyniki prognoz na</w:t>
            </w:r>
            <w:r w:rsidR="00F47A2C">
              <w:rPr>
                <w:i/>
                <w:iCs/>
                <w:szCs w:val="20"/>
              </w:rPr>
              <w:t> </w:t>
            </w:r>
            <w:r>
              <w:rPr>
                <w:i/>
                <w:iCs/>
                <w:szCs w:val="20"/>
              </w:rPr>
              <w:t>2030 r.**</w:t>
            </w:r>
          </w:p>
        </w:tc>
      </w:tr>
      <w:tr w:rsidR="006C78E5" w14:paraId="4E0A0A7A" w14:textId="5C4E12CF" w:rsidTr="003E2A17">
        <w:tc>
          <w:tcPr>
            <w:tcW w:w="1783" w:type="dxa"/>
            <w:vMerge/>
            <w:tcBorders>
              <w:right w:val="single" w:sz="12" w:space="0" w:color="C9C9C9" w:themeColor="accent3" w:themeTint="99"/>
            </w:tcBorders>
            <w:shd w:val="clear" w:color="auto" w:fill="EDEDED" w:themeFill="accent3" w:themeFillTint="33"/>
          </w:tcPr>
          <w:p w14:paraId="662D04C8" w14:textId="77777777" w:rsidR="006C78E5" w:rsidRPr="00F707C8" w:rsidRDefault="006C78E5" w:rsidP="000608EA">
            <w:pPr>
              <w:jc w:val="center"/>
              <w:rPr>
                <w:b/>
                <w:bCs/>
              </w:rPr>
            </w:pPr>
          </w:p>
        </w:tc>
        <w:tc>
          <w:tcPr>
            <w:tcW w:w="1462" w:type="dxa"/>
            <w:tcBorders>
              <w:top w:val="nil"/>
              <w:left w:val="single" w:sz="12" w:space="0" w:color="C9C9C9" w:themeColor="accent3" w:themeTint="99"/>
              <w:bottom w:val="nil"/>
              <w:right w:val="nil"/>
            </w:tcBorders>
            <w:shd w:val="clear" w:color="auto" w:fill="EDEDED" w:themeFill="accent3" w:themeFillTint="33"/>
            <w:vAlign w:val="center"/>
          </w:tcPr>
          <w:p w14:paraId="681D6C55" w14:textId="77777777" w:rsidR="006C78E5" w:rsidRPr="00F707C8" w:rsidRDefault="006C78E5" w:rsidP="000608EA">
            <w:pPr>
              <w:jc w:val="center"/>
              <w:rPr>
                <w:b/>
                <w:bCs/>
              </w:rPr>
            </w:pPr>
            <w:r w:rsidRPr="00F707C8">
              <w:rPr>
                <w:b/>
                <w:bCs/>
              </w:rPr>
              <w:t>SO</w:t>
            </w:r>
            <w:r w:rsidRPr="00F707C8">
              <w:rPr>
                <w:b/>
                <w:bCs/>
                <w:vertAlign w:val="subscript"/>
              </w:rPr>
              <w:t>2</w:t>
            </w:r>
          </w:p>
        </w:tc>
        <w:tc>
          <w:tcPr>
            <w:tcW w:w="1977" w:type="dxa"/>
            <w:tcBorders>
              <w:top w:val="nil"/>
              <w:left w:val="nil"/>
              <w:bottom w:val="nil"/>
              <w:right w:val="nil"/>
            </w:tcBorders>
            <w:shd w:val="clear" w:color="auto" w:fill="EDEDED" w:themeFill="accent3" w:themeFillTint="33"/>
            <w:vAlign w:val="center"/>
          </w:tcPr>
          <w:p w14:paraId="4BD1E680" w14:textId="77777777" w:rsidR="006C78E5" w:rsidRDefault="006C78E5" w:rsidP="000608EA">
            <w:pPr>
              <w:jc w:val="center"/>
            </w:pPr>
            <w:r>
              <w:t>59%</w:t>
            </w:r>
          </w:p>
        </w:tc>
        <w:tc>
          <w:tcPr>
            <w:tcW w:w="1978" w:type="dxa"/>
            <w:tcBorders>
              <w:top w:val="nil"/>
              <w:left w:val="nil"/>
              <w:bottom w:val="nil"/>
              <w:right w:val="single" w:sz="4" w:space="0" w:color="D9D9D9" w:themeColor="background1" w:themeShade="D9"/>
            </w:tcBorders>
            <w:shd w:val="clear" w:color="auto" w:fill="EDEDED" w:themeFill="accent3" w:themeFillTint="33"/>
            <w:vAlign w:val="center"/>
          </w:tcPr>
          <w:p w14:paraId="4E848C5F" w14:textId="77777777" w:rsidR="006C78E5" w:rsidRDefault="006C78E5" w:rsidP="000608EA">
            <w:pPr>
              <w:jc w:val="center"/>
            </w:pPr>
            <w:r>
              <w:t>70%</w:t>
            </w:r>
          </w:p>
        </w:tc>
        <w:tc>
          <w:tcPr>
            <w:tcW w:w="1752" w:type="dxa"/>
            <w:tcBorders>
              <w:top w:val="nil"/>
              <w:left w:val="single" w:sz="4" w:space="0" w:color="D9D9D9" w:themeColor="background1" w:themeShade="D9"/>
              <w:bottom w:val="nil"/>
            </w:tcBorders>
            <w:shd w:val="clear" w:color="auto" w:fill="EDEDED" w:themeFill="accent3" w:themeFillTint="33"/>
          </w:tcPr>
          <w:p w14:paraId="3A347ACC" w14:textId="185BB2A4" w:rsidR="006C78E5" w:rsidRDefault="006C78E5" w:rsidP="000608EA">
            <w:pPr>
              <w:jc w:val="center"/>
            </w:pPr>
            <w:r>
              <w:t>87,1%</w:t>
            </w:r>
          </w:p>
        </w:tc>
      </w:tr>
      <w:tr w:rsidR="006C78E5" w14:paraId="7C9DFC16" w14:textId="0A57B7A8" w:rsidTr="003E2A17">
        <w:tc>
          <w:tcPr>
            <w:tcW w:w="1783" w:type="dxa"/>
            <w:vMerge/>
            <w:tcBorders>
              <w:right w:val="single" w:sz="12" w:space="0" w:color="C9C9C9" w:themeColor="accent3" w:themeTint="99"/>
            </w:tcBorders>
            <w:shd w:val="clear" w:color="auto" w:fill="EDEDED" w:themeFill="accent3" w:themeFillTint="33"/>
          </w:tcPr>
          <w:p w14:paraId="7240CEB9" w14:textId="77777777" w:rsidR="006C78E5" w:rsidRPr="00F707C8" w:rsidRDefault="006C78E5" w:rsidP="000608EA">
            <w:pPr>
              <w:jc w:val="center"/>
              <w:rPr>
                <w:b/>
                <w:bCs/>
              </w:rPr>
            </w:pPr>
          </w:p>
        </w:tc>
        <w:tc>
          <w:tcPr>
            <w:tcW w:w="1462" w:type="dxa"/>
            <w:tcBorders>
              <w:top w:val="nil"/>
              <w:left w:val="single" w:sz="12" w:space="0" w:color="C9C9C9" w:themeColor="accent3" w:themeTint="99"/>
              <w:bottom w:val="nil"/>
              <w:right w:val="nil"/>
            </w:tcBorders>
            <w:shd w:val="clear" w:color="auto" w:fill="EDEDED" w:themeFill="accent3" w:themeFillTint="33"/>
            <w:vAlign w:val="center"/>
          </w:tcPr>
          <w:p w14:paraId="3B477855" w14:textId="77777777" w:rsidR="006C78E5" w:rsidRPr="00F707C8" w:rsidRDefault="006C78E5" w:rsidP="000608EA">
            <w:pPr>
              <w:jc w:val="center"/>
              <w:rPr>
                <w:b/>
                <w:bCs/>
              </w:rPr>
            </w:pPr>
            <w:r w:rsidRPr="00F707C8">
              <w:rPr>
                <w:b/>
                <w:bCs/>
              </w:rPr>
              <w:t>NO</w:t>
            </w:r>
            <w:r w:rsidRPr="00F707C8">
              <w:rPr>
                <w:b/>
                <w:bCs/>
                <w:vertAlign w:val="subscript"/>
              </w:rPr>
              <w:t>x</w:t>
            </w:r>
          </w:p>
        </w:tc>
        <w:tc>
          <w:tcPr>
            <w:tcW w:w="1977" w:type="dxa"/>
            <w:tcBorders>
              <w:top w:val="nil"/>
              <w:left w:val="nil"/>
              <w:bottom w:val="nil"/>
              <w:right w:val="nil"/>
            </w:tcBorders>
            <w:shd w:val="clear" w:color="auto" w:fill="EDEDED" w:themeFill="accent3" w:themeFillTint="33"/>
            <w:vAlign w:val="center"/>
          </w:tcPr>
          <w:p w14:paraId="3FE028B9" w14:textId="77777777" w:rsidR="006C78E5" w:rsidRDefault="006C78E5" w:rsidP="000608EA">
            <w:pPr>
              <w:jc w:val="center"/>
            </w:pPr>
            <w:r>
              <w:t>30%</w:t>
            </w:r>
          </w:p>
        </w:tc>
        <w:tc>
          <w:tcPr>
            <w:tcW w:w="1978" w:type="dxa"/>
            <w:tcBorders>
              <w:top w:val="nil"/>
              <w:left w:val="nil"/>
              <w:bottom w:val="nil"/>
              <w:right w:val="single" w:sz="4" w:space="0" w:color="D9D9D9" w:themeColor="background1" w:themeShade="D9"/>
            </w:tcBorders>
            <w:shd w:val="clear" w:color="auto" w:fill="EDEDED" w:themeFill="accent3" w:themeFillTint="33"/>
            <w:vAlign w:val="center"/>
          </w:tcPr>
          <w:p w14:paraId="158724DD" w14:textId="3F39C191" w:rsidR="006C78E5" w:rsidRDefault="006C78E5" w:rsidP="000608EA">
            <w:pPr>
              <w:jc w:val="center"/>
            </w:pPr>
            <w:r>
              <w:t>39%</w:t>
            </w:r>
          </w:p>
        </w:tc>
        <w:tc>
          <w:tcPr>
            <w:tcW w:w="1752" w:type="dxa"/>
            <w:tcBorders>
              <w:top w:val="nil"/>
              <w:left w:val="single" w:sz="4" w:space="0" w:color="D9D9D9" w:themeColor="background1" w:themeShade="D9"/>
              <w:bottom w:val="nil"/>
            </w:tcBorders>
            <w:shd w:val="clear" w:color="auto" w:fill="EDEDED" w:themeFill="accent3" w:themeFillTint="33"/>
          </w:tcPr>
          <w:p w14:paraId="622D6FD0" w14:textId="0757CCEF" w:rsidR="006C78E5" w:rsidRDefault="003E2A17" w:rsidP="000608EA">
            <w:pPr>
              <w:jc w:val="center"/>
            </w:pPr>
            <w:r>
              <w:t>54,9%</w:t>
            </w:r>
          </w:p>
        </w:tc>
      </w:tr>
      <w:tr w:rsidR="006C78E5" w14:paraId="24D8C0BA" w14:textId="042758DB" w:rsidTr="003E2A17">
        <w:tc>
          <w:tcPr>
            <w:tcW w:w="1783" w:type="dxa"/>
            <w:vMerge/>
            <w:tcBorders>
              <w:right w:val="single" w:sz="12" w:space="0" w:color="C9C9C9" w:themeColor="accent3" w:themeTint="99"/>
            </w:tcBorders>
            <w:shd w:val="clear" w:color="auto" w:fill="EDEDED" w:themeFill="accent3" w:themeFillTint="33"/>
          </w:tcPr>
          <w:p w14:paraId="53DCD4F9" w14:textId="77777777" w:rsidR="006C78E5" w:rsidRPr="00F707C8" w:rsidRDefault="006C78E5" w:rsidP="000608EA">
            <w:pPr>
              <w:jc w:val="center"/>
              <w:rPr>
                <w:b/>
                <w:bCs/>
              </w:rPr>
            </w:pPr>
          </w:p>
        </w:tc>
        <w:tc>
          <w:tcPr>
            <w:tcW w:w="1462" w:type="dxa"/>
            <w:tcBorders>
              <w:top w:val="nil"/>
              <w:left w:val="single" w:sz="12" w:space="0" w:color="C9C9C9" w:themeColor="accent3" w:themeTint="99"/>
              <w:bottom w:val="nil"/>
              <w:right w:val="nil"/>
            </w:tcBorders>
            <w:shd w:val="clear" w:color="auto" w:fill="EDEDED" w:themeFill="accent3" w:themeFillTint="33"/>
            <w:vAlign w:val="center"/>
          </w:tcPr>
          <w:p w14:paraId="59E32D65" w14:textId="76636791" w:rsidR="006C78E5" w:rsidRPr="00F707C8" w:rsidRDefault="006C78E5" w:rsidP="000608EA">
            <w:pPr>
              <w:jc w:val="center"/>
              <w:rPr>
                <w:b/>
                <w:bCs/>
              </w:rPr>
            </w:pPr>
            <w:r w:rsidRPr="00F707C8">
              <w:rPr>
                <w:b/>
                <w:bCs/>
              </w:rPr>
              <w:t>NMLZO</w:t>
            </w:r>
          </w:p>
        </w:tc>
        <w:tc>
          <w:tcPr>
            <w:tcW w:w="1977" w:type="dxa"/>
            <w:tcBorders>
              <w:top w:val="nil"/>
              <w:left w:val="nil"/>
              <w:bottom w:val="nil"/>
              <w:right w:val="nil"/>
            </w:tcBorders>
            <w:shd w:val="clear" w:color="auto" w:fill="EDEDED" w:themeFill="accent3" w:themeFillTint="33"/>
            <w:vAlign w:val="center"/>
          </w:tcPr>
          <w:p w14:paraId="7B516CD4" w14:textId="77777777" w:rsidR="006C78E5" w:rsidRDefault="006C78E5" w:rsidP="000608EA">
            <w:pPr>
              <w:jc w:val="center"/>
            </w:pPr>
            <w:r>
              <w:t>25%</w:t>
            </w:r>
          </w:p>
        </w:tc>
        <w:tc>
          <w:tcPr>
            <w:tcW w:w="1978" w:type="dxa"/>
            <w:tcBorders>
              <w:top w:val="nil"/>
              <w:left w:val="nil"/>
              <w:bottom w:val="nil"/>
              <w:right w:val="single" w:sz="4" w:space="0" w:color="D9D9D9" w:themeColor="background1" w:themeShade="D9"/>
            </w:tcBorders>
            <w:shd w:val="clear" w:color="auto" w:fill="EDEDED" w:themeFill="accent3" w:themeFillTint="33"/>
            <w:vAlign w:val="center"/>
          </w:tcPr>
          <w:p w14:paraId="7DC90BDB" w14:textId="77777777" w:rsidR="006C78E5" w:rsidRDefault="006C78E5" w:rsidP="000608EA">
            <w:pPr>
              <w:jc w:val="center"/>
            </w:pPr>
            <w:r>
              <w:t>26%</w:t>
            </w:r>
          </w:p>
        </w:tc>
        <w:tc>
          <w:tcPr>
            <w:tcW w:w="1752" w:type="dxa"/>
            <w:tcBorders>
              <w:top w:val="nil"/>
              <w:left w:val="single" w:sz="4" w:space="0" w:color="D9D9D9" w:themeColor="background1" w:themeShade="D9"/>
              <w:bottom w:val="nil"/>
            </w:tcBorders>
            <w:shd w:val="clear" w:color="auto" w:fill="EDEDED" w:themeFill="accent3" w:themeFillTint="33"/>
          </w:tcPr>
          <w:p w14:paraId="74887850" w14:textId="57FCC566" w:rsidR="006C78E5" w:rsidRDefault="003E2A17" w:rsidP="000608EA">
            <w:pPr>
              <w:jc w:val="center"/>
            </w:pPr>
            <w:r>
              <w:t>37,7%</w:t>
            </w:r>
          </w:p>
        </w:tc>
      </w:tr>
      <w:tr w:rsidR="006C78E5" w14:paraId="1C1356ED" w14:textId="327C7C17" w:rsidTr="003E2A17">
        <w:tc>
          <w:tcPr>
            <w:tcW w:w="1783" w:type="dxa"/>
            <w:vMerge/>
            <w:tcBorders>
              <w:right w:val="single" w:sz="12" w:space="0" w:color="C9C9C9" w:themeColor="accent3" w:themeTint="99"/>
            </w:tcBorders>
            <w:shd w:val="clear" w:color="auto" w:fill="EDEDED" w:themeFill="accent3" w:themeFillTint="33"/>
            <w:vAlign w:val="center"/>
          </w:tcPr>
          <w:p w14:paraId="2A667644" w14:textId="77777777" w:rsidR="006C78E5" w:rsidRPr="00F707C8" w:rsidRDefault="006C78E5" w:rsidP="000608EA">
            <w:pPr>
              <w:jc w:val="left"/>
              <w:rPr>
                <w:b/>
                <w:bCs/>
              </w:rPr>
            </w:pPr>
          </w:p>
        </w:tc>
        <w:tc>
          <w:tcPr>
            <w:tcW w:w="1462" w:type="dxa"/>
            <w:tcBorders>
              <w:top w:val="nil"/>
              <w:left w:val="single" w:sz="12" w:space="0" w:color="C9C9C9" w:themeColor="accent3" w:themeTint="99"/>
              <w:bottom w:val="nil"/>
              <w:right w:val="nil"/>
            </w:tcBorders>
            <w:shd w:val="clear" w:color="auto" w:fill="EDEDED" w:themeFill="accent3" w:themeFillTint="33"/>
            <w:vAlign w:val="center"/>
          </w:tcPr>
          <w:p w14:paraId="37D3C840" w14:textId="77777777" w:rsidR="006C78E5" w:rsidRPr="00F707C8" w:rsidRDefault="006C78E5" w:rsidP="000608EA">
            <w:pPr>
              <w:jc w:val="center"/>
              <w:rPr>
                <w:b/>
                <w:bCs/>
              </w:rPr>
            </w:pPr>
            <w:r w:rsidRPr="00F707C8">
              <w:rPr>
                <w:b/>
                <w:bCs/>
              </w:rPr>
              <w:t>NH</w:t>
            </w:r>
            <w:r w:rsidRPr="00F707C8">
              <w:rPr>
                <w:b/>
                <w:bCs/>
                <w:vertAlign w:val="subscript"/>
              </w:rPr>
              <w:t>3</w:t>
            </w:r>
          </w:p>
        </w:tc>
        <w:tc>
          <w:tcPr>
            <w:tcW w:w="1977" w:type="dxa"/>
            <w:tcBorders>
              <w:top w:val="nil"/>
              <w:left w:val="nil"/>
              <w:bottom w:val="nil"/>
              <w:right w:val="nil"/>
            </w:tcBorders>
            <w:shd w:val="clear" w:color="auto" w:fill="EDEDED" w:themeFill="accent3" w:themeFillTint="33"/>
            <w:vAlign w:val="center"/>
          </w:tcPr>
          <w:p w14:paraId="52B605E8" w14:textId="77777777" w:rsidR="006C78E5" w:rsidRDefault="006C78E5" w:rsidP="000608EA">
            <w:pPr>
              <w:jc w:val="center"/>
            </w:pPr>
            <w:r>
              <w:t>1%</w:t>
            </w:r>
          </w:p>
        </w:tc>
        <w:tc>
          <w:tcPr>
            <w:tcW w:w="1978" w:type="dxa"/>
            <w:tcBorders>
              <w:top w:val="nil"/>
              <w:left w:val="nil"/>
              <w:bottom w:val="nil"/>
              <w:right w:val="single" w:sz="4" w:space="0" w:color="D9D9D9" w:themeColor="background1" w:themeShade="D9"/>
            </w:tcBorders>
            <w:shd w:val="clear" w:color="auto" w:fill="EDEDED" w:themeFill="accent3" w:themeFillTint="33"/>
            <w:vAlign w:val="center"/>
          </w:tcPr>
          <w:p w14:paraId="2C0D7A23" w14:textId="77777777" w:rsidR="006C78E5" w:rsidRDefault="006C78E5" w:rsidP="000608EA">
            <w:pPr>
              <w:jc w:val="center"/>
            </w:pPr>
            <w:r>
              <w:t>17%</w:t>
            </w:r>
          </w:p>
        </w:tc>
        <w:tc>
          <w:tcPr>
            <w:tcW w:w="1752" w:type="dxa"/>
            <w:tcBorders>
              <w:top w:val="nil"/>
              <w:left w:val="single" w:sz="4" w:space="0" w:color="D9D9D9" w:themeColor="background1" w:themeShade="D9"/>
              <w:bottom w:val="nil"/>
            </w:tcBorders>
            <w:shd w:val="clear" w:color="auto" w:fill="EDEDED" w:themeFill="accent3" w:themeFillTint="33"/>
          </w:tcPr>
          <w:p w14:paraId="6CB14EE7" w14:textId="5D54EE41" w:rsidR="006C78E5" w:rsidRDefault="003E2A17" w:rsidP="000608EA">
            <w:pPr>
              <w:jc w:val="center"/>
            </w:pPr>
            <w:r>
              <w:t>27,8%</w:t>
            </w:r>
          </w:p>
        </w:tc>
      </w:tr>
      <w:tr w:rsidR="006C78E5" w14:paraId="7F7168F9" w14:textId="692CD7DF" w:rsidTr="003E2A17">
        <w:tc>
          <w:tcPr>
            <w:tcW w:w="1783" w:type="dxa"/>
            <w:vMerge/>
            <w:tcBorders>
              <w:right w:val="single" w:sz="12" w:space="0" w:color="C9C9C9" w:themeColor="accent3" w:themeTint="99"/>
            </w:tcBorders>
            <w:shd w:val="clear" w:color="auto" w:fill="EDEDED" w:themeFill="accent3" w:themeFillTint="33"/>
          </w:tcPr>
          <w:p w14:paraId="2CFA7D25" w14:textId="77777777" w:rsidR="006C78E5" w:rsidRDefault="006C78E5" w:rsidP="000608EA">
            <w:pPr>
              <w:jc w:val="center"/>
              <w:rPr>
                <w:b/>
                <w:bCs/>
              </w:rPr>
            </w:pPr>
          </w:p>
        </w:tc>
        <w:tc>
          <w:tcPr>
            <w:tcW w:w="1462" w:type="dxa"/>
            <w:tcBorders>
              <w:top w:val="nil"/>
              <w:left w:val="single" w:sz="12" w:space="0" w:color="C9C9C9" w:themeColor="accent3" w:themeTint="99"/>
              <w:bottom w:val="single" w:sz="48" w:space="0" w:color="EDEDED" w:themeColor="accent3" w:themeTint="33"/>
              <w:right w:val="nil"/>
            </w:tcBorders>
            <w:shd w:val="clear" w:color="auto" w:fill="EDEDED" w:themeFill="accent3" w:themeFillTint="33"/>
            <w:vAlign w:val="center"/>
          </w:tcPr>
          <w:p w14:paraId="209FAD04" w14:textId="77777777" w:rsidR="006C78E5" w:rsidRPr="00F707C8" w:rsidRDefault="006C78E5" w:rsidP="000608EA">
            <w:pPr>
              <w:jc w:val="center"/>
              <w:rPr>
                <w:b/>
                <w:bCs/>
              </w:rPr>
            </w:pPr>
            <w:r>
              <w:rPr>
                <w:b/>
                <w:bCs/>
              </w:rPr>
              <w:t>PM2,5 (pyły)</w:t>
            </w:r>
          </w:p>
        </w:tc>
        <w:tc>
          <w:tcPr>
            <w:tcW w:w="1977" w:type="dxa"/>
            <w:tcBorders>
              <w:top w:val="nil"/>
              <w:left w:val="nil"/>
              <w:bottom w:val="single" w:sz="48" w:space="0" w:color="EDEDED" w:themeColor="accent3" w:themeTint="33"/>
              <w:right w:val="nil"/>
            </w:tcBorders>
            <w:shd w:val="clear" w:color="auto" w:fill="EDEDED" w:themeFill="accent3" w:themeFillTint="33"/>
            <w:vAlign w:val="center"/>
          </w:tcPr>
          <w:p w14:paraId="28BD2B40" w14:textId="77777777" w:rsidR="006C78E5" w:rsidRDefault="006C78E5" w:rsidP="000608EA">
            <w:pPr>
              <w:jc w:val="center"/>
            </w:pPr>
            <w:r>
              <w:t>16%</w:t>
            </w:r>
          </w:p>
        </w:tc>
        <w:tc>
          <w:tcPr>
            <w:tcW w:w="1978" w:type="dxa"/>
            <w:tcBorders>
              <w:top w:val="nil"/>
              <w:left w:val="nil"/>
              <w:bottom w:val="single" w:sz="48" w:space="0" w:color="EDEDED" w:themeColor="accent3" w:themeTint="33"/>
              <w:right w:val="single" w:sz="4" w:space="0" w:color="D9D9D9" w:themeColor="background1" w:themeShade="D9"/>
            </w:tcBorders>
            <w:shd w:val="clear" w:color="auto" w:fill="EDEDED" w:themeFill="accent3" w:themeFillTint="33"/>
            <w:vAlign w:val="center"/>
          </w:tcPr>
          <w:p w14:paraId="7C3103F3" w14:textId="77777777" w:rsidR="006C78E5" w:rsidRDefault="006C78E5" w:rsidP="000608EA">
            <w:pPr>
              <w:jc w:val="center"/>
            </w:pPr>
            <w:r>
              <w:t>58%</w:t>
            </w:r>
          </w:p>
        </w:tc>
        <w:tc>
          <w:tcPr>
            <w:tcW w:w="1752" w:type="dxa"/>
            <w:tcBorders>
              <w:top w:val="nil"/>
              <w:left w:val="single" w:sz="4" w:space="0" w:color="D9D9D9" w:themeColor="background1" w:themeShade="D9"/>
              <w:bottom w:val="single" w:sz="48" w:space="0" w:color="EDEDED" w:themeColor="accent3" w:themeTint="33"/>
            </w:tcBorders>
            <w:shd w:val="clear" w:color="auto" w:fill="EDEDED" w:themeFill="accent3" w:themeFillTint="33"/>
          </w:tcPr>
          <w:p w14:paraId="78626BD6" w14:textId="6F232897" w:rsidR="006C78E5" w:rsidRDefault="003E2A17" w:rsidP="000608EA">
            <w:pPr>
              <w:jc w:val="center"/>
            </w:pPr>
            <w:r>
              <w:t>66,2%</w:t>
            </w:r>
          </w:p>
        </w:tc>
      </w:tr>
    </w:tbl>
    <w:p w14:paraId="281A53E3" w14:textId="77DF2EB9" w:rsidR="006C78E5" w:rsidRDefault="006C78E5" w:rsidP="006C78E5">
      <w:pPr>
        <w:jc w:val="left"/>
      </w:pPr>
      <w:r>
        <w:t>*</w:t>
      </w:r>
      <w:r w:rsidRPr="006C78E5">
        <w:rPr>
          <w:sz w:val="18"/>
          <w:szCs w:val="18"/>
        </w:rPr>
        <w:t xml:space="preserve"> </w:t>
      </w:r>
      <w:r w:rsidRPr="00DA67E6">
        <w:rPr>
          <w:sz w:val="18"/>
          <w:szCs w:val="18"/>
        </w:rPr>
        <w:t>NLZMO – niemetalowe lotne związki organiczne</w:t>
      </w:r>
      <w:r>
        <w:rPr>
          <w:sz w:val="18"/>
          <w:szCs w:val="18"/>
        </w:rPr>
        <w:br/>
        <w:t>**Prognozy nie mają charakteru celu.</w:t>
      </w:r>
    </w:p>
    <w:p w14:paraId="5A140B6A" w14:textId="35CD13F7" w:rsidR="007864F4" w:rsidRDefault="00125A37" w:rsidP="00B762DE">
      <w:r w:rsidRPr="00125A37">
        <w:t xml:space="preserve">Największe problemy z nieodpowiednią jakością powietrza dotyczą obszarów miejskich </w:t>
      </w:r>
      <w:r w:rsidR="008E2CFD">
        <w:t xml:space="preserve">będących </w:t>
      </w:r>
      <w:r w:rsidR="008E2CFD" w:rsidRPr="00125A37">
        <w:t>duży</w:t>
      </w:r>
      <w:r w:rsidR="008E2CFD">
        <w:t>mi</w:t>
      </w:r>
      <w:r w:rsidR="008E2CFD" w:rsidRPr="00125A37">
        <w:t xml:space="preserve"> skupisk</w:t>
      </w:r>
      <w:r w:rsidR="008E2CFD">
        <w:t>ami</w:t>
      </w:r>
      <w:r w:rsidR="008E2CFD" w:rsidRPr="00125A37">
        <w:t xml:space="preserve"> ludności oraz regionów intensywnej działalności przemysłowej.  Istotnym problemem pozostają przekroczenia poziomów dopuszczalnych dla pyłu zawieszonego PM10 i PM2,5 oraz poziomu docelowego benzo(a)pirenu, szczególnie w okresie zimowym. Dodatkowo w aglomeracjach miejskich występuje problem przekroczeń poziomu dopuszczalnego dla dwutlenku azotu</w:t>
      </w:r>
      <w:r w:rsidR="008E2CFD">
        <w:t xml:space="preserve"> (NO</w:t>
      </w:r>
      <w:r w:rsidR="008E2CFD" w:rsidRPr="008E2CFD">
        <w:rPr>
          <w:vertAlign w:val="subscript"/>
        </w:rPr>
        <w:t>2</w:t>
      </w:r>
      <w:r w:rsidR="008E2CFD">
        <w:t>) wynikający z dużego natężenia ruchu pojazdów</w:t>
      </w:r>
      <w:r w:rsidR="008E2CFD" w:rsidRPr="00125A37">
        <w:t xml:space="preserve">. </w:t>
      </w:r>
      <w:r w:rsidRPr="00125A37">
        <w:t>Emisje z</w:t>
      </w:r>
      <w:r w:rsidR="008E2CFD">
        <w:t>e</w:t>
      </w:r>
      <w:r w:rsidRPr="00125A37">
        <w:t xml:space="preserve"> spalania paliw kopalnych, transportu drogowego, przemysłowych procesów produkcyjnych i energetyki są głównymi źródłami emisji zanieczyszczeń do powietrza. Skoncentrowane tereny zabudowy mieszkaniowej wyposażonej w indywidualne źródła ciepła wykorzystujące paliwa kopalne (a także, w mniejszym zakresie, stałe paliwa biomasowe) oraz obszary miast o dużym natężeniu ruchu pojazdów często borykają się z przekroczeniami norm jakości powietrza, dlatego wymagają szczególnej koncentracji działań</w:t>
      </w:r>
      <w:r w:rsidR="00C62D5D">
        <w:t>.</w:t>
      </w:r>
      <w:r w:rsidR="007864F4">
        <w:t xml:space="preserve"> </w:t>
      </w:r>
      <w:r w:rsidR="00B762DE">
        <w:t>Natomiast, g</w:t>
      </w:r>
      <w:r w:rsidR="00B762DE" w:rsidRPr="00B762DE">
        <w:t>łównym źródłem emisji amoniaku</w:t>
      </w:r>
      <w:r w:rsidR="008E2CFD">
        <w:t xml:space="preserve"> (NH</w:t>
      </w:r>
      <w:r w:rsidR="008E2CFD" w:rsidRPr="008E2CFD">
        <w:rPr>
          <w:vertAlign w:val="subscript"/>
        </w:rPr>
        <w:t>3</w:t>
      </w:r>
      <w:r w:rsidR="008E2CFD">
        <w:t>)</w:t>
      </w:r>
      <w:r w:rsidR="00B762DE" w:rsidRPr="00B762DE">
        <w:t xml:space="preserve"> w</w:t>
      </w:r>
      <w:r w:rsidR="008E2CFD">
        <w:t> </w:t>
      </w:r>
      <w:r w:rsidR="00B762DE" w:rsidRPr="00B762DE">
        <w:t>Polsce jest rolnictwo. Sektor ten odpowiada za</w:t>
      </w:r>
      <w:r w:rsidR="00B762DE">
        <w:t> </w:t>
      </w:r>
      <w:r w:rsidR="00B762DE" w:rsidRPr="00B762DE">
        <w:t>blisko 96% całkowitej emisji tego zanieczyszczenia. Dominują tu dwa źródła: odchody zwierząt gospodarskich</w:t>
      </w:r>
      <w:r w:rsidR="00B762DE">
        <w:t xml:space="preserve"> </w:t>
      </w:r>
      <w:r w:rsidR="00B762DE" w:rsidRPr="00B762DE">
        <w:t>oraz stosowanie nawozów naturalnych i</w:t>
      </w:r>
      <w:r w:rsidR="008E2CFD">
        <w:t> </w:t>
      </w:r>
      <w:r w:rsidR="00B762DE" w:rsidRPr="00B762DE">
        <w:t>mineralnych na gleby rolne.</w:t>
      </w:r>
      <w:r w:rsidR="00E2727C">
        <w:t xml:space="preserve"> </w:t>
      </w:r>
    </w:p>
    <w:p w14:paraId="5688C5B2" w14:textId="5DB3CD73" w:rsidR="00E45668" w:rsidRPr="007864F4" w:rsidRDefault="007864F4" w:rsidP="00E45668">
      <w:pPr>
        <w:pStyle w:val="Cele"/>
        <w:rPr>
          <w:b/>
          <w:bCs/>
        </w:rPr>
      </w:pPr>
      <w:r w:rsidRPr="007864F4">
        <w:rPr>
          <w:b/>
          <w:bCs/>
        </w:rPr>
        <w:t xml:space="preserve">Polska deklaruje </w:t>
      </w:r>
      <w:r w:rsidR="00125A37">
        <w:rPr>
          <w:b/>
          <w:bCs/>
        </w:rPr>
        <w:t xml:space="preserve">dążenie do </w:t>
      </w:r>
      <w:r w:rsidRPr="007864F4">
        <w:rPr>
          <w:b/>
          <w:bCs/>
        </w:rPr>
        <w:t>ograniczanie zanieczyszczeń atmosferycznych zgodnie z celami określonymi w dyrektywie NEC</w:t>
      </w:r>
      <w:r w:rsidR="00125A37" w:rsidRPr="00125A37">
        <w:t>, choć aktualne prognozy wskazują, że warto</w:t>
      </w:r>
      <w:r w:rsidR="00125A37">
        <w:t>ś</w:t>
      </w:r>
      <w:r w:rsidR="00125A37" w:rsidRPr="00125A37">
        <w:t xml:space="preserve">ci te będą </w:t>
      </w:r>
      <w:r w:rsidR="00871BD2">
        <w:t xml:space="preserve">szczególnie </w:t>
      </w:r>
      <w:r w:rsidR="00125A37" w:rsidRPr="00125A37">
        <w:t>trudne do osiągnięcia</w:t>
      </w:r>
      <w:r w:rsidR="00871BD2">
        <w:t xml:space="preserve"> dla emisji amoniaku po 2030 r</w:t>
      </w:r>
      <w:r w:rsidR="00125A37" w:rsidRPr="00125A37">
        <w:t>.</w:t>
      </w:r>
    </w:p>
    <w:p w14:paraId="55396373" w14:textId="1783C8BA" w:rsidR="00171BB2" w:rsidRDefault="00171BB2" w:rsidP="00E45668">
      <w:r>
        <w:t xml:space="preserve">Wykorzystanie węgla </w:t>
      </w:r>
      <w:r w:rsidR="00125A37">
        <w:t xml:space="preserve">kamiennego </w:t>
      </w:r>
      <w:r>
        <w:t xml:space="preserve">w gospodarstwach domowych </w:t>
      </w:r>
      <w:r w:rsidR="00125A37">
        <w:t xml:space="preserve">do celów grzewczych ma bezpośredni wpływ na jakość powietrza, ale także oddziałuje na potrzeby importu węgla kamiennego oraz wpływa niekorzystanie na efektywność energetyczną gospodarki. Redukcja zużycia węgla kamiennego w kotłach </w:t>
      </w:r>
      <w:r w:rsidR="00125A37">
        <w:lastRenderedPageBreak/>
        <w:t xml:space="preserve">indywidualnych jest </w:t>
      </w:r>
      <w:r w:rsidR="00125A37" w:rsidRPr="00B73410">
        <w:t>zatem najważniejszym działaniem na rzecz poprawy jakości powietrza w Polsce</w:t>
      </w:r>
      <w:r w:rsidR="00125A37">
        <w:t xml:space="preserve">, dlatego określono cel w tym zakresie. Choć aktualne prognozy wskazują, że w 2040 r. w gospodarstwach domowych wykorzystywany będzie węgiel kamienny do celów grzewczych na poziomie ok. </w:t>
      </w:r>
      <w:r w:rsidR="00E2727C">
        <w:t>0,8</w:t>
      </w:r>
      <w:r w:rsidR="00125A37">
        <w:t xml:space="preserve"> mln</w:t>
      </w:r>
      <w:r w:rsidR="00E2727C">
        <w:t xml:space="preserve"> t, ale będzie on wykorzystywany w kotłach zainstalowanych w ostatnich latach, czyli o wysokiej sprawności i niskiej emisyjności.</w:t>
      </w:r>
    </w:p>
    <w:p w14:paraId="472F99EF" w14:textId="0D8EA343" w:rsidR="006065DE" w:rsidRPr="006065DE" w:rsidRDefault="00171BB2" w:rsidP="00D23A28">
      <w:pPr>
        <w:pStyle w:val="Cele"/>
      </w:pPr>
      <w:r w:rsidRPr="00C62D5D">
        <w:rPr>
          <w:b/>
          <w:bCs/>
        </w:rPr>
        <w:t>Polska będzie dążyć do wycofania węgla z gospodarstw domowych do 2040 r., a</w:t>
      </w:r>
      <w:r w:rsidR="00F47A2C">
        <w:rPr>
          <w:b/>
          <w:bCs/>
        </w:rPr>
        <w:t> </w:t>
      </w:r>
      <w:r w:rsidRPr="00C62D5D">
        <w:rPr>
          <w:b/>
          <w:bCs/>
        </w:rPr>
        <w:t>w</w:t>
      </w:r>
      <w:r w:rsidR="00F47A2C">
        <w:rPr>
          <w:b/>
          <w:bCs/>
        </w:rPr>
        <w:t> </w:t>
      </w:r>
      <w:r w:rsidRPr="00C62D5D">
        <w:rPr>
          <w:b/>
          <w:bCs/>
        </w:rPr>
        <w:t>przypadku obszarów miejskich nawet w 2030 r.</w:t>
      </w:r>
      <w:r w:rsidRPr="00C62D5D">
        <w:t xml:space="preserve"> </w:t>
      </w:r>
    </w:p>
    <w:p w14:paraId="585EC346" w14:textId="77777777" w:rsidR="00731619" w:rsidRDefault="00731619" w:rsidP="00313DE1">
      <w:pPr>
        <w:pStyle w:val="Polityka"/>
      </w:pPr>
      <w:r w:rsidRPr="00C46DAA">
        <w:t>POLITYKA</w:t>
      </w:r>
    </w:p>
    <w:p w14:paraId="0ABD45F8" w14:textId="06FA857A" w:rsidR="00125A37" w:rsidRDefault="002E2988" w:rsidP="00702846">
      <w:r w:rsidRPr="00534863">
        <w:t xml:space="preserve">Do realizacji celu </w:t>
      </w:r>
      <w:r>
        <w:t xml:space="preserve">w zakresie poprawy jakości powietrza </w:t>
      </w:r>
      <w:r w:rsidRPr="00534863">
        <w:t xml:space="preserve">przyczyniać się będzie podejmowanie działań związanych </w:t>
      </w:r>
      <w:r>
        <w:t xml:space="preserve">z </w:t>
      </w:r>
      <w:r w:rsidRPr="00534863">
        <w:t>redukcj</w:t>
      </w:r>
      <w:r>
        <w:t>ą</w:t>
      </w:r>
      <w:r w:rsidRPr="00534863">
        <w:t xml:space="preserve"> emisji </w:t>
      </w:r>
      <w:r w:rsidRPr="00B73410">
        <w:t xml:space="preserve">zanieczyszczeń powietrza </w:t>
      </w:r>
      <w:r w:rsidRPr="00534863">
        <w:t>z sektora</w:t>
      </w:r>
      <w:r>
        <w:t xml:space="preserve"> </w:t>
      </w:r>
      <w:r w:rsidRPr="00B73410">
        <w:t xml:space="preserve">ogrzewnictwa indywidualnego gospodarstw domowych, w szczególności poprzez rozwój OZE i zwiększanie efektywności energetycznej, </w:t>
      </w:r>
      <w:r w:rsidRPr="00534863">
        <w:t>transportu</w:t>
      </w:r>
      <w:r>
        <w:t xml:space="preserve"> drogowego,</w:t>
      </w:r>
      <w:r w:rsidRPr="00534863">
        <w:t xml:space="preserve"> </w:t>
      </w:r>
      <w:r w:rsidRPr="00B73410">
        <w:t>dostosowywania norm jakości paliw i instalacji spalania</w:t>
      </w:r>
      <w:r>
        <w:t>, oraz zwiększanie świadomości ekologicznej i edukację społeczeństwa</w:t>
      </w:r>
      <w:r w:rsidR="00125A37" w:rsidRPr="00534863">
        <w:t>.</w:t>
      </w:r>
    </w:p>
    <w:p w14:paraId="03505A5C" w14:textId="1509D36D" w:rsidR="00702846" w:rsidRDefault="00125A37" w:rsidP="00702846">
      <w:pPr>
        <w:rPr>
          <w:b/>
          <w:bCs/>
        </w:rPr>
      </w:pPr>
      <w:r>
        <w:t>D</w:t>
      </w:r>
      <w:r w:rsidRPr="00534863">
        <w:t xml:space="preserve">ziałania </w:t>
      </w:r>
      <w:r>
        <w:t xml:space="preserve">będą ukierunkowane w szczególności </w:t>
      </w:r>
      <w:r w:rsidRPr="00534863">
        <w:t>na strefy</w:t>
      </w:r>
      <w:r>
        <w:t>, w których</w:t>
      </w:r>
      <w:r w:rsidRPr="00534863">
        <w:t xml:space="preserve"> przekr</w:t>
      </w:r>
      <w:r>
        <w:t>a</w:t>
      </w:r>
      <w:r w:rsidRPr="00534863">
        <w:t>c</w:t>
      </w:r>
      <w:r>
        <w:t xml:space="preserve">zane są poziomy dopuszczalne </w:t>
      </w:r>
      <w:r w:rsidRPr="00534863">
        <w:t>pyłu</w:t>
      </w:r>
      <w:r w:rsidRPr="00B73410">
        <w:t xml:space="preserve"> zawieszonego PM10 i PM2,5 oraz dwutlenku azotu</w:t>
      </w:r>
      <w:r>
        <w:t xml:space="preserve">, </w:t>
      </w:r>
      <w:r w:rsidRPr="00B73410">
        <w:t>poziomu docelowego benzo(a)pirenu</w:t>
      </w:r>
      <w:r>
        <w:t xml:space="preserve">. Ponadto dążyć się będzie do </w:t>
      </w:r>
      <w:r w:rsidRPr="00125A37">
        <w:rPr>
          <w:b/>
          <w:bCs/>
        </w:rPr>
        <w:t>zwiększania liczby aglomeracji i miast powyżej 100 tys. mieszkańców</w:t>
      </w:r>
      <w:r w:rsidRPr="00C62D5D">
        <w:t xml:space="preserve">, w których wartość wskaźnika średniego narażenia </w:t>
      </w:r>
      <w:r w:rsidRPr="00B73410">
        <w:t xml:space="preserve">na pył PM2,5 </w:t>
      </w:r>
      <w:r w:rsidRPr="00125A37">
        <w:rPr>
          <w:b/>
          <w:bCs/>
        </w:rPr>
        <w:t>nie przekracza pułapu stężenia ekspozycj</w:t>
      </w:r>
      <w:r w:rsidRPr="00C62D5D">
        <w:t xml:space="preserve">i na poziomie 20 </w:t>
      </w:r>
      <w:r w:rsidRPr="00C62D5D">
        <w:rPr>
          <w:rFonts w:ascii="Calibri" w:hAnsi="Calibri" w:cs="Calibri"/>
        </w:rPr>
        <w:t>μ</w:t>
      </w:r>
      <w:r w:rsidRPr="00C62D5D">
        <w:t>g/m</w:t>
      </w:r>
      <w:r w:rsidRPr="00C62D5D">
        <w:rPr>
          <w:vertAlign w:val="superscript"/>
        </w:rPr>
        <w:t>3</w:t>
      </w:r>
      <w:r>
        <w:t xml:space="preserve"> – w 2022 r. takich aglomeracji było 25, a zgodnie z celem </w:t>
      </w:r>
      <w:r w:rsidR="00287516">
        <w:t xml:space="preserve">określonym w </w:t>
      </w:r>
      <w:r w:rsidR="00287516">
        <w:rPr>
          <w:i/>
          <w:iCs/>
        </w:rPr>
        <w:t xml:space="preserve">Polityce Ekologicznej Państwa 2030 </w:t>
      </w:r>
      <w:r w:rsidR="00287516" w:rsidRPr="00287516">
        <w:t>(</w:t>
      </w:r>
      <w:hyperlink r:id="rId60" w:history="1">
        <w:r w:rsidR="00287516" w:rsidRPr="00287516">
          <w:rPr>
            <w:rStyle w:val="Hipercze"/>
          </w:rPr>
          <w:t>link</w:t>
        </w:r>
      </w:hyperlink>
      <w:r w:rsidR="00287516" w:rsidRPr="00287516">
        <w:t>)</w:t>
      </w:r>
      <w:r w:rsidR="00287516">
        <w:rPr>
          <w:i/>
          <w:iCs/>
        </w:rPr>
        <w:t xml:space="preserve"> – </w:t>
      </w:r>
      <w:r w:rsidR="00287516" w:rsidRPr="00287516">
        <w:t>do 2030 r.</w:t>
      </w:r>
      <w:r>
        <w:t xml:space="preserve"> ma ich być przynajmniej 30. </w:t>
      </w:r>
      <w:r w:rsidR="00287516">
        <w:t xml:space="preserve">Natomiast </w:t>
      </w:r>
      <w:r>
        <w:t xml:space="preserve"> </w:t>
      </w:r>
      <w:r w:rsidR="00287516">
        <w:t xml:space="preserve">działania określone w </w:t>
      </w:r>
      <w:r w:rsidRPr="00287516">
        <w:rPr>
          <w:i/>
          <w:iCs/>
        </w:rPr>
        <w:t>Aktualizacj</w:t>
      </w:r>
      <w:r w:rsidR="00287516">
        <w:rPr>
          <w:i/>
          <w:iCs/>
        </w:rPr>
        <w:t>i</w:t>
      </w:r>
      <w:r w:rsidRPr="00287516">
        <w:rPr>
          <w:i/>
          <w:iCs/>
        </w:rPr>
        <w:t xml:space="preserve"> Krajowego Programu Ochrony Powietrza do 2025 r. (z perspektywą do 2030</w:t>
      </w:r>
      <w:r w:rsidR="00287516">
        <w:rPr>
          <w:i/>
          <w:iCs/>
        </w:rPr>
        <w:t> </w:t>
      </w:r>
      <w:r w:rsidRPr="00287516">
        <w:rPr>
          <w:i/>
          <w:iCs/>
        </w:rPr>
        <w:t>r. oraz do 2040 r.)</w:t>
      </w:r>
      <w:r>
        <w:t xml:space="preserve"> </w:t>
      </w:r>
      <w:r w:rsidR="00287516">
        <w:t xml:space="preserve">mają prowadzić do tego, aby </w:t>
      </w:r>
      <w:r w:rsidRPr="00287516">
        <w:rPr>
          <w:b/>
          <w:bCs/>
        </w:rPr>
        <w:t>w 2030 r. w Polsce nie b</w:t>
      </w:r>
      <w:r w:rsidR="00287516" w:rsidRPr="00287516">
        <w:rPr>
          <w:b/>
          <w:bCs/>
        </w:rPr>
        <w:t>yło</w:t>
      </w:r>
      <w:r w:rsidRPr="00287516">
        <w:rPr>
          <w:b/>
          <w:bCs/>
        </w:rPr>
        <w:t xml:space="preserve"> stref, w których występują obszary narażenia ludności na negatywne skutki zanieczyszczenia powietrza</w:t>
      </w:r>
      <w:r>
        <w:t xml:space="preserve"> </w:t>
      </w:r>
      <w:r w:rsidRPr="00287516">
        <w:rPr>
          <w:b/>
          <w:bCs/>
        </w:rPr>
        <w:t>spowodowan</w:t>
      </w:r>
      <w:r w:rsidR="007F24C7">
        <w:rPr>
          <w:b/>
          <w:bCs/>
        </w:rPr>
        <w:t>e</w:t>
      </w:r>
      <w:r w:rsidRPr="00287516">
        <w:rPr>
          <w:b/>
          <w:bCs/>
        </w:rPr>
        <w:t xml:space="preserve"> przekroczeniami norm jakości powietrza pyłem PM10 i PM2,5.</w:t>
      </w:r>
    </w:p>
    <w:p w14:paraId="3F468ABD" w14:textId="3511621E" w:rsidR="00C841D2" w:rsidRDefault="00C841D2" w:rsidP="00702846">
      <w:r>
        <w:t>Ogromną rolę w poprawie jakości powietrza odegra</w:t>
      </w:r>
      <w:r w:rsidR="00EC30E6">
        <w:t>ją działania skupione na wymianie przestarzałych pieców węglowych i termomodernizacji budynków, które mają priorytetowe znaczenie w ramach programów wsparcia finansowego realizowanego przez Narodowy Fundusz Ochorny Środowiska i Gospodarki Wodnej, w szczególności – Czyste Powietrze, Moje ciepło, Ciepłownictwo Powiatowe itp.</w:t>
      </w:r>
    </w:p>
    <w:p w14:paraId="53DFDB6E" w14:textId="3E78E719" w:rsidR="00C841D2" w:rsidRPr="00C841D2" w:rsidRDefault="00C841D2" w:rsidP="00702846">
      <w:r w:rsidRPr="00C841D2">
        <w:t xml:space="preserve">Ponadto zostanie wprowadzony obowiązek tworzenia </w:t>
      </w:r>
      <w:r>
        <w:rPr>
          <w:i/>
          <w:iCs/>
        </w:rPr>
        <w:t>s</w:t>
      </w:r>
      <w:r w:rsidRPr="00C841D2">
        <w:rPr>
          <w:i/>
          <w:iCs/>
        </w:rPr>
        <w:t xml:space="preserve">tref </w:t>
      </w:r>
      <w:r>
        <w:rPr>
          <w:i/>
          <w:iCs/>
        </w:rPr>
        <w:t>c</w:t>
      </w:r>
      <w:r w:rsidRPr="00C841D2">
        <w:rPr>
          <w:i/>
          <w:iCs/>
        </w:rPr>
        <w:t xml:space="preserve">zystego </w:t>
      </w:r>
      <w:r>
        <w:rPr>
          <w:i/>
          <w:iCs/>
        </w:rPr>
        <w:t>t</w:t>
      </w:r>
      <w:r w:rsidRPr="00C841D2">
        <w:rPr>
          <w:i/>
          <w:iCs/>
        </w:rPr>
        <w:t>ransportu</w:t>
      </w:r>
      <w:r w:rsidRPr="00C841D2">
        <w:t xml:space="preserve"> w miastach powyżej 100 tys. mieszkańców, w których zgodnie z danymi </w:t>
      </w:r>
      <w:r>
        <w:t>Głównego Inspektoratu Ochrony Środowiska</w:t>
      </w:r>
      <w:r w:rsidRPr="00C841D2">
        <w:t xml:space="preserve"> GIOŚ odnotowano przekroczenie dopuszczalnego średniorocznego poziomu dwutlenku azotu (NO2). Działanie to przyczyni się do poprawy jakości powietrza poprzez redukcję emisji pochodzących z transportu. Należy podkreślić, że redukcja poziomu zanieczyszczeń pyłu zawieszonego (PM2.5) oraz dwutlenku azotu (NO2) ma istotne znaczenie dla poprawy zdrowia publicznego i jakości życia w miastach. Dodatkowo w wyniku wprowadzenia stref ograniczony zostanie negatywny wpływ hałasu emitowanego przez silniki spalinowe, który jest szczególnie uciążliwy na obszarach gęstej zabudowy miejskiej.</w:t>
      </w:r>
    </w:p>
    <w:p w14:paraId="09D3F9C8" w14:textId="35B84191" w:rsidR="00287516" w:rsidRDefault="00287516" w:rsidP="00287516">
      <w:r>
        <w:t xml:space="preserve">Dodatkowo w związku z finalizacją prac legislacyjnych na poziomie unijnym nad projektem </w:t>
      </w:r>
      <w:r w:rsidRPr="00287516">
        <w:rPr>
          <w:i/>
          <w:iCs/>
        </w:rPr>
        <w:t>dyrektywy w sprawie jakości powietrza i czystszego powietrza dla Europy</w:t>
      </w:r>
      <w:r>
        <w:t xml:space="preserve">, koniecznym będzie zintensyfikowanie wysiłków w celu przygotowania nowych, dodatkowych rozwiązań, które przyspieszą tempo poprawy jakości powietrza w Polsce, tak aby możliwe było osiągnięcie celów projektowanej dyrektywy. Aktualny kształt projektu dyrektywy w sprawie jakości powietrza będzie </w:t>
      </w:r>
      <w:r w:rsidR="00F715B1">
        <w:t xml:space="preserve">generował </w:t>
      </w:r>
      <w:r>
        <w:t xml:space="preserve">bardzo dużo zadań do realizacji nie tylko przez administrację rządową, służby </w:t>
      </w:r>
      <w:r w:rsidR="00C841D2">
        <w:t>GIOŚ</w:t>
      </w:r>
      <w:r>
        <w:t xml:space="preserve">, </w:t>
      </w:r>
      <w:r w:rsidR="00C63D9B">
        <w:t>ale</w:t>
      </w:r>
      <w:r>
        <w:t xml:space="preserve"> też </w:t>
      </w:r>
      <w:r w:rsidR="00C63D9B">
        <w:t xml:space="preserve">różne </w:t>
      </w:r>
      <w:r w:rsidR="00C63D9B" w:rsidRPr="00C63D9B">
        <w:t>rodzaje jednostek samorządu terytorialnego</w:t>
      </w:r>
      <w:r>
        <w:t xml:space="preserve">. </w:t>
      </w:r>
    </w:p>
    <w:p w14:paraId="5ABFC959" w14:textId="79EAB27B" w:rsidR="008C777C" w:rsidRDefault="008C777C" w:rsidP="00287516">
      <w:r w:rsidRPr="008C777C">
        <w:t>W sektorze rolnictwa działania na rzecz ograniczenia emisji amoniaku obejmują wdrażanie</w:t>
      </w:r>
      <w:r w:rsidR="002D6A5A">
        <w:t xml:space="preserve"> </w:t>
      </w:r>
      <w:r w:rsidR="002D6A5A" w:rsidRPr="002D6A5A">
        <w:rPr>
          <w:i/>
          <w:iCs/>
        </w:rPr>
        <w:t>Programu działań mających na celu zmniejszenie zanieczyszczenia wód azotanami pochodzącymi ze źródeł rolniczych oraz zapobieganie dalszemu zanieczyszczeniu</w:t>
      </w:r>
      <w:r w:rsidR="002D6A5A">
        <w:t>,</w:t>
      </w:r>
      <w:r w:rsidR="002D6A5A" w:rsidRPr="002D6A5A">
        <w:t xml:space="preserve"> </w:t>
      </w:r>
      <w:r w:rsidRPr="008C777C">
        <w:t>tzw. programu azotanowego</w:t>
      </w:r>
      <w:r w:rsidR="002D6A5A">
        <w:t xml:space="preserve"> (</w:t>
      </w:r>
      <w:hyperlink r:id="rId61" w:history="1">
        <w:r w:rsidR="002D6A5A" w:rsidRPr="002D6A5A">
          <w:rPr>
            <w:rStyle w:val="Hipercze"/>
          </w:rPr>
          <w:t>link</w:t>
        </w:r>
      </w:hyperlink>
      <w:r w:rsidR="002D6A5A">
        <w:t>)</w:t>
      </w:r>
      <w:r w:rsidRPr="008C777C">
        <w:t xml:space="preserve"> i przepisów ustawy o nawozach i nawożeniu, które regulują zasady stosowania nawozów azotowych. Dobre praktyki rolne w zakresie </w:t>
      </w:r>
      <w:r w:rsidRPr="008C777C">
        <w:lastRenderedPageBreak/>
        <w:t>nawożenia promowane są poprzez przygotowanie i</w:t>
      </w:r>
      <w:r w:rsidR="00F47A2C">
        <w:t> </w:t>
      </w:r>
      <w:r w:rsidRPr="008C777C">
        <w:t>upowszechnianie Kodeksu dobrej praktyki rolniczej. Ponadto, wsparcie praktyk wpływających m.in. na</w:t>
      </w:r>
      <w:r>
        <w:t> </w:t>
      </w:r>
      <w:r w:rsidRPr="008C777C">
        <w:t>redukcje emisji zanieczyszczeń powietrza realizowane jest w ramach Planu Strategicznego WPR na</w:t>
      </w:r>
      <w:r>
        <w:t> </w:t>
      </w:r>
      <w:r w:rsidRPr="008C777C">
        <w:t xml:space="preserve">lata 2023-2027. </w:t>
      </w:r>
    </w:p>
    <w:p w14:paraId="0485CC15" w14:textId="0671E736" w:rsidR="008C777C" w:rsidRDefault="008C777C" w:rsidP="00287516">
      <w:r w:rsidRPr="00287516">
        <w:rPr>
          <w:b/>
          <w:bCs/>
        </w:rPr>
        <w:t>Największy wpływ na realne osiągnięcie nowych celów w zakresie jakości powietrza będą mieć jednak obywatele</w:t>
      </w:r>
      <w:r>
        <w:t>, ponieważ to od ich zachowań i działań w obszarze sektora ogrzewania mieszkalnictwa oraz transportu drogowego będzie zależeć, czy Polska sprosta do 2030 r. wyzwaniom stawianym w nowej dyrektywie. Szczególną zachętą dla obywateli będą istniejące i modyfikowane finansowe programy wsparcia, a obok regulacji dużą rolę odegra również edukacja.</w:t>
      </w:r>
    </w:p>
    <w:p w14:paraId="42CAD158" w14:textId="14B51E19" w:rsidR="00731619" w:rsidRPr="00C46DAA" w:rsidRDefault="00731619" w:rsidP="00313DE1">
      <w:pPr>
        <w:pStyle w:val="Polityka"/>
      </w:pPr>
      <w:r w:rsidRPr="00C46DAA">
        <w:t>DZIAŁANIA:</w:t>
      </w:r>
    </w:p>
    <w:p w14:paraId="0974CF2B" w14:textId="45FD8D47" w:rsidR="00EB5997" w:rsidRDefault="00EB5997" w:rsidP="008340D5">
      <w:pPr>
        <w:pStyle w:val="Akapitzlist"/>
        <w:numPr>
          <w:ilvl w:val="0"/>
          <w:numId w:val="6"/>
        </w:numPr>
        <w:rPr>
          <w:szCs w:val="20"/>
        </w:rPr>
      </w:pPr>
      <w:r>
        <w:rPr>
          <w:szCs w:val="20"/>
        </w:rPr>
        <w:fldChar w:fldCharType="begin"/>
      </w:r>
      <w:r>
        <w:rPr>
          <w:szCs w:val="20"/>
        </w:rPr>
        <w:instrText xml:space="preserve"> REF _Ref157422636 \h </w:instrText>
      </w:r>
      <w:r>
        <w:rPr>
          <w:szCs w:val="20"/>
        </w:rPr>
      </w:r>
      <w:r>
        <w:rPr>
          <w:szCs w:val="20"/>
        </w:rPr>
        <w:fldChar w:fldCharType="separate"/>
      </w:r>
      <w:r w:rsidR="00DD3929" w:rsidRPr="00F12C9E">
        <w:t xml:space="preserve">Działanie </w:t>
      </w:r>
      <w:r w:rsidR="00DD3929">
        <w:rPr>
          <w:noProof/>
        </w:rPr>
        <w:t>22</w:t>
      </w:r>
      <w:r w:rsidR="00DD3929" w:rsidRPr="00F12C9E">
        <w:t>. Instrument finansowy – Program Priorytetowy NFOŚiGW – „Moje ciepło”.</w:t>
      </w:r>
      <w:r>
        <w:rPr>
          <w:szCs w:val="20"/>
        </w:rPr>
        <w:fldChar w:fldCharType="end"/>
      </w:r>
    </w:p>
    <w:p w14:paraId="516525BF" w14:textId="1BD76700" w:rsidR="00EB5997" w:rsidRDefault="00EB5997" w:rsidP="008340D5">
      <w:pPr>
        <w:pStyle w:val="Akapitzlist"/>
        <w:numPr>
          <w:ilvl w:val="0"/>
          <w:numId w:val="6"/>
        </w:numPr>
        <w:rPr>
          <w:szCs w:val="20"/>
        </w:rPr>
      </w:pPr>
      <w:r>
        <w:rPr>
          <w:szCs w:val="20"/>
        </w:rPr>
        <w:fldChar w:fldCharType="begin"/>
      </w:r>
      <w:r>
        <w:rPr>
          <w:szCs w:val="20"/>
        </w:rPr>
        <w:instrText xml:space="preserve"> REF _Ref157420374 \h </w:instrText>
      </w:r>
      <w:r>
        <w:rPr>
          <w:szCs w:val="20"/>
        </w:rPr>
      </w:r>
      <w:r>
        <w:rPr>
          <w:szCs w:val="20"/>
        </w:rPr>
        <w:fldChar w:fldCharType="separate"/>
      </w:r>
      <w:r w:rsidR="00DD3929" w:rsidRPr="00F12C9E">
        <w:t xml:space="preserve">Działanie </w:t>
      </w:r>
      <w:r w:rsidR="00DD3929">
        <w:rPr>
          <w:noProof/>
        </w:rPr>
        <w:t>23</w:t>
      </w:r>
      <w:r w:rsidR="00DD3929" w:rsidRPr="00F12C9E">
        <w:t>. Instrument finansowy – Program Priorytetowy NFOŚiGW – „Czyste Powietrze</w:t>
      </w:r>
      <w:r w:rsidR="00DD3929">
        <w:t>”</w:t>
      </w:r>
      <w:r w:rsidR="00DD3929" w:rsidRPr="00F12C9E">
        <w:t>.</w:t>
      </w:r>
      <w:r>
        <w:rPr>
          <w:szCs w:val="20"/>
        </w:rPr>
        <w:fldChar w:fldCharType="end"/>
      </w:r>
    </w:p>
    <w:p w14:paraId="06ADEA55" w14:textId="10A995FB" w:rsidR="00EB5997" w:rsidRDefault="00EB5997" w:rsidP="008340D5">
      <w:pPr>
        <w:pStyle w:val="Akapitzlist"/>
        <w:numPr>
          <w:ilvl w:val="0"/>
          <w:numId w:val="6"/>
        </w:numPr>
        <w:rPr>
          <w:szCs w:val="20"/>
        </w:rPr>
      </w:pPr>
      <w:r>
        <w:rPr>
          <w:szCs w:val="20"/>
        </w:rPr>
        <w:fldChar w:fldCharType="begin"/>
      </w:r>
      <w:r>
        <w:rPr>
          <w:szCs w:val="20"/>
        </w:rPr>
        <w:instrText xml:space="preserve"> REF _Ref159355233 \h </w:instrText>
      </w:r>
      <w:r>
        <w:rPr>
          <w:szCs w:val="20"/>
        </w:rPr>
      </w:r>
      <w:r>
        <w:rPr>
          <w:szCs w:val="20"/>
        </w:rPr>
        <w:fldChar w:fldCharType="separate"/>
      </w:r>
      <w:r w:rsidR="00DD3929">
        <w:t xml:space="preserve">Działanie </w:t>
      </w:r>
      <w:r w:rsidR="00DD3929">
        <w:rPr>
          <w:noProof/>
        </w:rPr>
        <w:t>24</w:t>
      </w:r>
      <w:r w:rsidR="00DD3929">
        <w:t>. Instrument finansowy – Program Priorytetowy NFOŚiGW – „Stop Smog”</w:t>
      </w:r>
      <w:r w:rsidR="00DD3929">
        <w:rPr>
          <w:noProof/>
        </w:rPr>
        <w:t>.</w:t>
      </w:r>
      <w:r>
        <w:rPr>
          <w:szCs w:val="20"/>
        </w:rPr>
        <w:fldChar w:fldCharType="end"/>
      </w:r>
    </w:p>
    <w:p w14:paraId="5B61F36F" w14:textId="6E2D271E" w:rsidR="00EB5997" w:rsidRDefault="00EB5997" w:rsidP="008340D5">
      <w:pPr>
        <w:pStyle w:val="Akapitzlist"/>
        <w:numPr>
          <w:ilvl w:val="0"/>
          <w:numId w:val="6"/>
        </w:numPr>
        <w:rPr>
          <w:szCs w:val="20"/>
        </w:rPr>
      </w:pPr>
      <w:r>
        <w:rPr>
          <w:szCs w:val="20"/>
        </w:rPr>
        <w:fldChar w:fldCharType="begin"/>
      </w:r>
      <w:r>
        <w:rPr>
          <w:szCs w:val="20"/>
        </w:rPr>
        <w:instrText xml:space="preserve"> REF _Ref157422650 \h </w:instrText>
      </w:r>
      <w:r>
        <w:rPr>
          <w:szCs w:val="20"/>
        </w:rPr>
      </w:r>
      <w:r>
        <w:rPr>
          <w:szCs w:val="20"/>
        </w:rPr>
        <w:fldChar w:fldCharType="separate"/>
      </w:r>
      <w:r w:rsidR="00DD3929" w:rsidRPr="00F12C9E">
        <w:t xml:space="preserve">Działanie </w:t>
      </w:r>
      <w:r w:rsidR="00DD3929">
        <w:rPr>
          <w:noProof/>
        </w:rPr>
        <w:t>25</w:t>
      </w:r>
      <w:r w:rsidR="00DD3929" w:rsidRPr="00F12C9E">
        <w:t xml:space="preserve">. Instrument finansowy – Program Priorytetowy NFOŚiGW </w:t>
      </w:r>
      <w:r w:rsidR="00DD3929">
        <w:t>– „</w:t>
      </w:r>
      <w:r w:rsidR="00DD3929" w:rsidRPr="00F12C9E">
        <w:t>Ciepłe Mieszkanie</w:t>
      </w:r>
      <w:r w:rsidR="00DD3929">
        <w:t>”</w:t>
      </w:r>
      <w:r w:rsidR="00DD3929" w:rsidRPr="00F12C9E">
        <w:t>.</w:t>
      </w:r>
      <w:r>
        <w:rPr>
          <w:szCs w:val="20"/>
        </w:rPr>
        <w:fldChar w:fldCharType="end"/>
      </w:r>
    </w:p>
    <w:p w14:paraId="3EA0DF1A" w14:textId="69EB2B2D" w:rsidR="00411856" w:rsidRDefault="00411856" w:rsidP="008340D5">
      <w:pPr>
        <w:pStyle w:val="Akapitzlist"/>
        <w:numPr>
          <w:ilvl w:val="0"/>
          <w:numId w:val="6"/>
        </w:numPr>
      </w:pPr>
      <w:r>
        <w:fldChar w:fldCharType="begin"/>
      </w:r>
      <w:r>
        <w:instrText xml:space="preserve"> REF _Ref157424740 \h </w:instrText>
      </w:r>
      <w:r>
        <w:fldChar w:fldCharType="separate"/>
      </w:r>
      <w:r w:rsidR="00DD3929" w:rsidRPr="00F12C9E">
        <w:t xml:space="preserve">Działanie </w:t>
      </w:r>
      <w:r w:rsidR="00DD3929">
        <w:rPr>
          <w:noProof/>
        </w:rPr>
        <w:t>34</w:t>
      </w:r>
      <w:r w:rsidR="00DD3929" w:rsidRPr="00F12C9E">
        <w:t>. Utworzenie stref czystego transportu.</w:t>
      </w:r>
      <w:r>
        <w:fldChar w:fldCharType="end"/>
      </w:r>
      <w:r>
        <w:t xml:space="preserve"> </w:t>
      </w:r>
    </w:p>
    <w:p w14:paraId="60E139E6" w14:textId="38641EB6" w:rsidR="00411856" w:rsidRDefault="00411856" w:rsidP="008340D5">
      <w:pPr>
        <w:pStyle w:val="Akapitzlist"/>
        <w:numPr>
          <w:ilvl w:val="0"/>
          <w:numId w:val="6"/>
        </w:numPr>
      </w:pPr>
      <w:r>
        <w:fldChar w:fldCharType="begin"/>
      </w:r>
      <w:r>
        <w:instrText xml:space="preserve"> REF _Ref157424755 \h </w:instrText>
      </w:r>
      <w:r>
        <w:fldChar w:fldCharType="separate"/>
      </w:r>
      <w:r w:rsidR="00DD3929" w:rsidRPr="00F12C9E">
        <w:t xml:space="preserve">Działanie </w:t>
      </w:r>
      <w:r w:rsidR="00DD3929">
        <w:rPr>
          <w:noProof/>
        </w:rPr>
        <w:t>36</w:t>
      </w:r>
      <w:r w:rsidR="00DD3929" w:rsidRPr="00F12C9E">
        <w:t>. Instrument</w:t>
      </w:r>
      <w:r w:rsidR="00DD3929">
        <w:t>y</w:t>
      </w:r>
      <w:r w:rsidR="00DD3929" w:rsidRPr="00F12C9E">
        <w:t xml:space="preserve"> finansow</w:t>
      </w:r>
      <w:r w:rsidR="00DD3929">
        <w:t>ego</w:t>
      </w:r>
      <w:r w:rsidR="00DD3929" w:rsidRPr="00F12C9E">
        <w:t xml:space="preserve"> wsparci</w:t>
      </w:r>
      <w:r w:rsidR="00DD3929">
        <w:t>a</w:t>
      </w:r>
      <w:r w:rsidR="00DD3929" w:rsidRPr="00F12C9E">
        <w:t xml:space="preserve"> elektromobilności.</w:t>
      </w:r>
      <w:r>
        <w:fldChar w:fldCharType="end"/>
      </w:r>
      <w:r>
        <w:t xml:space="preserve"> </w:t>
      </w:r>
    </w:p>
    <w:p w14:paraId="6FB802E2" w14:textId="310460C5" w:rsidR="00411856" w:rsidRDefault="00411856" w:rsidP="008340D5">
      <w:pPr>
        <w:pStyle w:val="Akapitzlist"/>
        <w:numPr>
          <w:ilvl w:val="0"/>
          <w:numId w:val="6"/>
        </w:numPr>
      </w:pPr>
      <w:r>
        <w:fldChar w:fldCharType="begin"/>
      </w:r>
      <w:r>
        <w:instrText xml:space="preserve"> REF _Ref159236917 \h </w:instrText>
      </w:r>
      <w:r>
        <w:fldChar w:fldCharType="separate"/>
      </w:r>
      <w:r w:rsidR="00DD3929" w:rsidRPr="00F12C9E">
        <w:t xml:space="preserve">Działanie </w:t>
      </w:r>
      <w:r w:rsidR="00DD3929">
        <w:rPr>
          <w:noProof/>
        </w:rPr>
        <w:t>37</w:t>
      </w:r>
      <w:r w:rsidR="00DD3929" w:rsidRPr="00F12C9E">
        <w:t>. Instrument</w:t>
      </w:r>
      <w:r w:rsidR="00DD3929">
        <w:t>y</w:t>
      </w:r>
      <w:r w:rsidR="00DD3929" w:rsidRPr="00F12C9E">
        <w:t xml:space="preserve"> </w:t>
      </w:r>
      <w:r w:rsidR="00DD3929">
        <w:t>poza</w:t>
      </w:r>
      <w:r w:rsidR="00DD3929" w:rsidRPr="00F12C9E">
        <w:t>finansow</w:t>
      </w:r>
      <w:r w:rsidR="00DD3929">
        <w:t>ego</w:t>
      </w:r>
      <w:r w:rsidR="00DD3929" w:rsidRPr="00F12C9E">
        <w:t xml:space="preserve"> wsparci</w:t>
      </w:r>
      <w:r w:rsidR="00DD3929">
        <w:t>a</w:t>
      </w:r>
      <w:r w:rsidR="00DD3929" w:rsidRPr="00F12C9E">
        <w:t xml:space="preserve"> elektromobilności</w:t>
      </w:r>
      <w:r w:rsidR="00DD3929">
        <w:t>.</w:t>
      </w:r>
      <w:r>
        <w:fldChar w:fldCharType="end"/>
      </w:r>
      <w:r>
        <w:t xml:space="preserve"> </w:t>
      </w:r>
    </w:p>
    <w:p w14:paraId="0818DB83" w14:textId="599274EE" w:rsidR="00411856" w:rsidRDefault="00411856" w:rsidP="008340D5">
      <w:pPr>
        <w:pStyle w:val="Akapitzlist"/>
        <w:numPr>
          <w:ilvl w:val="0"/>
          <w:numId w:val="6"/>
        </w:numPr>
      </w:pPr>
      <w:r>
        <w:fldChar w:fldCharType="begin"/>
      </w:r>
      <w:r>
        <w:instrText xml:space="preserve"> REF _Ref157424782 \h </w:instrText>
      </w:r>
      <w:r>
        <w:fldChar w:fldCharType="separate"/>
      </w:r>
      <w:r w:rsidR="00DD3929" w:rsidRPr="00F12C9E">
        <w:t xml:space="preserve">Działanie </w:t>
      </w:r>
      <w:r w:rsidR="00DD3929">
        <w:rPr>
          <w:noProof/>
        </w:rPr>
        <w:t>38</w:t>
      </w:r>
      <w:r w:rsidR="00DD3929" w:rsidRPr="00F12C9E">
        <w:t>. Rozwój infrastruktury do ładowania pojazdów elektrycznych.</w:t>
      </w:r>
      <w:r>
        <w:fldChar w:fldCharType="end"/>
      </w:r>
    </w:p>
    <w:p w14:paraId="211F0A90" w14:textId="23F8CF60" w:rsidR="00EB5997" w:rsidRPr="00EB5997" w:rsidRDefault="00EB5997" w:rsidP="008340D5">
      <w:pPr>
        <w:pStyle w:val="Akapitzlist"/>
        <w:numPr>
          <w:ilvl w:val="0"/>
          <w:numId w:val="6"/>
        </w:numPr>
      </w:pPr>
      <w:r w:rsidRPr="00EB5997">
        <w:fldChar w:fldCharType="begin"/>
      </w:r>
      <w:r w:rsidRPr="00EB5997">
        <w:instrText xml:space="preserve"> REF _Ref157425039 \h </w:instrText>
      </w:r>
      <w:r>
        <w:instrText xml:space="preserve"> \* MERGEFORMAT </w:instrText>
      </w:r>
      <w:r w:rsidRPr="00EB5997">
        <w:fldChar w:fldCharType="separate"/>
      </w:r>
      <w:r w:rsidR="00DD3929" w:rsidRPr="00DD3929">
        <w:t>Działanie 41. Budowanie świadomości – kształtowanie prośrodowiskowych postaw kierowców.</w:t>
      </w:r>
      <w:r w:rsidRPr="00EB5997">
        <w:fldChar w:fldCharType="end"/>
      </w:r>
    </w:p>
    <w:p w14:paraId="5D675349" w14:textId="1542A2C0" w:rsidR="00EB5997" w:rsidRDefault="00EB5997" w:rsidP="008340D5">
      <w:pPr>
        <w:pStyle w:val="Akapitzlist"/>
        <w:numPr>
          <w:ilvl w:val="0"/>
          <w:numId w:val="6"/>
        </w:numPr>
        <w:rPr>
          <w:szCs w:val="20"/>
        </w:rPr>
      </w:pPr>
      <w:r>
        <w:rPr>
          <w:szCs w:val="20"/>
        </w:rPr>
        <w:fldChar w:fldCharType="begin"/>
      </w:r>
      <w:r>
        <w:rPr>
          <w:szCs w:val="20"/>
        </w:rPr>
        <w:instrText xml:space="preserve"> REF _Ref157429493 \h </w:instrText>
      </w:r>
      <w:r>
        <w:rPr>
          <w:szCs w:val="20"/>
        </w:rPr>
      </w:r>
      <w:r>
        <w:rPr>
          <w:szCs w:val="20"/>
        </w:rPr>
        <w:fldChar w:fldCharType="separate"/>
      </w:r>
      <w:r w:rsidR="00DD3929" w:rsidRPr="00F12C9E">
        <w:t xml:space="preserve">Działanie </w:t>
      </w:r>
      <w:r w:rsidR="00DD3929">
        <w:rPr>
          <w:noProof/>
        </w:rPr>
        <w:t>54</w:t>
      </w:r>
      <w:r w:rsidR="00DD3929" w:rsidRPr="00F12C9E">
        <w:t>. Ograniczanie stosowania fluorowanych gazów cieplarnianych.</w:t>
      </w:r>
      <w:r>
        <w:rPr>
          <w:szCs w:val="20"/>
        </w:rPr>
        <w:fldChar w:fldCharType="end"/>
      </w:r>
    </w:p>
    <w:p w14:paraId="46EC750C" w14:textId="4363A4A0" w:rsidR="00E92903" w:rsidRDefault="00E92903" w:rsidP="00E92903">
      <w:pPr>
        <w:pStyle w:val="Akapitzlist"/>
        <w:numPr>
          <w:ilvl w:val="0"/>
          <w:numId w:val="6"/>
        </w:numPr>
        <w:rPr>
          <w:szCs w:val="20"/>
        </w:rPr>
      </w:pPr>
      <w:r>
        <w:rPr>
          <w:szCs w:val="20"/>
        </w:rPr>
        <w:fldChar w:fldCharType="begin"/>
      </w:r>
      <w:r>
        <w:rPr>
          <w:szCs w:val="20"/>
        </w:rPr>
        <w:instrText xml:space="preserve"> REF _Ref159930533 \h </w:instrText>
      </w:r>
      <w:r>
        <w:rPr>
          <w:szCs w:val="20"/>
        </w:rPr>
      </w:r>
      <w:r>
        <w:rPr>
          <w:szCs w:val="20"/>
        </w:rPr>
        <w:fldChar w:fldCharType="separate"/>
      </w:r>
      <w:r w:rsidR="00DD3929" w:rsidRPr="00D9493F">
        <w:t xml:space="preserve">Działanie </w:t>
      </w:r>
      <w:r w:rsidR="00DD3929">
        <w:rPr>
          <w:noProof/>
        </w:rPr>
        <w:t>55</w:t>
      </w:r>
      <w:r w:rsidR="00DD3929" w:rsidRPr="00D9493F">
        <w:t>.</w:t>
      </w:r>
      <w:r w:rsidR="00DD3929">
        <w:t xml:space="preserve"> Stosowanie w</w:t>
      </w:r>
      <w:r w:rsidR="00DD3929" w:rsidRPr="00D9493F">
        <w:t>arunkowoś</w:t>
      </w:r>
      <w:r w:rsidR="00DD3929">
        <w:t>ci</w:t>
      </w:r>
      <w:r w:rsidR="00DD3929" w:rsidRPr="00D9493F">
        <w:t xml:space="preserve"> (środowiskow</w:t>
      </w:r>
      <w:r w:rsidR="00DD3929">
        <w:t>ej</w:t>
      </w:r>
      <w:r w:rsidR="00DD3929" w:rsidRPr="00D9493F">
        <w:t>) w ramach WPR</w:t>
      </w:r>
      <w:r w:rsidR="00DD3929">
        <w:t>.</w:t>
      </w:r>
      <w:r>
        <w:rPr>
          <w:szCs w:val="20"/>
        </w:rPr>
        <w:fldChar w:fldCharType="end"/>
      </w:r>
    </w:p>
    <w:p w14:paraId="78531609" w14:textId="181AA9C4" w:rsidR="00E92903" w:rsidRDefault="00E92903" w:rsidP="00E92903">
      <w:pPr>
        <w:pStyle w:val="Akapitzlist"/>
        <w:numPr>
          <w:ilvl w:val="0"/>
          <w:numId w:val="6"/>
        </w:numPr>
        <w:rPr>
          <w:szCs w:val="20"/>
        </w:rPr>
      </w:pPr>
      <w:r>
        <w:rPr>
          <w:szCs w:val="20"/>
        </w:rPr>
        <w:fldChar w:fldCharType="begin"/>
      </w:r>
      <w:r>
        <w:rPr>
          <w:szCs w:val="20"/>
        </w:rPr>
        <w:instrText xml:space="preserve"> REF _Ref159930536 \h </w:instrText>
      </w:r>
      <w:r>
        <w:rPr>
          <w:szCs w:val="20"/>
        </w:rPr>
      </w:r>
      <w:r>
        <w:rPr>
          <w:szCs w:val="20"/>
        </w:rPr>
        <w:fldChar w:fldCharType="separate"/>
      </w:r>
      <w:r w:rsidR="00DD3929" w:rsidRPr="00D9493F">
        <w:t xml:space="preserve">Działanie </w:t>
      </w:r>
      <w:r w:rsidR="00DD3929">
        <w:rPr>
          <w:noProof/>
        </w:rPr>
        <w:t>56</w:t>
      </w:r>
      <w:r w:rsidR="00DD3929" w:rsidRPr="00D9493F">
        <w:t>.</w:t>
      </w:r>
      <w:r w:rsidR="00DD3929">
        <w:t xml:space="preserve"> Stosowanie e</w:t>
      </w:r>
      <w:r w:rsidR="00DD3929" w:rsidRPr="00D9493F">
        <w:t>koschemat</w:t>
      </w:r>
      <w:r w:rsidR="00DD3929">
        <w:t>ów</w:t>
      </w:r>
      <w:r w:rsidR="00DD3929" w:rsidRPr="00D9493F">
        <w:t xml:space="preserve"> w ramach WPR</w:t>
      </w:r>
      <w:r w:rsidR="00DD3929">
        <w:t>.</w:t>
      </w:r>
      <w:r>
        <w:rPr>
          <w:szCs w:val="20"/>
        </w:rPr>
        <w:fldChar w:fldCharType="end"/>
      </w:r>
    </w:p>
    <w:p w14:paraId="0D63380C" w14:textId="4A3B14D5" w:rsidR="00E92903" w:rsidRDefault="00E92903" w:rsidP="00E92903">
      <w:pPr>
        <w:pStyle w:val="Akapitzlist"/>
        <w:numPr>
          <w:ilvl w:val="0"/>
          <w:numId w:val="6"/>
        </w:numPr>
        <w:rPr>
          <w:szCs w:val="20"/>
        </w:rPr>
      </w:pPr>
      <w:r>
        <w:rPr>
          <w:szCs w:val="20"/>
        </w:rPr>
        <w:fldChar w:fldCharType="begin"/>
      </w:r>
      <w:r>
        <w:rPr>
          <w:szCs w:val="20"/>
        </w:rPr>
        <w:instrText xml:space="preserve"> REF _Ref159930549 \h </w:instrText>
      </w:r>
      <w:r>
        <w:rPr>
          <w:szCs w:val="20"/>
        </w:rPr>
      </w:r>
      <w:r>
        <w:rPr>
          <w:szCs w:val="20"/>
        </w:rPr>
        <w:fldChar w:fldCharType="separate"/>
      </w:r>
      <w:r w:rsidR="00DD3929" w:rsidRPr="00D9493F">
        <w:t xml:space="preserve">Działanie </w:t>
      </w:r>
      <w:r w:rsidR="00DD3929">
        <w:rPr>
          <w:noProof/>
        </w:rPr>
        <w:t>59</w:t>
      </w:r>
      <w:r w:rsidR="00DD3929" w:rsidRPr="00D9493F">
        <w:t>. Interwencje leśne i zadrzewieniowe w ramach WPR.</w:t>
      </w:r>
      <w:r>
        <w:rPr>
          <w:szCs w:val="20"/>
        </w:rPr>
        <w:fldChar w:fldCharType="end"/>
      </w:r>
    </w:p>
    <w:p w14:paraId="6D71392C" w14:textId="2CEE6483" w:rsidR="00EB5997" w:rsidRDefault="00EB5997" w:rsidP="008340D5">
      <w:pPr>
        <w:pStyle w:val="Akapitzlist"/>
        <w:numPr>
          <w:ilvl w:val="0"/>
          <w:numId w:val="6"/>
        </w:numPr>
        <w:rPr>
          <w:szCs w:val="20"/>
        </w:rPr>
      </w:pPr>
      <w:r>
        <w:rPr>
          <w:szCs w:val="20"/>
        </w:rPr>
        <w:fldChar w:fldCharType="begin"/>
      </w:r>
      <w:r>
        <w:rPr>
          <w:szCs w:val="20"/>
        </w:rPr>
        <w:instrText xml:space="preserve"> REF _Ref157423349 \h </w:instrText>
      </w:r>
      <w:r>
        <w:rPr>
          <w:szCs w:val="20"/>
        </w:rPr>
      </w:r>
      <w:r>
        <w:rPr>
          <w:szCs w:val="20"/>
        </w:rPr>
        <w:fldChar w:fldCharType="separate"/>
      </w:r>
      <w:r w:rsidR="00DD3929" w:rsidRPr="00751886">
        <w:t xml:space="preserve">Działanie </w:t>
      </w:r>
      <w:r w:rsidR="00DD3929">
        <w:rPr>
          <w:noProof/>
        </w:rPr>
        <w:t>96</w:t>
      </w:r>
      <w:r w:rsidR="00DD3929" w:rsidRPr="00751886">
        <w:t xml:space="preserve">. Instrument </w:t>
      </w:r>
      <w:r w:rsidR="00DD3929" w:rsidRPr="00661B98">
        <w:t>finansowy</w:t>
      </w:r>
      <w:r w:rsidR="00DD3929" w:rsidRPr="00751886">
        <w:t xml:space="preserve"> – Program Termo.</w:t>
      </w:r>
      <w:r>
        <w:rPr>
          <w:szCs w:val="20"/>
        </w:rPr>
        <w:fldChar w:fldCharType="end"/>
      </w:r>
    </w:p>
    <w:p w14:paraId="2E61B5E3" w14:textId="5327D450" w:rsidR="00EB5997" w:rsidRDefault="00EB5997" w:rsidP="008340D5">
      <w:pPr>
        <w:pStyle w:val="Akapitzlist"/>
        <w:numPr>
          <w:ilvl w:val="0"/>
          <w:numId w:val="6"/>
        </w:numPr>
        <w:rPr>
          <w:szCs w:val="20"/>
        </w:rPr>
      </w:pPr>
      <w:r>
        <w:rPr>
          <w:szCs w:val="20"/>
        </w:rPr>
        <w:fldChar w:fldCharType="begin"/>
      </w:r>
      <w:r>
        <w:rPr>
          <w:szCs w:val="20"/>
        </w:rPr>
        <w:instrText xml:space="preserve"> REF _Ref157423353 \h </w:instrText>
      </w:r>
      <w:r>
        <w:rPr>
          <w:szCs w:val="20"/>
        </w:rPr>
      </w:r>
      <w:r>
        <w:rPr>
          <w:szCs w:val="20"/>
        </w:rPr>
        <w:fldChar w:fldCharType="separate"/>
      </w:r>
      <w:r w:rsidR="00DD3929" w:rsidRPr="00DE3F08">
        <w:t xml:space="preserve">Działanie </w:t>
      </w:r>
      <w:r w:rsidR="00DD3929">
        <w:rPr>
          <w:noProof/>
        </w:rPr>
        <w:t>97</w:t>
      </w:r>
      <w:r w:rsidR="00DD3929" w:rsidRPr="00DE3F08">
        <w:t xml:space="preserve">. Instrument </w:t>
      </w:r>
      <w:r w:rsidR="00DD3929" w:rsidRPr="00661B98">
        <w:t>finansowy</w:t>
      </w:r>
      <w:r w:rsidR="00DD3929" w:rsidRPr="00DE3F08">
        <w:t xml:space="preserve"> – </w:t>
      </w:r>
      <w:r w:rsidR="00DD3929" w:rsidRPr="00D94B5E">
        <w:t xml:space="preserve">Ulga </w:t>
      </w:r>
      <w:r w:rsidR="00DD3929">
        <w:t>podatkowa dotycząca wydatków poniesionych na termomodernizację jednorodzinnych budynków mieszkalnych</w:t>
      </w:r>
      <w:r w:rsidR="00DD3929" w:rsidRPr="00DE3F08">
        <w:t>.</w:t>
      </w:r>
      <w:r>
        <w:rPr>
          <w:szCs w:val="20"/>
        </w:rPr>
        <w:fldChar w:fldCharType="end"/>
      </w:r>
      <w:r w:rsidRPr="00EB5997">
        <w:rPr>
          <w:szCs w:val="20"/>
        </w:rPr>
        <w:t xml:space="preserve"> </w:t>
      </w:r>
    </w:p>
    <w:p w14:paraId="57CE646F" w14:textId="1946BFED" w:rsidR="006D2C1D" w:rsidRDefault="006D2C1D" w:rsidP="008340D5">
      <w:pPr>
        <w:pStyle w:val="Akapitzlist"/>
        <w:numPr>
          <w:ilvl w:val="0"/>
          <w:numId w:val="6"/>
        </w:numPr>
        <w:rPr>
          <w:szCs w:val="20"/>
        </w:rPr>
      </w:pPr>
      <w:r>
        <w:rPr>
          <w:szCs w:val="20"/>
        </w:rPr>
        <w:fldChar w:fldCharType="begin"/>
      </w:r>
      <w:r>
        <w:rPr>
          <w:szCs w:val="20"/>
        </w:rPr>
        <w:instrText xml:space="preserve"> REF _Ref175478352 \h </w:instrText>
      </w:r>
      <w:r>
        <w:rPr>
          <w:szCs w:val="20"/>
        </w:rPr>
      </w:r>
      <w:r>
        <w:rPr>
          <w:szCs w:val="20"/>
        </w:rPr>
        <w:fldChar w:fldCharType="separate"/>
      </w:r>
      <w:r w:rsidR="00DD3929">
        <w:t xml:space="preserve">Działanie </w:t>
      </w:r>
      <w:r w:rsidR="00DD3929">
        <w:rPr>
          <w:noProof/>
        </w:rPr>
        <w:t>102</w:t>
      </w:r>
      <w:r w:rsidR="00DD3929">
        <w:t xml:space="preserve">. </w:t>
      </w:r>
      <w:r w:rsidR="00DD3929" w:rsidRPr="4D796C50">
        <w:rPr>
          <w:rFonts w:eastAsia="Lato" w:cs="Lato"/>
        </w:rPr>
        <w:t>Wdrażanie nowych standardów energetycznych stawianych nowym budynkom oraz budynkom podlegającym ważniejszym renowacjom</w:t>
      </w:r>
      <w:r w:rsidR="00DD3929" w:rsidRPr="00DE3F08">
        <w:t>.</w:t>
      </w:r>
      <w:r>
        <w:rPr>
          <w:szCs w:val="20"/>
        </w:rPr>
        <w:fldChar w:fldCharType="end"/>
      </w:r>
    </w:p>
    <w:p w14:paraId="3DDB4CC8" w14:textId="2D25C5EE" w:rsidR="006D2C1D" w:rsidRDefault="006D2C1D" w:rsidP="008340D5">
      <w:pPr>
        <w:pStyle w:val="Akapitzlist"/>
        <w:numPr>
          <w:ilvl w:val="0"/>
          <w:numId w:val="6"/>
        </w:numPr>
        <w:rPr>
          <w:szCs w:val="20"/>
        </w:rPr>
      </w:pPr>
      <w:r>
        <w:rPr>
          <w:szCs w:val="20"/>
        </w:rPr>
        <w:fldChar w:fldCharType="begin"/>
      </w:r>
      <w:r>
        <w:rPr>
          <w:szCs w:val="20"/>
        </w:rPr>
        <w:instrText xml:space="preserve"> REF _Ref175483628 \h </w:instrText>
      </w:r>
      <w:r>
        <w:rPr>
          <w:szCs w:val="20"/>
        </w:rPr>
      </w:r>
      <w:r>
        <w:rPr>
          <w:szCs w:val="20"/>
        </w:rPr>
        <w:fldChar w:fldCharType="separate"/>
      </w:r>
      <w:r w:rsidR="00DD3929">
        <w:t xml:space="preserve">Działanie </w:t>
      </w:r>
      <w:r w:rsidR="00DD3929">
        <w:rPr>
          <w:noProof/>
        </w:rPr>
        <w:t>104</w:t>
      </w:r>
      <w:r w:rsidR="00DD3929">
        <w:t xml:space="preserve">. Instrument finansowy - </w:t>
      </w:r>
      <w:r w:rsidR="00DD3929" w:rsidRPr="4D796C50">
        <w:rPr>
          <w:rFonts w:eastAsia="Lato"/>
        </w:rPr>
        <w:t>wsparcie działań związanych z poprawą efektywności energetycznej budynków w</w:t>
      </w:r>
      <w:r w:rsidR="00DD3929">
        <w:rPr>
          <w:rFonts w:eastAsia="Lato"/>
        </w:rPr>
        <w:t> </w:t>
      </w:r>
      <w:r w:rsidR="00DD3929" w:rsidRPr="4D796C50">
        <w:rPr>
          <w:rFonts w:eastAsia="Lato"/>
        </w:rPr>
        <w:t>ramach funduszy europejskich</w:t>
      </w:r>
      <w:r w:rsidR="00DD3929">
        <w:t>.</w:t>
      </w:r>
      <w:r>
        <w:rPr>
          <w:szCs w:val="20"/>
        </w:rPr>
        <w:fldChar w:fldCharType="end"/>
      </w:r>
    </w:p>
    <w:p w14:paraId="50B6857D" w14:textId="13C8013B" w:rsidR="00C140A9" w:rsidRDefault="00C140A9" w:rsidP="00C140A9">
      <w:pPr>
        <w:pStyle w:val="Nagwek4"/>
        <w:rPr>
          <w:color w:val="70AD47" w:themeColor="accent6"/>
        </w:rPr>
      </w:pPr>
      <w:bookmarkStart w:id="94" w:name="_Toc175321028"/>
      <w:bookmarkStart w:id="95" w:name="_Toc175479049"/>
      <w:bookmarkStart w:id="96" w:name="_Toc175494526"/>
      <w:bookmarkStart w:id="97" w:name="_Toc175518133"/>
      <w:bookmarkStart w:id="98" w:name="_Toc159598298"/>
      <w:bookmarkStart w:id="99" w:name="_Toc179536946"/>
      <w:bookmarkEnd w:id="94"/>
      <w:bookmarkEnd w:id="95"/>
      <w:bookmarkEnd w:id="96"/>
      <w:bookmarkEnd w:id="97"/>
      <w:r w:rsidRPr="00C140A9">
        <w:rPr>
          <w:color w:val="70AD47" w:themeColor="accent6"/>
        </w:rPr>
        <w:t>Cel w zakresie stanu wód</w:t>
      </w:r>
      <w:bookmarkEnd w:id="98"/>
      <w:bookmarkEnd w:id="99"/>
    </w:p>
    <w:p w14:paraId="7877007E" w14:textId="4442CE93" w:rsidR="003E6660" w:rsidRDefault="00DE0CED" w:rsidP="003E6660">
      <w:r>
        <w:rPr>
          <w:noProof/>
        </w:rPr>
        <mc:AlternateContent>
          <mc:Choice Requires="wps">
            <w:drawing>
              <wp:anchor distT="0" distB="0" distL="114300" distR="114300" simplePos="0" relativeHeight="251693056" behindDoc="1" locked="0" layoutInCell="1" allowOverlap="1" wp14:anchorId="555B7F0F" wp14:editId="4A47EC58">
                <wp:simplePos x="0" y="0"/>
                <wp:positionH relativeFrom="margin">
                  <wp:posOffset>2819400</wp:posOffset>
                </wp:positionH>
                <wp:positionV relativeFrom="paragraph">
                  <wp:posOffset>85090</wp:posOffset>
                </wp:positionV>
                <wp:extent cx="2969895" cy="1148080"/>
                <wp:effectExtent l="19050" t="57150" r="97155" b="56515"/>
                <wp:wrapSquare wrapText="bothSides"/>
                <wp:docPr id="966363494" name="Prostokąt: zaokrąglone rogi 6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969895" cy="1148080"/>
                        </a:xfrm>
                        <a:prstGeom prst="roundRect">
                          <a:avLst>
                            <a:gd name="adj" fmla="val 11857"/>
                          </a:avLst>
                        </a:prstGeom>
                        <a:solidFill>
                          <a:sysClr val="window" lastClr="FFFFFF"/>
                        </a:solidFill>
                        <a:ln w="9525" cap="flat" cmpd="sng" algn="ctr">
                          <a:solidFill>
                            <a:srgbClr val="70AD47"/>
                          </a:solidFill>
                          <a:prstDash val="solid"/>
                          <a:miter lim="800000"/>
                        </a:ln>
                        <a:effectLst>
                          <a:outerShdw blurRad="50800" dist="38100" algn="l" rotWithShape="0">
                            <a:prstClr val="black">
                              <a:alpha val="40000"/>
                            </a:prstClr>
                          </a:outerShdw>
                        </a:effectLst>
                      </wps:spPr>
                      <wps:txbx>
                        <w:txbxContent>
                          <w:p w14:paraId="354A24EA" w14:textId="1D6FDDEE" w:rsidR="003E6660" w:rsidRPr="004E21CF" w:rsidRDefault="003E6660" w:rsidP="003E6660">
                            <w:pPr>
                              <w:pStyle w:val="Ramka"/>
                            </w:pPr>
                            <w:r w:rsidRPr="008607EB">
                              <w:t>Zanieczyszczenie wód może być wynikiem różnorodnych czynników, obejmujących</w:t>
                            </w:r>
                            <w:r>
                              <w:t xml:space="preserve"> </w:t>
                            </w:r>
                            <w:r w:rsidR="001D2611">
                              <w:t>m.in.</w:t>
                            </w:r>
                            <w:r w:rsidRPr="008607EB">
                              <w:t>:  ś</w:t>
                            </w:r>
                            <w:r w:rsidRPr="0090288E">
                              <w:t>cieki komunalne i przemysłowe, nawozy i pestycydy z rolnictwa, zanieczyszczenia z obszarów zurbanizowanych</w:t>
                            </w:r>
                            <w:r w:rsidR="00AA32A2">
                              <w:t xml:space="preserve"> </w:t>
                            </w:r>
                            <w:r w:rsidRPr="0090288E">
                              <w:t>i odpady, wylewy substancji chemicznych</w:t>
                            </w:r>
                            <w:r>
                              <w:t xml:space="preserve"> czy</w:t>
                            </w:r>
                            <w:r w:rsidRPr="0090288E">
                              <w:t xml:space="preserve"> degradację brzegów rzek.</w:t>
                            </w:r>
                          </w:p>
                        </w:txbxContent>
                      </wps:txbx>
                      <wps:bodyPr rot="0" spcFirstLastPara="0" vertOverflow="overflow" horzOverflow="overflow" vert="horz" wrap="square" lIns="72000" tIns="90000" rIns="72000" bIns="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555B7F0F" id="Prostokąt: zaokrąglone rogi 60" o:spid="_x0000_s1089" style="position:absolute;left:0;text-align:left;margin-left:222pt;margin-top:6.7pt;width:233.85pt;height:90.4pt;z-index:-2516234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777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" fillcolor="window" strokecolor="#70ad47">
                <v:stroke joinstyle="miter"/>
                <v:shadow on="t" color="black" opacity="26214f" origin="-.5" offset="3pt,0"/>
                <v:path arrowok="t"/>
                <v:textbox style="mso-fit-shape-to-text:t" inset="2mm,2.5mm,2mm,0">
                  <w:txbxContent>
                    <w:p w14:paraId="354A24EA" w14:textId="1D6FDDEE" w:rsidR="003E6660" w:rsidRPr="004E21CF" w:rsidRDefault="003E6660" w:rsidP="003E6660">
                      <w:pPr>
                        <w:pStyle w:val="Ramka"/>
                      </w:pPr>
                      <w:r w:rsidRPr="008607EB">
                        <w:t>Zanieczyszczenie wód może być wynikiem różnorodnych czynników, obejmujących</w:t>
                      </w:r>
                      <w:r>
                        <w:t xml:space="preserve"> </w:t>
                      </w:r>
                      <w:r w:rsidR="001D2611">
                        <w:t>m.in.</w:t>
                      </w:r>
                      <w:r w:rsidRPr="008607EB">
                        <w:t>:  ś</w:t>
                      </w:r>
                      <w:r w:rsidRPr="0090288E">
                        <w:t>cieki komunalne i przemysłowe, nawozy i pestycydy z rolnictwa, zanieczyszczenia z obszarów zurbanizowanych</w:t>
                      </w:r>
                      <w:r w:rsidR="00AA32A2">
                        <w:t xml:space="preserve"> </w:t>
                      </w:r>
                      <w:r w:rsidRPr="0090288E">
                        <w:t>i odpady, wylewy substancji chemicznych</w:t>
                      </w:r>
                      <w:r>
                        <w:t xml:space="preserve"> czy</w:t>
                      </w:r>
                      <w:r w:rsidRPr="0090288E">
                        <w:t xml:space="preserve"> degradację brzegów rzek.</w:t>
                      </w:r>
                    </w:p>
                  </w:txbxContent>
                </v:textbox>
                <w10:wrap type="square" anchorx="margin"/>
              </v:roundrect>
            </w:pict>
          </mc:Fallback>
        </mc:AlternateContent>
      </w:r>
      <w:r w:rsidR="003E6660" w:rsidRPr="008607EB">
        <w:t>Zanieczyszczenie wód</w:t>
      </w:r>
      <w:r w:rsidR="003E6660">
        <w:t xml:space="preserve"> t</w:t>
      </w:r>
      <w:r w:rsidR="003E6660" w:rsidRPr="008607EB">
        <w:t xml:space="preserve">o kompleksowy problem, wynikający z różnorodnych działań ludzkich, takich jak przemysł, rolnictwo, gospodarka komunalna czy emisje z pojazdów. Substancje chemiczne, mikroorganizmy patogenne, a także inne zanieczyszczenia wprowadzane do wód mają potencjał naruszania równowagi ekosystemów oraz stanowią zagrożenie dla jakości wód pitnych. </w:t>
      </w:r>
    </w:p>
    <w:p w14:paraId="55AFB806" w14:textId="3E34CE7A" w:rsidR="007E7036" w:rsidRDefault="007E7036" w:rsidP="007E7036">
      <w:r w:rsidRPr="006E2A5E">
        <w:t xml:space="preserve">Dyrektywa 2000/60/WE ustanawiająca ramy wspólnotowego działania w dziedzinie polityki wodnej </w:t>
      </w:r>
      <w:r>
        <w:t>–</w:t>
      </w:r>
      <w:r w:rsidRPr="006E2A5E">
        <w:t xml:space="preserve">tzw. </w:t>
      </w:r>
      <w:r>
        <w:t>r</w:t>
      </w:r>
      <w:r w:rsidRPr="006E2A5E">
        <w:t>amow</w:t>
      </w:r>
      <w:r>
        <w:t>a</w:t>
      </w:r>
      <w:r w:rsidRPr="006E2A5E">
        <w:t xml:space="preserve"> </w:t>
      </w:r>
      <w:r>
        <w:t>d</w:t>
      </w:r>
      <w:r w:rsidRPr="006E2A5E">
        <w:t>yrektyw</w:t>
      </w:r>
      <w:r>
        <w:t>a</w:t>
      </w:r>
      <w:r w:rsidRPr="006E2A5E">
        <w:t xml:space="preserve"> </w:t>
      </w:r>
      <w:r>
        <w:t>w</w:t>
      </w:r>
      <w:r w:rsidRPr="006E2A5E">
        <w:t>odn</w:t>
      </w:r>
      <w:r>
        <w:t>a</w:t>
      </w:r>
      <w:r w:rsidRPr="006E2A5E">
        <w:t xml:space="preserve"> (RDW) zobowiązała państwa członkowskie </w:t>
      </w:r>
      <w:r>
        <w:t>UE</w:t>
      </w:r>
      <w:r w:rsidRPr="006E2A5E">
        <w:t xml:space="preserve"> do </w:t>
      </w:r>
      <w:r w:rsidRPr="007E7036">
        <w:rPr>
          <w:b/>
          <w:bCs/>
        </w:rPr>
        <w:t>osiągnięcia dobrego stanu wszystkich wód</w:t>
      </w:r>
      <w:r w:rsidRPr="006E2A5E">
        <w:t>, chyba że zaproponowano odstępstwa od celów środowiskowych w postaci przedłużenia terminu osiągnięcia celów (odstępstwo z tytułu art. 4 ust. 4. RDW) bądź ustalenia mniej rygorystycznych celów (odstępstwo z tytułu art. 4 ust. 5 RDW).</w:t>
      </w:r>
    </w:p>
    <w:p w14:paraId="085AD9AA" w14:textId="1F11FB87" w:rsidR="003E6660" w:rsidRPr="007E7036" w:rsidRDefault="007E7036" w:rsidP="003E6660">
      <w:pPr>
        <w:pStyle w:val="Cele"/>
        <w:rPr>
          <w:b/>
          <w:bCs/>
        </w:rPr>
      </w:pPr>
      <w:bookmarkStart w:id="100" w:name="_Hlk173506848"/>
      <w:r w:rsidRPr="007E7036">
        <w:lastRenderedPageBreak/>
        <w:t>Polska będzie konsekwentnie</w:t>
      </w:r>
      <w:r w:rsidRPr="007E7036">
        <w:rPr>
          <w:b/>
          <w:bCs/>
        </w:rPr>
        <w:t xml:space="preserve"> dążyć do poprawy stanu wód </w:t>
      </w:r>
      <w:r w:rsidRPr="007E7036">
        <w:t>w szczególności poprzez wdrażanie planów gospodarowania wodami oraz działania w obszarze gospodarki ściekami</w:t>
      </w:r>
      <w:r w:rsidRPr="007E7036">
        <w:rPr>
          <w:b/>
          <w:bCs/>
        </w:rPr>
        <w:t xml:space="preserve">. </w:t>
      </w:r>
    </w:p>
    <w:bookmarkEnd w:id="100"/>
    <w:p w14:paraId="205CF3D9" w14:textId="0D44771E" w:rsidR="003E6660" w:rsidRPr="002C6DC9" w:rsidRDefault="003E6660" w:rsidP="003E6660">
      <w:pPr>
        <w:pStyle w:val="Polityka"/>
      </w:pPr>
      <w:r w:rsidRPr="002C6DC9">
        <w:t>POLITYKA</w:t>
      </w:r>
    </w:p>
    <w:p w14:paraId="58BBF5B6" w14:textId="77777777" w:rsidR="00F715B1" w:rsidRDefault="003E6660" w:rsidP="007E7036">
      <w:r>
        <w:t xml:space="preserve">W </w:t>
      </w:r>
      <w:r w:rsidRPr="00D23A28">
        <w:t xml:space="preserve">celu poprawy </w:t>
      </w:r>
      <w:r w:rsidR="005614FF" w:rsidRPr="00D23A28">
        <w:t>stanu wód</w:t>
      </w:r>
      <w:r w:rsidRPr="00D23A28">
        <w:t>, konieczne</w:t>
      </w:r>
      <w:r w:rsidRPr="008607EB">
        <w:t xml:space="preserve"> jest skupienie się na identyfikacji, monitorowaniu i implementacji środków mających na celu ograniczenie i zapobieganie </w:t>
      </w:r>
      <w:r w:rsidR="007E7036" w:rsidRPr="008607EB">
        <w:t>zanieczyszczeniu wód</w:t>
      </w:r>
      <w:r w:rsidR="007E7036" w:rsidRPr="00C17938">
        <w:t xml:space="preserve"> oraz zwiększeniu odporności gospodarki wodnej na skutki zmian klimatu</w:t>
      </w:r>
      <w:r w:rsidR="007E7036" w:rsidRPr="008607EB">
        <w:t>, aby chronić środowisko naturalne oraz zapewnić dostęp do bezpiecznych zasobów wody dla obecnych i przyszłych pokoleń</w:t>
      </w:r>
      <w:r w:rsidR="007E7036" w:rsidRPr="00C17938">
        <w:t>, w tym zapewnić poprawę powszechnego dostępu do wody przeznaczonej do spożycia przez ludzi</w:t>
      </w:r>
      <w:r w:rsidR="007E7036" w:rsidRPr="008607EB">
        <w:t>.</w:t>
      </w:r>
      <w:r w:rsidR="007E7036" w:rsidRPr="002C6DC9">
        <w:t xml:space="preserve"> </w:t>
      </w:r>
    </w:p>
    <w:p w14:paraId="1C2ADBD4" w14:textId="00CD42CB" w:rsidR="007E7036" w:rsidRDefault="00F715B1" w:rsidP="007E7036">
      <w:r w:rsidRPr="00F715B1">
        <w:t>Plany gospodarowania wodami na obszarach dorzeczy stanowią podstawę do podejmowania decyzji kształtujących stan zasobów wodnych i określają zasady gospodarowania nimi, w tym odnoszą się do zmian klimatu i uwzględniają sektor energetyki.</w:t>
      </w:r>
      <w:r>
        <w:t xml:space="preserve"> </w:t>
      </w:r>
      <w:r w:rsidR="007E7036">
        <w:t xml:space="preserve">Szczególne znaczenie w </w:t>
      </w:r>
      <w:r w:rsidR="0020609D">
        <w:t>obszarze poprawy stanu wód w</w:t>
      </w:r>
      <w:r>
        <w:t> </w:t>
      </w:r>
      <w:r w:rsidR="0020609D">
        <w:t xml:space="preserve">Polsce ma </w:t>
      </w:r>
      <w:r w:rsidR="007E7036">
        <w:t>realizacja zadań wynikających z</w:t>
      </w:r>
      <w:r w:rsidR="0020609D">
        <w:t> </w:t>
      </w:r>
      <w:r w:rsidR="007E7036" w:rsidRPr="0020609D">
        <w:rPr>
          <w:b/>
          <w:bCs/>
        </w:rPr>
        <w:t>II</w:t>
      </w:r>
      <w:r w:rsidR="0020609D" w:rsidRPr="0020609D">
        <w:rPr>
          <w:b/>
          <w:bCs/>
        </w:rPr>
        <w:t> </w:t>
      </w:r>
      <w:r w:rsidR="007E7036" w:rsidRPr="0020609D">
        <w:rPr>
          <w:b/>
          <w:bCs/>
        </w:rPr>
        <w:t>aktualizacji planów gospodarowania wodami na obszarach dorzeczy</w:t>
      </w:r>
      <w:r w:rsidR="0020609D">
        <w:rPr>
          <w:b/>
          <w:bCs/>
        </w:rPr>
        <w:t xml:space="preserve">. </w:t>
      </w:r>
      <w:r w:rsidR="0020609D" w:rsidRPr="0020609D">
        <w:t>W</w:t>
      </w:r>
      <w:r w:rsidR="0020609D">
        <w:rPr>
          <w:b/>
          <w:bCs/>
        </w:rPr>
        <w:t xml:space="preserve"> </w:t>
      </w:r>
      <w:r w:rsidR="007E7036">
        <w:t xml:space="preserve">ramach </w:t>
      </w:r>
      <w:r w:rsidR="0020609D">
        <w:t>tych</w:t>
      </w:r>
      <w:r w:rsidR="007E7036">
        <w:t xml:space="preserve"> aktualizacji, które opublikowano na przełomie 2022 i 2023 r. przewidziano do realizacji 24 690 działań </w:t>
      </w:r>
      <w:r w:rsidR="0020609D">
        <w:t>(</w:t>
      </w:r>
      <w:r w:rsidR="007E7036">
        <w:t>na kwotę prawie 26 mld PLN</w:t>
      </w:r>
      <w:r w:rsidR="0020609D">
        <w:t>)</w:t>
      </w:r>
      <w:r w:rsidR="007E7036">
        <w:t>.</w:t>
      </w:r>
    </w:p>
    <w:p w14:paraId="0A1BA4E4" w14:textId="3A6B4A0D" w:rsidR="007E7036" w:rsidRDefault="0020609D" w:rsidP="007E7036">
      <w:r>
        <w:t xml:space="preserve">Drugim szczególnie istotnym komponentem jest </w:t>
      </w:r>
      <w:r w:rsidR="007E7036">
        <w:t xml:space="preserve">budowa, rozbudowa i modernizacja oczyszczalni ścieków na podstawie </w:t>
      </w:r>
      <w:r w:rsidR="007E7036" w:rsidRPr="0020609D">
        <w:rPr>
          <w:b/>
          <w:bCs/>
        </w:rPr>
        <w:t>zaktualizowanego</w:t>
      </w:r>
      <w:r w:rsidR="007E7036">
        <w:t xml:space="preserve"> </w:t>
      </w:r>
      <w:r w:rsidR="007E7036" w:rsidRPr="0020609D">
        <w:rPr>
          <w:b/>
          <w:bCs/>
          <w:i/>
          <w:iCs/>
        </w:rPr>
        <w:t>Krajowego Programu Oczyszczania Ścieków Komunalnych</w:t>
      </w:r>
      <w:r w:rsidR="007E7036">
        <w:t xml:space="preserve"> (AKPOŚK)</w:t>
      </w:r>
      <w:r>
        <w:t>, który przewiduje</w:t>
      </w:r>
      <w:r w:rsidR="007E7036">
        <w:t xml:space="preserve"> realizacj</w:t>
      </w:r>
      <w:r>
        <w:t>ę</w:t>
      </w:r>
      <w:r w:rsidR="007E7036">
        <w:t xml:space="preserve"> ok. 1 000 inwestycji, w tym budow</w:t>
      </w:r>
      <w:r>
        <w:t>ę</w:t>
      </w:r>
      <w:r w:rsidR="007E7036">
        <w:t xml:space="preserve"> 60 nowych oczyszczalni ścieków.</w:t>
      </w:r>
    </w:p>
    <w:p w14:paraId="2E74FBE4" w14:textId="148B85F3" w:rsidR="007E7036" w:rsidRDefault="009D3B1B" w:rsidP="007E7036">
      <w:pPr>
        <w:spacing w:after="80"/>
      </w:pPr>
      <w:r>
        <w:t>Jako priorytet określa się przeprowadzanie</w:t>
      </w:r>
      <w:r w:rsidR="007E7036">
        <w:t xml:space="preserve"> inwentaryzacj</w:t>
      </w:r>
      <w:r w:rsidR="00F715B1">
        <w:t>i</w:t>
      </w:r>
      <w:r w:rsidR="007E7036">
        <w:t xml:space="preserve">, krytyczny przegląd (ewentualna nowelizacja) </w:t>
      </w:r>
      <w:r w:rsidR="00F715B1">
        <w:t>oraz </w:t>
      </w:r>
      <w:r w:rsidR="007E7036">
        <w:t>właściw</w:t>
      </w:r>
      <w:r>
        <w:t>ą</w:t>
      </w:r>
      <w:r w:rsidR="007E7036">
        <w:t xml:space="preserve"> priorytetyzacj</w:t>
      </w:r>
      <w:r w:rsidR="007F24C7">
        <w:t>ę</w:t>
      </w:r>
      <w:r w:rsidR="007E7036">
        <w:t xml:space="preserve"> planów i programów, w tym działań inwestycyjnych i nieinwestycyjnych ze</w:t>
      </w:r>
      <w:r w:rsidR="00F715B1">
        <w:t> </w:t>
      </w:r>
      <w:r w:rsidR="007E7036">
        <w:t>szczególnym uwzględnieniem działań wynikających z:</w:t>
      </w:r>
    </w:p>
    <w:p w14:paraId="58F024D5" w14:textId="77777777" w:rsidR="007E7036" w:rsidRDefault="007E7036" w:rsidP="00612B5D">
      <w:pPr>
        <w:pStyle w:val="Akapitzlist"/>
        <w:numPr>
          <w:ilvl w:val="1"/>
          <w:numId w:val="63"/>
        </w:numPr>
        <w:ind w:left="709"/>
      </w:pPr>
      <w:r>
        <w:t>planów gospodarowania wodami na obszarach dorzeczy,</w:t>
      </w:r>
    </w:p>
    <w:p w14:paraId="0FC1D267" w14:textId="77777777" w:rsidR="007E7036" w:rsidRDefault="007E7036" w:rsidP="00612B5D">
      <w:pPr>
        <w:pStyle w:val="Akapitzlist"/>
        <w:numPr>
          <w:ilvl w:val="1"/>
          <w:numId w:val="63"/>
        </w:numPr>
        <w:ind w:left="709"/>
      </w:pPr>
      <w:r>
        <w:t>planów zarządzania ryzykiem powodziowym,</w:t>
      </w:r>
    </w:p>
    <w:p w14:paraId="19B176C9" w14:textId="77777777" w:rsidR="007E7036" w:rsidRDefault="007E7036" w:rsidP="00612B5D">
      <w:pPr>
        <w:pStyle w:val="Akapitzlist"/>
        <w:numPr>
          <w:ilvl w:val="1"/>
          <w:numId w:val="63"/>
        </w:numPr>
        <w:ind w:left="709"/>
      </w:pPr>
      <w:r>
        <w:t>planu przeciwdziałania skutkom suszy,</w:t>
      </w:r>
    </w:p>
    <w:p w14:paraId="4826CDCB" w14:textId="77777777" w:rsidR="007E7036" w:rsidRDefault="007E7036" w:rsidP="00612B5D">
      <w:pPr>
        <w:pStyle w:val="Akapitzlist"/>
        <w:numPr>
          <w:ilvl w:val="1"/>
          <w:numId w:val="63"/>
        </w:numPr>
        <w:ind w:left="709"/>
      </w:pPr>
      <w:r>
        <w:t>planów utrzymania wód,</w:t>
      </w:r>
    </w:p>
    <w:p w14:paraId="13B1B73F" w14:textId="75CDBE54" w:rsidR="007E7036" w:rsidRDefault="007E7036" w:rsidP="00612B5D">
      <w:pPr>
        <w:pStyle w:val="Akapitzlist"/>
        <w:numPr>
          <w:ilvl w:val="1"/>
          <w:numId w:val="63"/>
        </w:numPr>
        <w:ind w:left="709"/>
      </w:pPr>
      <w:r>
        <w:t>krajowego programu renaturyzacji wód powierzchn</w:t>
      </w:r>
      <w:r w:rsidR="005E7EAD">
        <w:t>i</w:t>
      </w:r>
      <w:r>
        <w:t>owych (brak przyjęcia),</w:t>
      </w:r>
    </w:p>
    <w:p w14:paraId="1207F056" w14:textId="2E973690" w:rsidR="004F4DB6" w:rsidRDefault="007E7036" w:rsidP="00612B5D">
      <w:pPr>
        <w:pStyle w:val="Akapitzlist"/>
        <w:numPr>
          <w:ilvl w:val="1"/>
          <w:numId w:val="63"/>
        </w:numPr>
        <w:ind w:left="709"/>
      </w:pPr>
      <w:r>
        <w:t>krajowego programu żeglugowego do roku 2030</w:t>
      </w:r>
      <w:r w:rsidR="004F4DB6">
        <w:t>,</w:t>
      </w:r>
    </w:p>
    <w:p w14:paraId="6F0D655C" w14:textId="2BF03A2C" w:rsidR="007E7036" w:rsidRDefault="004F4DB6" w:rsidP="00612B5D">
      <w:pPr>
        <w:pStyle w:val="Akapitzlist"/>
        <w:numPr>
          <w:ilvl w:val="1"/>
          <w:numId w:val="63"/>
        </w:numPr>
        <w:ind w:left="709"/>
      </w:pPr>
      <w:r>
        <w:t>p</w:t>
      </w:r>
      <w:r w:rsidRPr="00082A18">
        <w:t>rogram</w:t>
      </w:r>
      <w:r>
        <w:t>u</w:t>
      </w:r>
      <w:r w:rsidRPr="00082A18">
        <w:t xml:space="preserve"> </w:t>
      </w:r>
      <w:r>
        <w:t>p</w:t>
      </w:r>
      <w:r w:rsidRPr="00082A18">
        <w:t xml:space="preserve">rzeciwdziałania </w:t>
      </w:r>
      <w:r>
        <w:t>n</w:t>
      </w:r>
      <w:r w:rsidRPr="00082A18">
        <w:t xml:space="preserve">iedoborowi </w:t>
      </w:r>
      <w:r>
        <w:t>w</w:t>
      </w:r>
      <w:r w:rsidRPr="00082A18">
        <w:t>ody</w:t>
      </w:r>
      <w:r>
        <w:t>.</w:t>
      </w:r>
    </w:p>
    <w:p w14:paraId="3D056844" w14:textId="77777777" w:rsidR="003E6660" w:rsidRPr="002C6DC9" w:rsidRDefault="003E6660" w:rsidP="003E6660">
      <w:pPr>
        <w:pStyle w:val="Polityka"/>
      </w:pPr>
      <w:r w:rsidRPr="002C6DC9">
        <w:t>DZIAŁANIA</w:t>
      </w:r>
    </w:p>
    <w:p w14:paraId="6299B636" w14:textId="7B36ACCA" w:rsidR="00ED43A2" w:rsidRDefault="00ED43A2" w:rsidP="00EA2E52">
      <w:pPr>
        <w:pStyle w:val="Akapitzlist"/>
        <w:numPr>
          <w:ilvl w:val="0"/>
          <w:numId w:val="6"/>
        </w:numPr>
        <w:rPr>
          <w:szCs w:val="20"/>
        </w:rPr>
      </w:pPr>
      <w:r>
        <w:rPr>
          <w:szCs w:val="20"/>
        </w:rPr>
        <w:fldChar w:fldCharType="begin"/>
      </w:r>
      <w:r>
        <w:rPr>
          <w:szCs w:val="20"/>
        </w:rPr>
        <w:instrText xml:space="preserve"> REF _Ref157425147 \h </w:instrText>
      </w:r>
      <w:r>
        <w:rPr>
          <w:szCs w:val="20"/>
        </w:rPr>
      </w:r>
      <w:r>
        <w:rPr>
          <w:szCs w:val="20"/>
        </w:rPr>
        <w:fldChar w:fldCharType="separate"/>
      </w:r>
      <w:r w:rsidR="00DD3929" w:rsidRPr="00F12C9E">
        <w:t xml:space="preserve">Działanie </w:t>
      </w:r>
      <w:r w:rsidR="00DD3929">
        <w:rPr>
          <w:noProof/>
        </w:rPr>
        <w:t>46</w:t>
      </w:r>
      <w:r w:rsidR="00DD3929" w:rsidRPr="00F12C9E">
        <w:t xml:space="preserve">. </w:t>
      </w:r>
      <w:r w:rsidR="00DD3929">
        <w:t>Zapewnienie dostępności paliw alternatywnych w portach morskich</w:t>
      </w:r>
      <w:r w:rsidR="00DD3929" w:rsidRPr="00F12C9E">
        <w:t>.</w:t>
      </w:r>
      <w:r>
        <w:rPr>
          <w:szCs w:val="20"/>
        </w:rPr>
        <w:fldChar w:fldCharType="end"/>
      </w:r>
    </w:p>
    <w:p w14:paraId="2A04C7C1" w14:textId="03A5B194" w:rsidR="00ED43A2" w:rsidRDefault="00ED43A2" w:rsidP="00EA2E52">
      <w:pPr>
        <w:pStyle w:val="Akapitzlist"/>
        <w:numPr>
          <w:ilvl w:val="0"/>
          <w:numId w:val="6"/>
        </w:numPr>
        <w:rPr>
          <w:szCs w:val="20"/>
        </w:rPr>
      </w:pPr>
      <w:r>
        <w:rPr>
          <w:szCs w:val="20"/>
        </w:rPr>
        <w:fldChar w:fldCharType="begin"/>
      </w:r>
      <w:r>
        <w:rPr>
          <w:szCs w:val="20"/>
        </w:rPr>
        <w:instrText xml:space="preserve"> REF _Ref157425152 \h </w:instrText>
      </w:r>
      <w:r>
        <w:rPr>
          <w:szCs w:val="20"/>
        </w:rPr>
      </w:r>
      <w:r>
        <w:rPr>
          <w:szCs w:val="20"/>
        </w:rPr>
        <w:fldChar w:fldCharType="separate"/>
      </w:r>
      <w:r w:rsidR="00DD3929" w:rsidRPr="00F12C9E">
        <w:t xml:space="preserve">Działanie </w:t>
      </w:r>
      <w:r w:rsidR="00DD3929">
        <w:rPr>
          <w:noProof/>
        </w:rPr>
        <w:t>47</w:t>
      </w:r>
      <w:r w:rsidR="00DD3929" w:rsidRPr="00F12C9E">
        <w:t>. Wdrażanie innowacyjnych technologii w zarządzaniu ruchem statków</w:t>
      </w:r>
      <w:r w:rsidR="00DD3929" w:rsidRPr="00BA3E0C">
        <w:rPr>
          <w:szCs w:val="24"/>
        </w:rPr>
        <w:t xml:space="preserve"> </w:t>
      </w:r>
      <w:r w:rsidR="00DD3929" w:rsidRPr="00F12C9E">
        <w:t>morskich.</w:t>
      </w:r>
      <w:r>
        <w:rPr>
          <w:szCs w:val="20"/>
        </w:rPr>
        <w:fldChar w:fldCharType="end"/>
      </w:r>
    </w:p>
    <w:p w14:paraId="12DF18DB" w14:textId="00E31782" w:rsidR="00ED43A2" w:rsidRDefault="00ED43A2" w:rsidP="00EA2E52">
      <w:pPr>
        <w:pStyle w:val="Akapitzlist"/>
        <w:numPr>
          <w:ilvl w:val="0"/>
          <w:numId w:val="6"/>
        </w:numPr>
        <w:rPr>
          <w:szCs w:val="20"/>
        </w:rPr>
      </w:pPr>
      <w:r>
        <w:rPr>
          <w:szCs w:val="20"/>
        </w:rPr>
        <w:fldChar w:fldCharType="begin"/>
      </w:r>
      <w:r>
        <w:rPr>
          <w:szCs w:val="20"/>
        </w:rPr>
        <w:instrText xml:space="preserve"> REF _Ref157425165 \h </w:instrText>
      </w:r>
      <w:r>
        <w:rPr>
          <w:szCs w:val="20"/>
        </w:rPr>
      </w:r>
      <w:r>
        <w:rPr>
          <w:szCs w:val="20"/>
        </w:rPr>
        <w:fldChar w:fldCharType="separate"/>
      </w:r>
      <w:r w:rsidR="00DD3929" w:rsidRPr="00F12C9E">
        <w:t xml:space="preserve">Działanie </w:t>
      </w:r>
      <w:r w:rsidR="00DD3929">
        <w:rPr>
          <w:noProof/>
        </w:rPr>
        <w:t>48</w:t>
      </w:r>
      <w:r w:rsidR="00DD3929" w:rsidRPr="00F12C9E">
        <w:t>. Rozwój śródlądowych dróg wodnych o znaczeniu transportowym.</w:t>
      </w:r>
      <w:r>
        <w:rPr>
          <w:szCs w:val="20"/>
        </w:rPr>
        <w:fldChar w:fldCharType="end"/>
      </w:r>
    </w:p>
    <w:p w14:paraId="462B55C4" w14:textId="55A43278" w:rsidR="00ED43A2" w:rsidRDefault="00ED43A2" w:rsidP="00EA2E52">
      <w:pPr>
        <w:pStyle w:val="Akapitzlist"/>
        <w:numPr>
          <w:ilvl w:val="0"/>
          <w:numId w:val="6"/>
        </w:numPr>
        <w:rPr>
          <w:szCs w:val="20"/>
        </w:rPr>
      </w:pPr>
      <w:r>
        <w:rPr>
          <w:szCs w:val="20"/>
        </w:rPr>
        <w:fldChar w:fldCharType="begin"/>
      </w:r>
      <w:r>
        <w:rPr>
          <w:szCs w:val="20"/>
        </w:rPr>
        <w:instrText xml:space="preserve"> REF _Ref157425172 \h </w:instrText>
      </w:r>
      <w:r>
        <w:rPr>
          <w:szCs w:val="20"/>
        </w:rPr>
      </w:r>
      <w:r>
        <w:rPr>
          <w:szCs w:val="20"/>
        </w:rPr>
        <w:fldChar w:fldCharType="separate"/>
      </w:r>
      <w:r w:rsidR="00DD3929" w:rsidRPr="00F12C9E">
        <w:t xml:space="preserve">Działanie </w:t>
      </w:r>
      <w:r w:rsidR="00DD3929">
        <w:rPr>
          <w:noProof/>
        </w:rPr>
        <w:t>49</w:t>
      </w:r>
      <w:r w:rsidR="00DD3929" w:rsidRPr="00F12C9E">
        <w:t xml:space="preserve">. </w:t>
      </w:r>
      <w:r w:rsidR="00DD3929">
        <w:t>W</w:t>
      </w:r>
      <w:r w:rsidR="00DD3929" w:rsidRPr="00F12C9E">
        <w:t>drażanie wymagań dla silników spalinowych stosowanych w żegludze śródlądowej.</w:t>
      </w:r>
      <w:r>
        <w:rPr>
          <w:szCs w:val="20"/>
        </w:rPr>
        <w:fldChar w:fldCharType="end"/>
      </w:r>
    </w:p>
    <w:p w14:paraId="2B8426AD" w14:textId="24E003DB" w:rsidR="00935FD3" w:rsidRDefault="00935FD3" w:rsidP="00EA2E52">
      <w:pPr>
        <w:pStyle w:val="Akapitzlist"/>
        <w:numPr>
          <w:ilvl w:val="0"/>
          <w:numId w:val="6"/>
        </w:numPr>
        <w:rPr>
          <w:szCs w:val="20"/>
        </w:rPr>
      </w:pPr>
      <w:r>
        <w:rPr>
          <w:szCs w:val="20"/>
        </w:rPr>
        <w:fldChar w:fldCharType="begin"/>
      </w:r>
      <w:r>
        <w:rPr>
          <w:szCs w:val="20"/>
        </w:rPr>
        <w:instrText xml:space="preserve"> REF _Ref159930546 \h </w:instrText>
      </w:r>
      <w:r>
        <w:rPr>
          <w:szCs w:val="20"/>
        </w:rPr>
      </w:r>
      <w:r>
        <w:rPr>
          <w:szCs w:val="20"/>
        </w:rPr>
        <w:fldChar w:fldCharType="separate"/>
      </w:r>
      <w:r w:rsidR="00DD3929" w:rsidRPr="00D9493F">
        <w:t xml:space="preserve">Działanie </w:t>
      </w:r>
      <w:r w:rsidR="00DD3929">
        <w:rPr>
          <w:noProof/>
        </w:rPr>
        <w:t>58</w:t>
      </w:r>
      <w:r w:rsidR="00DD3929" w:rsidRPr="00D9493F">
        <w:t>. Wsparcie w zakresie rolnictwa ekologicznego w ramach WPR</w:t>
      </w:r>
      <w:r w:rsidR="00DD3929">
        <w:rPr>
          <w:i/>
          <w:iCs/>
        </w:rPr>
        <w:t>.</w:t>
      </w:r>
      <w:r>
        <w:rPr>
          <w:szCs w:val="20"/>
        </w:rPr>
        <w:fldChar w:fldCharType="end"/>
      </w:r>
    </w:p>
    <w:p w14:paraId="1DF9DF15" w14:textId="2173DD77" w:rsidR="00ED43A2" w:rsidRDefault="00ED43A2" w:rsidP="00EA2E52">
      <w:pPr>
        <w:pStyle w:val="Akapitzlist"/>
        <w:numPr>
          <w:ilvl w:val="0"/>
          <w:numId w:val="6"/>
        </w:numPr>
        <w:rPr>
          <w:szCs w:val="20"/>
        </w:rPr>
      </w:pPr>
      <w:r>
        <w:rPr>
          <w:szCs w:val="20"/>
        </w:rPr>
        <w:fldChar w:fldCharType="begin"/>
      </w:r>
      <w:r>
        <w:rPr>
          <w:szCs w:val="20"/>
        </w:rPr>
        <w:instrText xml:space="preserve"> REF _Ref157430120 \h </w:instrText>
      </w:r>
      <w:r>
        <w:rPr>
          <w:szCs w:val="20"/>
        </w:rPr>
      </w:r>
      <w:r>
        <w:rPr>
          <w:szCs w:val="20"/>
        </w:rPr>
        <w:fldChar w:fldCharType="separate"/>
      </w:r>
      <w:r w:rsidR="00DD3929" w:rsidRPr="00F12C9E">
        <w:t xml:space="preserve">Działanie </w:t>
      </w:r>
      <w:r w:rsidR="00DD3929">
        <w:rPr>
          <w:noProof/>
        </w:rPr>
        <w:t>64</w:t>
      </w:r>
      <w:r w:rsidR="00DD3929" w:rsidRPr="00F12C9E">
        <w:t>. Wsparcie rozwoju gospodarki wodno</w:t>
      </w:r>
      <w:r w:rsidR="00DD3929">
        <w:t>-</w:t>
      </w:r>
      <w:r w:rsidR="00DD3929" w:rsidRPr="00F12C9E">
        <w:t>ściekowej.</w:t>
      </w:r>
      <w:r>
        <w:rPr>
          <w:szCs w:val="20"/>
        </w:rPr>
        <w:fldChar w:fldCharType="end"/>
      </w:r>
    </w:p>
    <w:p w14:paraId="23C3ACE5" w14:textId="09522DDF" w:rsidR="00ED43A2" w:rsidRDefault="00ED43A2" w:rsidP="00EA2E52">
      <w:pPr>
        <w:pStyle w:val="Akapitzlist"/>
        <w:numPr>
          <w:ilvl w:val="0"/>
          <w:numId w:val="6"/>
        </w:numPr>
        <w:rPr>
          <w:szCs w:val="20"/>
        </w:rPr>
      </w:pPr>
      <w:r>
        <w:rPr>
          <w:szCs w:val="20"/>
        </w:rPr>
        <w:fldChar w:fldCharType="begin"/>
      </w:r>
      <w:r>
        <w:rPr>
          <w:szCs w:val="20"/>
        </w:rPr>
        <w:instrText xml:space="preserve"> REF _Ref157430560 \h </w:instrText>
      </w:r>
      <w:r>
        <w:rPr>
          <w:szCs w:val="20"/>
        </w:rPr>
      </w:r>
      <w:r>
        <w:rPr>
          <w:szCs w:val="20"/>
        </w:rPr>
        <w:fldChar w:fldCharType="separate"/>
      </w:r>
      <w:r w:rsidR="00DD3929" w:rsidRPr="00F12C9E">
        <w:t xml:space="preserve">Działanie </w:t>
      </w:r>
      <w:r w:rsidR="00DD3929">
        <w:rPr>
          <w:noProof/>
        </w:rPr>
        <w:t>65</w:t>
      </w:r>
      <w:r w:rsidR="00DD3929" w:rsidRPr="00F12C9E">
        <w:t>. Instrument finansowy – Programy NFOŚiGW wspierające adaptację do zmian klimatu.</w:t>
      </w:r>
      <w:r>
        <w:rPr>
          <w:szCs w:val="20"/>
        </w:rPr>
        <w:fldChar w:fldCharType="end"/>
      </w:r>
    </w:p>
    <w:p w14:paraId="070BE60B" w14:textId="7F37D177" w:rsidR="00935FD3" w:rsidRDefault="00935FD3" w:rsidP="00935FD3">
      <w:pPr>
        <w:pStyle w:val="Nagwek4"/>
        <w:rPr>
          <w:color w:val="70AD47" w:themeColor="accent6"/>
        </w:rPr>
      </w:pPr>
      <w:bookmarkStart w:id="101" w:name="_Toc179536947"/>
      <w:r w:rsidRPr="00935FD3">
        <w:rPr>
          <w:color w:val="70AD47" w:themeColor="accent6"/>
        </w:rPr>
        <w:lastRenderedPageBreak/>
        <w:t>Cel w zakresie stanu gleb</w:t>
      </w:r>
      <w:bookmarkEnd w:id="101"/>
    </w:p>
    <w:p w14:paraId="62A7A7DA" w14:textId="7E4CECD1" w:rsidR="007051E8" w:rsidRPr="00951ECB" w:rsidRDefault="007051E8" w:rsidP="007051E8">
      <w:r w:rsidRPr="00951ECB">
        <w:rPr>
          <w:noProof/>
          <w:lang w:eastAsia="pl-PL"/>
        </w:rPr>
        <mc:AlternateContent>
          <mc:Choice Requires="wps">
            <w:drawing>
              <wp:anchor distT="0" distB="0" distL="114300" distR="114300" simplePos="0" relativeHeight="251771904" behindDoc="1" locked="0" layoutInCell="1" allowOverlap="1" wp14:anchorId="1AA668BA" wp14:editId="7D0C6CCD">
                <wp:simplePos x="0" y="0"/>
                <wp:positionH relativeFrom="margin">
                  <wp:posOffset>3089275</wp:posOffset>
                </wp:positionH>
                <wp:positionV relativeFrom="paragraph">
                  <wp:posOffset>67945</wp:posOffset>
                </wp:positionV>
                <wp:extent cx="2700020" cy="1428750"/>
                <wp:effectExtent l="19050" t="57150" r="119380" b="76200"/>
                <wp:wrapSquare wrapText="bothSides"/>
                <wp:docPr id="903955286" name="Prostokąt: zaokrąglone rogi 1"/>
                <wp:cNvGraphicFramePr/>
                <a:graphic xmlns:a="http://schemas.openxmlformats.org/drawingml/2006/main">
                  <a:graphicData uri="http://schemas.microsoft.com/office/word/2010/wordprocessingShape">
                    <wps:wsp>
                      <wps:cNvSpPr/>
                      <wps:spPr>
                        <a:xfrm>
                          <a:off x="0" y="0"/>
                          <a:ext cx="2700020" cy="1428750"/>
                        </a:xfrm>
                        <a:prstGeom prst="roundRect">
                          <a:avLst>
                            <a:gd name="adj" fmla="val 11857"/>
                          </a:avLst>
                        </a:prstGeom>
                        <a:solidFill>
                          <a:schemeClr val="bg1"/>
                        </a:solidFill>
                        <a:ln w="9525">
                          <a:solidFill>
                            <a:schemeClr val="accent6"/>
                          </a:solidFill>
                          <a:extLst>
                            <a:ext uri="{C807C97D-BFC1-408E-A445-0C87EB9F89A2}">
                              <ask:lineSketchStyleProps xmlns:ask="http://schemas.microsoft.com/office/drawing/2018/sketchyshapes" sd="3209426022">
                                <a:custGeom>
                                  <a:avLst/>
                                  <a:gdLst>
                                    <a:gd name="connsiteX0" fmla="*/ 0 w 2969895"/>
                                    <a:gd name="connsiteY0" fmla="*/ 369497 h 2597150"/>
                                    <a:gd name="connsiteX1" fmla="*/ 369497 w 2969895"/>
                                    <a:gd name="connsiteY1" fmla="*/ 0 h 2597150"/>
                                    <a:gd name="connsiteX2" fmla="*/ 860295 w 2969895"/>
                                    <a:gd name="connsiteY2" fmla="*/ 0 h 2597150"/>
                                    <a:gd name="connsiteX3" fmla="*/ 1373402 w 2969895"/>
                                    <a:gd name="connsiteY3" fmla="*/ 0 h 2597150"/>
                                    <a:gd name="connsiteX4" fmla="*/ 1908819 w 2969895"/>
                                    <a:gd name="connsiteY4" fmla="*/ 0 h 2597150"/>
                                    <a:gd name="connsiteX5" fmla="*/ 2600398 w 2969895"/>
                                    <a:gd name="connsiteY5" fmla="*/ 0 h 2597150"/>
                                    <a:gd name="connsiteX6" fmla="*/ 2969895 w 2969895"/>
                                    <a:gd name="connsiteY6" fmla="*/ 369497 h 2597150"/>
                                    <a:gd name="connsiteX7" fmla="*/ 2969895 w 2969895"/>
                                    <a:gd name="connsiteY7" fmla="*/ 933138 h 2597150"/>
                                    <a:gd name="connsiteX8" fmla="*/ 2969895 w 2969895"/>
                                    <a:gd name="connsiteY8" fmla="*/ 1571105 h 2597150"/>
                                    <a:gd name="connsiteX9" fmla="*/ 2969895 w 2969895"/>
                                    <a:gd name="connsiteY9" fmla="*/ 2227653 h 2597150"/>
                                    <a:gd name="connsiteX10" fmla="*/ 2600398 w 2969895"/>
                                    <a:gd name="connsiteY10" fmla="*/ 2597150 h 2597150"/>
                                    <a:gd name="connsiteX11" fmla="*/ 2087291 w 2969895"/>
                                    <a:gd name="connsiteY11" fmla="*/ 2597150 h 2597150"/>
                                    <a:gd name="connsiteX12" fmla="*/ 1596493 w 2969895"/>
                                    <a:gd name="connsiteY12" fmla="*/ 2597150 h 2597150"/>
                                    <a:gd name="connsiteX13" fmla="*/ 1083385 w 2969895"/>
                                    <a:gd name="connsiteY13" fmla="*/ 2597150 h 2597150"/>
                                    <a:gd name="connsiteX14" fmla="*/ 369497 w 2969895"/>
                                    <a:gd name="connsiteY14" fmla="*/ 2597150 h 2597150"/>
                                    <a:gd name="connsiteX15" fmla="*/ 0 w 2969895"/>
                                    <a:gd name="connsiteY15" fmla="*/ 2227653 h 2597150"/>
                                    <a:gd name="connsiteX16" fmla="*/ 0 w 2969895"/>
                                    <a:gd name="connsiteY16" fmla="*/ 1664012 h 2597150"/>
                                    <a:gd name="connsiteX17" fmla="*/ 0 w 2969895"/>
                                    <a:gd name="connsiteY17" fmla="*/ 1007464 h 2597150"/>
                                    <a:gd name="connsiteX18" fmla="*/ 0 w 2969895"/>
                                    <a:gd name="connsiteY18" fmla="*/ 369497 h 25971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Lst>
                                  <a:rect l="l" t="t" r="r" b="b"/>
                                  <a:pathLst>
                                    <a:path w="2969895" h="2597150" fill="none" extrusionOk="0">
                                      <a:moveTo>
                                        <a:pt x="0" y="369497"/>
                                      </a:moveTo>
                                      <a:cubicBezTo>
                                        <a:pt x="-21648" y="122196"/>
                                        <a:pt x="151284" y="20440"/>
                                        <a:pt x="369497" y="0"/>
                                      </a:cubicBezTo>
                                      <a:cubicBezTo>
                                        <a:pt x="522987" y="20037"/>
                                        <a:pt x="761634" y="-14955"/>
                                        <a:pt x="860295" y="0"/>
                                      </a:cubicBezTo>
                                      <a:cubicBezTo>
                                        <a:pt x="958956" y="14955"/>
                                        <a:pt x="1258306" y="-1385"/>
                                        <a:pt x="1373402" y="0"/>
                                      </a:cubicBezTo>
                                      <a:cubicBezTo>
                                        <a:pt x="1488498" y="1385"/>
                                        <a:pt x="1708357" y="-23685"/>
                                        <a:pt x="1908819" y="0"/>
                                      </a:cubicBezTo>
                                      <a:cubicBezTo>
                                        <a:pt x="2109281" y="23685"/>
                                        <a:pt x="2348083" y="10816"/>
                                        <a:pt x="2600398" y="0"/>
                                      </a:cubicBezTo>
                                      <a:cubicBezTo>
                                        <a:pt x="2768901" y="15078"/>
                                        <a:pt x="2966036" y="150633"/>
                                        <a:pt x="2969895" y="369497"/>
                                      </a:cubicBezTo>
                                      <a:cubicBezTo>
                                        <a:pt x="2962113" y="608285"/>
                                        <a:pt x="2992646" y="718113"/>
                                        <a:pt x="2969895" y="933138"/>
                                      </a:cubicBezTo>
                                      <a:cubicBezTo>
                                        <a:pt x="2947144" y="1148163"/>
                                        <a:pt x="2959903" y="1379042"/>
                                        <a:pt x="2969895" y="1571105"/>
                                      </a:cubicBezTo>
                                      <a:cubicBezTo>
                                        <a:pt x="2979887" y="1763168"/>
                                        <a:pt x="2979459" y="1952072"/>
                                        <a:pt x="2969895" y="2227653"/>
                                      </a:cubicBezTo>
                                      <a:cubicBezTo>
                                        <a:pt x="2972534" y="2425813"/>
                                        <a:pt x="2839732" y="2580296"/>
                                        <a:pt x="2600398" y="2597150"/>
                                      </a:cubicBezTo>
                                      <a:cubicBezTo>
                                        <a:pt x="2371648" y="2583364"/>
                                        <a:pt x="2211376" y="2579538"/>
                                        <a:pt x="2087291" y="2597150"/>
                                      </a:cubicBezTo>
                                      <a:cubicBezTo>
                                        <a:pt x="1963206" y="2614762"/>
                                        <a:pt x="1722052" y="2580167"/>
                                        <a:pt x="1596493" y="2597150"/>
                                      </a:cubicBezTo>
                                      <a:cubicBezTo>
                                        <a:pt x="1470934" y="2614133"/>
                                        <a:pt x="1334604" y="2607859"/>
                                        <a:pt x="1083385" y="2597150"/>
                                      </a:cubicBezTo>
                                      <a:cubicBezTo>
                                        <a:pt x="832166" y="2586441"/>
                                        <a:pt x="530773" y="2610674"/>
                                        <a:pt x="369497" y="2597150"/>
                                      </a:cubicBezTo>
                                      <a:cubicBezTo>
                                        <a:pt x="155534" y="2581945"/>
                                        <a:pt x="17352" y="2459324"/>
                                        <a:pt x="0" y="2227653"/>
                                      </a:cubicBezTo>
                                      <a:cubicBezTo>
                                        <a:pt x="-17492" y="1985602"/>
                                        <a:pt x="10018" y="1857958"/>
                                        <a:pt x="0" y="1664012"/>
                                      </a:cubicBezTo>
                                      <a:cubicBezTo>
                                        <a:pt x="-10018" y="1470066"/>
                                        <a:pt x="30211" y="1274151"/>
                                        <a:pt x="0" y="1007464"/>
                                      </a:cubicBezTo>
                                      <a:cubicBezTo>
                                        <a:pt x="-30211" y="740777"/>
                                        <a:pt x="28398" y="678939"/>
                                        <a:pt x="0" y="369497"/>
                                      </a:cubicBezTo>
                                      <a:close/>
                                    </a:path>
                                    <a:path w="2969895" h="2597150" stroke="0" extrusionOk="0">
                                      <a:moveTo>
                                        <a:pt x="0" y="369497"/>
                                      </a:moveTo>
                                      <a:cubicBezTo>
                                        <a:pt x="34577" y="178421"/>
                                        <a:pt x="167617" y="23472"/>
                                        <a:pt x="369497" y="0"/>
                                      </a:cubicBezTo>
                                      <a:cubicBezTo>
                                        <a:pt x="518833" y="25358"/>
                                        <a:pt x="763926" y="-12862"/>
                                        <a:pt x="927222" y="0"/>
                                      </a:cubicBezTo>
                                      <a:cubicBezTo>
                                        <a:pt x="1090519" y="12862"/>
                                        <a:pt x="1283092" y="13454"/>
                                        <a:pt x="1529566" y="0"/>
                                      </a:cubicBezTo>
                                      <a:cubicBezTo>
                                        <a:pt x="1776040" y="-13454"/>
                                        <a:pt x="2346815" y="-6698"/>
                                        <a:pt x="2600398" y="0"/>
                                      </a:cubicBezTo>
                                      <a:cubicBezTo>
                                        <a:pt x="2790254" y="-14900"/>
                                        <a:pt x="2963476" y="163312"/>
                                        <a:pt x="2969895" y="369497"/>
                                      </a:cubicBezTo>
                                      <a:cubicBezTo>
                                        <a:pt x="2964010" y="618454"/>
                                        <a:pt x="2992138" y="705432"/>
                                        <a:pt x="2969895" y="933138"/>
                                      </a:cubicBezTo>
                                      <a:cubicBezTo>
                                        <a:pt x="2947652" y="1160844"/>
                                        <a:pt x="2959065" y="1396088"/>
                                        <a:pt x="2969895" y="1552523"/>
                                      </a:cubicBezTo>
                                      <a:cubicBezTo>
                                        <a:pt x="2980725" y="1708958"/>
                                        <a:pt x="2989525" y="1922101"/>
                                        <a:pt x="2969895" y="2227653"/>
                                      </a:cubicBezTo>
                                      <a:cubicBezTo>
                                        <a:pt x="2961485" y="2426742"/>
                                        <a:pt x="2843982" y="2584275"/>
                                        <a:pt x="2600398" y="2597150"/>
                                      </a:cubicBezTo>
                                      <a:cubicBezTo>
                                        <a:pt x="2446371" y="2597226"/>
                                        <a:pt x="2156238" y="2611024"/>
                                        <a:pt x="2042673" y="2597150"/>
                                      </a:cubicBezTo>
                                      <a:cubicBezTo>
                                        <a:pt x="1929108" y="2583276"/>
                                        <a:pt x="1682141" y="2616607"/>
                                        <a:pt x="1484948" y="2597150"/>
                                      </a:cubicBezTo>
                                      <a:cubicBezTo>
                                        <a:pt x="1287756" y="2577693"/>
                                        <a:pt x="1127330" y="2623505"/>
                                        <a:pt x="927222" y="2597150"/>
                                      </a:cubicBezTo>
                                      <a:cubicBezTo>
                                        <a:pt x="727114" y="2570795"/>
                                        <a:pt x="553257" y="2623034"/>
                                        <a:pt x="369497" y="2597150"/>
                                      </a:cubicBezTo>
                                      <a:cubicBezTo>
                                        <a:pt x="194263" y="2631399"/>
                                        <a:pt x="3410" y="2439480"/>
                                        <a:pt x="0" y="2227653"/>
                                      </a:cubicBezTo>
                                      <a:cubicBezTo>
                                        <a:pt x="-13465" y="2026099"/>
                                        <a:pt x="2425" y="1821961"/>
                                        <a:pt x="0" y="1645431"/>
                                      </a:cubicBezTo>
                                      <a:cubicBezTo>
                                        <a:pt x="-2425" y="1468901"/>
                                        <a:pt x="-3089" y="1229156"/>
                                        <a:pt x="0" y="1063209"/>
                                      </a:cubicBezTo>
                                      <a:cubicBezTo>
                                        <a:pt x="3089" y="897262"/>
                                        <a:pt x="-3659" y="513368"/>
                                        <a:pt x="0" y="369497"/>
                                      </a:cubicBezTo>
                                      <a:close/>
                                    </a:path>
                                  </a:pathLst>
                                </a:custGeom>
                                <ask:type>
                                  <ask:lineSketchNone/>
                                </ask:type>
                              </ask:lineSketchStyleProps>
                            </a:ext>
                          </a:extLst>
                        </a:ln>
                        <a:effectLst>
                          <a:outerShdw blurRad="50800" dist="38100" algn="l"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txbx>
                        <w:txbxContent>
                          <w:p w14:paraId="06258472" w14:textId="0D01D7B7" w:rsidR="007051E8" w:rsidRPr="004E21CF" w:rsidRDefault="007051E8" w:rsidP="007051E8">
                            <w:pPr>
                              <w:pStyle w:val="Ramka"/>
                            </w:pPr>
                            <w:r w:rsidRPr="001378FB">
                              <w:t xml:space="preserve">Do sektorów gospodarki mających wpływ na </w:t>
                            </w:r>
                            <w:r w:rsidR="00843F12">
                              <w:t xml:space="preserve">stan </w:t>
                            </w:r>
                            <w:r w:rsidRPr="001378FB">
                              <w:t xml:space="preserve"> gleb</w:t>
                            </w:r>
                            <w:r w:rsidR="00843F12">
                              <w:t xml:space="preserve"> i ich degradację</w:t>
                            </w:r>
                            <w:r w:rsidRPr="001378FB">
                              <w:t xml:space="preserve"> zalicza się</w:t>
                            </w:r>
                            <w:r w:rsidR="00843F12">
                              <w:t xml:space="preserve"> </w:t>
                            </w:r>
                            <w:r w:rsidRPr="001378FB">
                              <w:t xml:space="preserve">głównie gospodarkę odpadami, przemysł, transport, energetykę, górnictwo oraz rolnictwo. </w:t>
                            </w:r>
                            <w:r>
                              <w:t>Istotne znaczenie ma także budownictwo, w tym zajmowanie nowych gruntów i ich pokrywanie trwałym, nieprzepuszczalnym materiałem.</w:t>
                            </w:r>
                          </w:p>
                        </w:txbxContent>
                      </wps:txbx>
                      <wps:bodyPr rot="0" spcFirstLastPara="0" vertOverflow="overflow" horzOverflow="overflow" vert="horz" wrap="square" lIns="72000" tIns="90000" rIns="7200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AA668BA" id="Prostokąt: zaokrąglone rogi 1" o:spid="_x0000_s1090" style="position:absolute;left:0;text-align:left;margin-left:243.25pt;margin-top:5.35pt;width:212.6pt;height:112.5pt;z-index:-2515445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777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" fillcolor="white [3212]" strokecolor="#70ad47 [3209]">
                <v:stroke joinstyle="miter"/>
                <v:shadow on="t" color="black" opacity="26214f" origin="-.5" offset="3pt,0"/>
                <v:textbox inset="2mm,2.5mm,2mm,0">
                  <w:txbxContent>
                    <w:p w14:paraId="06258472" w14:textId="0D01D7B7" w:rsidR="007051E8" w:rsidRPr="004E21CF" w:rsidRDefault="007051E8" w:rsidP="007051E8">
                      <w:pPr>
                        <w:pStyle w:val="Ramka"/>
                      </w:pPr>
                      <w:r w:rsidRPr="001378FB">
                        <w:t xml:space="preserve">Do sektorów gospodarki mających wpływ na </w:t>
                      </w:r>
                      <w:r w:rsidR="00843F12">
                        <w:t xml:space="preserve">stan </w:t>
                      </w:r>
                      <w:r w:rsidRPr="001378FB">
                        <w:t xml:space="preserve"> gleb</w:t>
                      </w:r>
                      <w:r w:rsidR="00843F12">
                        <w:t xml:space="preserve"> i ich degradację</w:t>
                      </w:r>
                      <w:r w:rsidRPr="001378FB">
                        <w:t xml:space="preserve"> zalicza się</w:t>
                      </w:r>
                      <w:r w:rsidR="00843F12">
                        <w:t xml:space="preserve"> </w:t>
                      </w:r>
                      <w:r w:rsidRPr="001378FB">
                        <w:t xml:space="preserve">głównie gospodarkę odpadami, przemysł, transport, energetykę, górnictwo oraz rolnictwo. </w:t>
                      </w:r>
                      <w:r>
                        <w:t>Istotne znaczenie ma także budownictwo, w tym zajmowanie nowych gruntów i ich pokrywanie trwałym, nieprzepuszczalnym materiałem.</w:t>
                      </w:r>
                    </w:p>
                  </w:txbxContent>
                </v:textbox>
                <w10:wrap type="square" anchorx="margin"/>
              </v:roundrect>
            </w:pict>
          </mc:Fallback>
        </mc:AlternateContent>
      </w:r>
      <w:r w:rsidRPr="00951ECB">
        <w:t>Gleba stanowi podstawowy, ograniczony i nieodnawialny zasób naturalny. Jest jednym z głównych elementów środowiska przyrodniczego i siedliskiem ogromnej ilości organizmów żywych. Gleba pełni liczne funkcje środowiskowe, gospodarcze, społeczne i</w:t>
      </w:r>
      <w:r w:rsidR="00843F12">
        <w:t xml:space="preserve"> </w:t>
      </w:r>
      <w:r w:rsidRPr="00951ECB">
        <w:t>kulturowe. Niezwykle istotna jest funkcja produkcyjna w</w:t>
      </w:r>
      <w:r w:rsidR="00843F12">
        <w:t xml:space="preserve"> </w:t>
      </w:r>
      <w:r w:rsidRPr="00951ECB">
        <w:t xml:space="preserve">rolnictwie, zapewniająca nam dostarczanie żywności, biomasy i surowców. </w:t>
      </w:r>
    </w:p>
    <w:p w14:paraId="54DF4158" w14:textId="231476D0" w:rsidR="007051E8" w:rsidRPr="00951ECB" w:rsidRDefault="007051E8" w:rsidP="007051E8">
      <w:pPr>
        <w:rPr>
          <w:rFonts w:cs="Calibri"/>
          <w:color w:val="000000"/>
        </w:rPr>
      </w:pPr>
      <w:r w:rsidRPr="00951ECB">
        <w:t>Do procesów degradacji gleb należą zjawiska m.in. takie jak zanieczyszczenie, erozja, spadek zawartości materii organicznej, zagęszczanie, zasolenie, zakwaszenie, zasklepienie. Odwrócenie procesu degradacji gleb wpływa korzystnie na realizację celów związanych z osiągnięciem neutralności klimatycznej i</w:t>
      </w:r>
      <w:r w:rsidR="00843F12">
        <w:t> </w:t>
      </w:r>
      <w:r w:rsidRPr="00951ECB">
        <w:t>adaptacją do zmian klimatu, w tym ekstremalnych zdarzeń pogodowych,</w:t>
      </w:r>
      <w:r w:rsidR="002E2988">
        <w:t xml:space="preserve"> tj. </w:t>
      </w:r>
      <w:r w:rsidRPr="00951ECB">
        <w:t>suszy i</w:t>
      </w:r>
      <w:r w:rsidR="00843F12">
        <w:t xml:space="preserve"> </w:t>
      </w:r>
      <w:r w:rsidRPr="00951ECB">
        <w:t>powodzi, z</w:t>
      </w:r>
      <w:r w:rsidR="002E2988">
        <w:t>wiekszaniem</w:t>
      </w:r>
      <w:r w:rsidRPr="00951ECB">
        <w:t xml:space="preserve"> retencji wody, rozwojem czystej gospodarki o obiegu zamkniętym, odwróceniem procesu utraty różnorodności biologicznej, ochronę zdrowia i dobrostan ludzi. Stan gleb można uznać za dobry wtedy, gdy żadna z pełnionych przez nie funkcji nie jest znacząco naruszona.</w:t>
      </w:r>
      <w:r w:rsidRPr="00951ECB">
        <w:rPr>
          <w:rFonts w:cs="Calibri"/>
          <w:color w:val="000000"/>
        </w:rPr>
        <w:t xml:space="preserve"> </w:t>
      </w:r>
    </w:p>
    <w:p w14:paraId="13DA9D12" w14:textId="77777777" w:rsidR="007051E8" w:rsidRPr="00951ECB" w:rsidRDefault="007051E8" w:rsidP="007051E8">
      <w:r w:rsidRPr="00951ECB">
        <w:rPr>
          <w:b/>
          <w:bCs/>
        </w:rPr>
        <w:t>Polska dostrzega kluczową rolę gleb w środowisku przyrodniczym i ochronie klimatu.</w:t>
      </w:r>
      <w:r>
        <w:rPr>
          <w:b/>
          <w:bCs/>
        </w:rPr>
        <w:t xml:space="preserve"> </w:t>
      </w:r>
      <w:r w:rsidRPr="00951ECB">
        <w:t>Pożądanym kierunkiem działania w zakresie ochrony gleb jest zatem zapobieganie degradacji gleb oraz zachowanie ich funkcji, a także przywracanie właściwych funkcji glebom zdegradowanym, biorąc pod uwagę ich aktualne i planowane przeznaczenie. Parametry określania dobrego stanu gleb powinny być zróżnicowane i dobierane z uwzględnieniem sposobu użytkowania, rodzaju spodziewanej degradacji i właściwości gleby.</w:t>
      </w:r>
    </w:p>
    <w:p w14:paraId="44C875AF" w14:textId="77777777" w:rsidR="007051E8" w:rsidRPr="00951ECB" w:rsidRDefault="007051E8" w:rsidP="007051E8">
      <w:pPr>
        <w:pStyle w:val="Cele"/>
        <w:rPr>
          <w:b/>
          <w:bCs/>
        </w:rPr>
      </w:pPr>
      <w:r w:rsidRPr="00951ECB">
        <w:rPr>
          <w:b/>
          <w:bCs/>
        </w:rPr>
        <w:t>Korzystanie z zasobów glebowych powinno odbywać się w taki sposób, aby zapewnić jak najlepszy jej stan dla przyszłych pokoleń.</w:t>
      </w:r>
    </w:p>
    <w:p w14:paraId="5957929D" w14:textId="6243D164" w:rsidR="007051E8" w:rsidRPr="00951ECB" w:rsidRDefault="007051E8" w:rsidP="007051E8">
      <w:pPr>
        <w:rPr>
          <w:rFonts w:cs="Calibri"/>
        </w:rPr>
      </w:pPr>
      <w:r w:rsidRPr="007051E8">
        <w:rPr>
          <w:rFonts w:cs="Calibri"/>
          <w:b/>
          <w:bCs/>
          <w:i/>
          <w:iCs/>
        </w:rPr>
        <w:t>Strategia UE na rzecz ochrony gleb 2030 r. – korzyści ze zdrowych gleb dla ludzi, żywności, przyrody i klimatu</w:t>
      </w:r>
      <w:r w:rsidRPr="00951ECB">
        <w:rPr>
          <w:rFonts w:cs="Calibri"/>
          <w:b/>
          <w:bCs/>
        </w:rPr>
        <w:t xml:space="preserve">, </w:t>
      </w:r>
      <w:r w:rsidRPr="00951ECB">
        <w:rPr>
          <w:rFonts w:cs="Calibri"/>
        </w:rPr>
        <w:t>tzw. Strategia glebowa UE</w:t>
      </w:r>
      <w:r w:rsidR="0084758C">
        <w:rPr>
          <w:rFonts w:cs="Calibri"/>
        </w:rPr>
        <w:t xml:space="preserve"> (</w:t>
      </w:r>
      <w:hyperlink r:id="rId62" w:history="1">
        <w:r w:rsidR="0084758C" w:rsidRPr="0084758C">
          <w:rPr>
            <w:rStyle w:val="Hipercze"/>
            <w:rFonts w:cs="Calibri"/>
          </w:rPr>
          <w:t>link</w:t>
        </w:r>
      </w:hyperlink>
      <w:r w:rsidR="0084758C">
        <w:rPr>
          <w:rFonts w:cs="Calibri"/>
        </w:rPr>
        <w:t>)</w:t>
      </w:r>
      <w:r w:rsidRPr="00951ECB">
        <w:rPr>
          <w:rFonts w:cs="Calibri"/>
        </w:rPr>
        <w:t xml:space="preserve"> przedstawia działania, zorientowane na osiągnięcie celów Europejskiego Zielonego Ładu w zakresie łagodzenia </w:t>
      </w:r>
      <w:r w:rsidR="002E2988">
        <w:rPr>
          <w:rFonts w:cs="Calibri"/>
        </w:rPr>
        <w:t xml:space="preserve">skutków </w:t>
      </w:r>
      <w:r w:rsidRPr="00951ECB">
        <w:rPr>
          <w:rFonts w:cs="Calibri"/>
        </w:rPr>
        <w:t xml:space="preserve">zmian klimatu i przystosowania się do nich, przywracania bioróżnorodności, </w:t>
      </w:r>
      <w:r w:rsidR="002E2988">
        <w:rPr>
          <w:rFonts w:cs="Calibri"/>
        </w:rPr>
        <w:t>zapewnienia</w:t>
      </w:r>
      <w:r w:rsidR="002E2988" w:rsidRPr="00951ECB">
        <w:rPr>
          <w:rFonts w:cs="Calibri"/>
        </w:rPr>
        <w:t xml:space="preserve"> </w:t>
      </w:r>
      <w:r w:rsidRPr="00951ECB">
        <w:rPr>
          <w:rFonts w:cs="Calibri"/>
        </w:rPr>
        <w:t>bezpieczeństwa żywnościowego, zerowego zanieczyszczenia i ochrony zdrowia ludzkiego, zwiększenia ponownego wykorzystania gruntów i zmniejszenia zajmowania nowych terenów.</w:t>
      </w:r>
    </w:p>
    <w:p w14:paraId="5E39BB83" w14:textId="6C747748" w:rsidR="00935FD3" w:rsidRDefault="007051E8" w:rsidP="007051E8">
      <w:r w:rsidRPr="00951ECB">
        <w:rPr>
          <w:rFonts w:cs="Calibri"/>
        </w:rPr>
        <w:t xml:space="preserve">Aktualnie trwają zaawansowane prace na poziomie UE nad wnioskiem dotyczącym </w:t>
      </w:r>
      <w:r w:rsidRPr="00951ECB">
        <w:rPr>
          <w:rFonts w:cs="Calibri"/>
          <w:b/>
          <w:bCs/>
        </w:rPr>
        <w:t xml:space="preserve">projektu </w:t>
      </w:r>
      <w:r w:rsidR="00100A8A">
        <w:rPr>
          <w:rFonts w:cs="Calibri"/>
          <w:b/>
          <w:bCs/>
        </w:rPr>
        <w:t xml:space="preserve">dyrektywy </w:t>
      </w:r>
      <w:r w:rsidR="00100A8A">
        <w:rPr>
          <w:b/>
          <w:bCs/>
        </w:rPr>
        <w:t xml:space="preserve">PE </w:t>
      </w:r>
      <w:r w:rsidRPr="00951ECB">
        <w:rPr>
          <w:b/>
          <w:bCs/>
        </w:rPr>
        <w:t>i Rady w sprawie monitorowania i odporności gleb (prawo o monitorowaniu gleb)</w:t>
      </w:r>
      <w:r w:rsidRPr="00951ECB">
        <w:t>. Celem projektu dyrektywy jest powstrzymanie degradacji i osiągnięcie zdrowych gleb w całej UE do 2050 r. Dyrektywa dotyczy wszystkich gleb w Unii Europejskiej, bez względu na ich sposób użytkowania, obejmując zarówno gleby rolne, leśne, jak i miejskie. Projekt dyrektywy przewiduje obowiązek ustanowienia okręgów glebowych na obszarze całego kraju jako podstawowej jednostki zarządzania glebami. Państwa członkowskie będą zobowiązane do ustanowienia ram monitorowania i oceny zdrowia gleby i zajmowania gruntów w każdym okręgu glebowym. Zebrane dane z monitoringu powinny zostać wykorzystane przez państwa członkowskie do</w:t>
      </w:r>
      <w:r w:rsidR="00843F12">
        <w:t xml:space="preserve"> </w:t>
      </w:r>
      <w:r w:rsidRPr="00951ECB">
        <w:t xml:space="preserve">określenia środków i zasad zrównoważonego gospodarowania glebą i jej regeneracji. Projekt dyrektywy wprowadza również obowiązek przestrzegania zasad dotyczących ograniczania zajmowania gruntów jako działania przyczyniające się do łagodzenia </w:t>
      </w:r>
      <w:r w:rsidR="002E2988">
        <w:t xml:space="preserve">skutków </w:t>
      </w:r>
      <w:r w:rsidRPr="00951ECB">
        <w:t xml:space="preserve">zmian klimatu. </w:t>
      </w:r>
      <w:r w:rsidR="00100A8A">
        <w:t>P</w:t>
      </w:r>
      <w:r w:rsidR="00100A8A" w:rsidRPr="004D2F5B">
        <w:t xml:space="preserve">ochłanianie </w:t>
      </w:r>
      <w:r w:rsidR="00100A8A">
        <w:t>CO</w:t>
      </w:r>
      <w:r w:rsidR="00100A8A" w:rsidRPr="00100A8A">
        <w:rPr>
          <w:vertAlign w:val="subscript"/>
        </w:rPr>
        <w:t>2</w:t>
      </w:r>
      <w:r w:rsidR="00100A8A">
        <w:rPr>
          <w:rStyle w:val="Odwoanieprzypisudolnego"/>
        </w:rPr>
        <w:footnoteReference w:id="50"/>
      </w:r>
      <w:r w:rsidR="00100A8A" w:rsidRPr="004D2F5B">
        <w:t xml:space="preserve"> </w:t>
      </w:r>
      <w:r w:rsidR="00100A8A">
        <w:t xml:space="preserve">i magazynowanie wody </w:t>
      </w:r>
      <w:r w:rsidR="00100A8A" w:rsidRPr="004D2F5B">
        <w:t xml:space="preserve">w wyniku zrównoważonego gospodarowania glebami, tak aby </w:t>
      </w:r>
      <w:r w:rsidR="00100A8A" w:rsidRPr="004D2F5B">
        <w:lastRenderedPageBreak/>
        <w:t>mogły równoważyć emisje gazów cieplarnianych</w:t>
      </w:r>
      <w:r w:rsidR="00100A8A">
        <w:t xml:space="preserve">, jest </w:t>
      </w:r>
      <w:r w:rsidR="00100A8A" w:rsidRPr="004D2F5B">
        <w:t xml:space="preserve">zasadniczym elementem działań niezbędnych do osiągnięcia neutralności klimatycznej. </w:t>
      </w:r>
      <w:r w:rsidR="00100A8A">
        <w:t>Projekt dyrektywy</w:t>
      </w:r>
      <w:r w:rsidR="00100A8A" w:rsidRPr="004D2F5B">
        <w:t xml:space="preserve"> jest w </w:t>
      </w:r>
      <w:r w:rsidR="00100A8A">
        <w:t xml:space="preserve">tym zakresie w </w:t>
      </w:r>
      <w:r w:rsidR="00100A8A" w:rsidRPr="004D2F5B">
        <w:t>pełni uzupełniający i</w:t>
      </w:r>
      <w:r w:rsidR="002E2988">
        <w:t> </w:t>
      </w:r>
      <w:r w:rsidR="00100A8A" w:rsidRPr="004D2F5B">
        <w:t>synergiczny z rozporządzeniem w sprawie użytkowania gruntów, zmiany użytkowania gruntów i leśnictwa (LULUCF)</w:t>
      </w:r>
      <w:r w:rsidR="00100A8A">
        <w:t xml:space="preserve">. </w:t>
      </w:r>
      <w:r w:rsidRPr="00951ECB">
        <w:t>Przewidziano również zobowiązanie państw członkowskich do zidentyfikowania wszystkich potencjalnie zanieczyszczonych miejsc i zebrania ich w publicznie dostępnym rejestrze. Następnie należy przeprowadzić badania tych miejsc i podjąć działania remediacyjne w miejscach, w</w:t>
      </w:r>
      <w:r>
        <w:t> </w:t>
      </w:r>
      <w:r w:rsidRPr="00951ECB">
        <w:t>których stwierdzono niedopuszczalne dla zdrowia ludzi i stanu środowiska zagrożenie</w:t>
      </w:r>
      <w:r w:rsidR="00843F12">
        <w:t>.</w:t>
      </w:r>
    </w:p>
    <w:p w14:paraId="7531580E" w14:textId="77777777" w:rsidR="00843F12" w:rsidRDefault="00843F12" w:rsidP="00843F12">
      <w:pPr>
        <w:pStyle w:val="Polityka"/>
      </w:pPr>
      <w:r>
        <w:t>POLITYKA</w:t>
      </w:r>
    </w:p>
    <w:p w14:paraId="010C11F7" w14:textId="77777777" w:rsidR="00843F12" w:rsidRDefault="00843F12" w:rsidP="00843F12">
      <w:r>
        <w:t xml:space="preserve">Wśród zidentyfikowanych licznych zagrożeń dla gleb, kwestia zanieczyszczenia gleb oraz problematyka utraty zawartości materii organicznej i zakwaszenia mają z punktu widzenia ochrony środowiska w Polsce wysoki priorytet. </w:t>
      </w:r>
    </w:p>
    <w:p w14:paraId="4719F464" w14:textId="5AAFD6A0" w:rsidR="00843F12" w:rsidRDefault="00843F12" w:rsidP="00843F12">
      <w:r>
        <w:t xml:space="preserve">W polskim systemie prawnym ochrona gleb jest powiązana z szerszym pojęciem ochrony powierzchni ziemi i obejmuje również ochronę przed zanieczyszczeniem oraz innymi formami degradacji także warstwy gruntu znajdujące się pod glebą. Kontynuowane będą </w:t>
      </w:r>
      <w:r w:rsidRPr="00843F12">
        <w:rPr>
          <w:b/>
          <w:bCs/>
        </w:rPr>
        <w:t>działania mające na celu zidentyfikowanie gleb zanieczyszczonych oraz wsparcie ich remediacji</w:t>
      </w:r>
      <w:r>
        <w:t>, tj. usunięcia lub zmniejszenia ilości substancji szkodliwych do poziomu bezpiecznego dla zdrowia ludzi i stanu środowiska, ich kontrolowanie oraz ograniczenie rozprzestrzeniania się.</w:t>
      </w:r>
    </w:p>
    <w:p w14:paraId="49C17AFE" w14:textId="5132885A" w:rsidR="00843F12" w:rsidRDefault="00843F12" w:rsidP="00843F12">
      <w:r>
        <w:t xml:space="preserve">Gleba jest podstawowym zasobem produkcyjnym rolnictwa i leśnictwa, toteż dobry stan polskich gleb stanowi potencjał dla produkcji żywności i innych surowców wysokiej jakości. Ochrona produktywności gruntów rolnych i leśnych będzie polegała przede wszystkim na zapobieganiu wyłączaniu gleb z użytkowania rolniczego i leśnego, zapobieganiu erozji gleb i utracie zawartości materii organicznej w glebach. </w:t>
      </w:r>
      <w:r w:rsidR="00AD7336">
        <w:t>Przewiduje się przy tym prowadzenie aktywnych działań na rzecz biologicznej sekwestracji CO</w:t>
      </w:r>
      <w:r w:rsidR="00AD7336">
        <w:rPr>
          <w:vertAlign w:val="subscript"/>
        </w:rPr>
        <w:t xml:space="preserve">2 </w:t>
      </w:r>
      <w:r w:rsidR="00AD7336">
        <w:t>w glebie.</w:t>
      </w:r>
    </w:p>
    <w:p w14:paraId="1E983F56" w14:textId="0694F513" w:rsidR="00843F12" w:rsidRDefault="00843F12" w:rsidP="00843F12">
      <w:r>
        <w:t xml:space="preserve">Istotna z punktu widzenia ochrony gleb jest również </w:t>
      </w:r>
      <w:r w:rsidRPr="00843F12">
        <w:rPr>
          <w:b/>
          <w:bCs/>
        </w:rPr>
        <w:t>zasada pierwszeństwa wtórnego użytkowania przestrzeni w procesach inwestycyjnych</w:t>
      </w:r>
      <w:r>
        <w:t xml:space="preserve">, która służy m.in. ograniczeniu zajmowania nowych gruntów i zasklepiania powierzchni ziemi. </w:t>
      </w:r>
    </w:p>
    <w:p w14:paraId="51C290A5" w14:textId="77777777" w:rsidR="00843F12" w:rsidRDefault="00843F12" w:rsidP="00843F12">
      <w:r>
        <w:t xml:space="preserve">Dodatkowo w związku z pracami legislacyjnymi na poziomie UE nad projektem dyrektywy Parlamentu Europejskiego i Rady w sprawie monitorowania i odporności gleb (prawo o monitorowaniu gleb), niezbędne będzie przygotowania dodatkowych rozwiązań, które wzmocnią dotychczasowy krajowy system ochrony gleb. </w:t>
      </w:r>
    </w:p>
    <w:p w14:paraId="56F13368" w14:textId="3033F1F1" w:rsidR="00843F12" w:rsidRDefault="00843F12" w:rsidP="00843F12">
      <w:pPr>
        <w:pStyle w:val="Polityka"/>
      </w:pPr>
      <w:r>
        <w:t>DZIAŁANIA</w:t>
      </w:r>
    </w:p>
    <w:p w14:paraId="1E2DF05C" w14:textId="71D9B092" w:rsidR="00564E20" w:rsidRDefault="00564E20" w:rsidP="00612B5D">
      <w:pPr>
        <w:pStyle w:val="Akapitzlist"/>
        <w:numPr>
          <w:ilvl w:val="0"/>
          <w:numId w:val="45"/>
        </w:numPr>
      </w:pPr>
      <w:r>
        <w:fldChar w:fldCharType="begin"/>
      </w:r>
      <w:r>
        <w:instrText xml:space="preserve"> REF _Ref173420838 \h </w:instrText>
      </w:r>
      <w:r>
        <w:fldChar w:fldCharType="separate"/>
      </w:r>
      <w:r w:rsidR="00DD3929">
        <w:t xml:space="preserve">Działanie </w:t>
      </w:r>
      <w:r w:rsidR="00DD3929">
        <w:rPr>
          <w:noProof/>
        </w:rPr>
        <w:t>67</w:t>
      </w:r>
      <w:r w:rsidR="00DD3929">
        <w:t>.</w:t>
      </w:r>
      <w:r w:rsidR="00DD3929" w:rsidRPr="00467AA9">
        <w:t xml:space="preserve"> Kontynuacja i rozważenie potrzeby rozbudowania monitoringu gleb w Polsce.</w:t>
      </w:r>
      <w:r>
        <w:fldChar w:fldCharType="end"/>
      </w:r>
    </w:p>
    <w:p w14:paraId="27761301" w14:textId="6FCC1D00" w:rsidR="00564E20" w:rsidRDefault="00564E20" w:rsidP="00612B5D">
      <w:pPr>
        <w:pStyle w:val="Akapitzlist"/>
        <w:numPr>
          <w:ilvl w:val="0"/>
          <w:numId w:val="45"/>
        </w:numPr>
      </w:pPr>
      <w:r>
        <w:fldChar w:fldCharType="begin"/>
      </w:r>
      <w:r>
        <w:instrText xml:space="preserve"> REF _Ref173420858 \h </w:instrText>
      </w:r>
      <w:r>
        <w:fldChar w:fldCharType="separate"/>
      </w:r>
      <w:r w:rsidR="00DD3929">
        <w:t xml:space="preserve">Działanie </w:t>
      </w:r>
      <w:r w:rsidR="00DD3929">
        <w:rPr>
          <w:noProof/>
        </w:rPr>
        <w:t>68</w:t>
      </w:r>
      <w:r w:rsidR="00DD3929">
        <w:t xml:space="preserve">. </w:t>
      </w:r>
      <w:r w:rsidR="00DD3929" w:rsidRPr="00467AA9">
        <w:t>Identyfikacja miejsc, w</w:t>
      </w:r>
      <w:r w:rsidR="00DD3929">
        <w:t> </w:t>
      </w:r>
      <w:r w:rsidR="00DD3929" w:rsidRPr="00467AA9">
        <w:t>których występują zanieczyszczenia powierzchni ziemi spowodowane działalnością gospodarczą.</w:t>
      </w:r>
      <w:r>
        <w:fldChar w:fldCharType="end"/>
      </w:r>
    </w:p>
    <w:p w14:paraId="6EE9A4C1" w14:textId="77ED6636" w:rsidR="00564E20" w:rsidRDefault="00564E20" w:rsidP="00612B5D">
      <w:pPr>
        <w:pStyle w:val="Akapitzlist"/>
        <w:numPr>
          <w:ilvl w:val="0"/>
          <w:numId w:val="45"/>
        </w:numPr>
      </w:pPr>
      <w:r>
        <w:fldChar w:fldCharType="begin"/>
      </w:r>
      <w:r>
        <w:instrText xml:space="preserve"> REF _Ref173420860 \h </w:instrText>
      </w:r>
      <w:r>
        <w:fldChar w:fldCharType="separate"/>
      </w:r>
      <w:r w:rsidR="00DD3929">
        <w:t xml:space="preserve">Działanie </w:t>
      </w:r>
      <w:r w:rsidR="00DD3929">
        <w:rPr>
          <w:noProof/>
        </w:rPr>
        <w:t>69</w:t>
      </w:r>
      <w:r w:rsidR="00DD3929">
        <w:t xml:space="preserve">. </w:t>
      </w:r>
      <w:r w:rsidR="00DD3929" w:rsidRPr="00467AA9">
        <w:t>W</w:t>
      </w:r>
      <w:r w:rsidR="00DD3929">
        <w:t>s</w:t>
      </w:r>
      <w:r w:rsidR="00DD3929" w:rsidRPr="00467AA9">
        <w:t>pieranie remediacji zanieczyszczonej powierzchni ziemi.</w:t>
      </w:r>
      <w:r>
        <w:fldChar w:fldCharType="end"/>
      </w:r>
    </w:p>
    <w:p w14:paraId="0359D71E" w14:textId="4D32C47A" w:rsidR="00564E20" w:rsidRDefault="00564E20" w:rsidP="00612B5D">
      <w:pPr>
        <w:pStyle w:val="Akapitzlist"/>
        <w:numPr>
          <w:ilvl w:val="0"/>
          <w:numId w:val="45"/>
        </w:numPr>
      </w:pPr>
      <w:r>
        <w:fldChar w:fldCharType="begin"/>
      </w:r>
      <w:r>
        <w:instrText xml:space="preserve"> REF _Ref173420862 \h </w:instrText>
      </w:r>
      <w:r>
        <w:fldChar w:fldCharType="separate"/>
      </w:r>
      <w:r w:rsidR="00DD3929">
        <w:t xml:space="preserve">Działanie </w:t>
      </w:r>
      <w:r w:rsidR="00DD3929">
        <w:rPr>
          <w:noProof/>
        </w:rPr>
        <w:t>70</w:t>
      </w:r>
      <w:r w:rsidR="00DD3929">
        <w:t>.</w:t>
      </w:r>
      <w:r w:rsidR="00DD3929" w:rsidRPr="00467AA9">
        <w:t xml:space="preserve"> Zapobieganie procesom degradacji gruntów naturalnych oraz użytkowanych w</w:t>
      </w:r>
      <w:r w:rsidR="00DD3929">
        <w:t> </w:t>
      </w:r>
      <w:r w:rsidR="00DD3929" w:rsidRPr="00467AA9">
        <w:t>celach rolniczych i leśnych</w:t>
      </w:r>
      <w:r w:rsidR="00DD3929">
        <w:t>.</w:t>
      </w:r>
      <w:r>
        <w:fldChar w:fldCharType="end"/>
      </w:r>
    </w:p>
    <w:p w14:paraId="4C25DA06" w14:textId="3518CFAC" w:rsidR="00564E20" w:rsidRDefault="00564E20" w:rsidP="00612B5D">
      <w:pPr>
        <w:pStyle w:val="Akapitzlist"/>
        <w:numPr>
          <w:ilvl w:val="0"/>
          <w:numId w:val="45"/>
        </w:numPr>
      </w:pPr>
      <w:r>
        <w:fldChar w:fldCharType="begin"/>
      </w:r>
      <w:r>
        <w:instrText xml:space="preserve"> REF _Ref173420864 \h </w:instrText>
      </w:r>
      <w:r>
        <w:fldChar w:fldCharType="separate"/>
      </w:r>
      <w:r w:rsidR="00DD3929">
        <w:t xml:space="preserve">Działanie </w:t>
      </w:r>
      <w:r w:rsidR="00DD3929">
        <w:rPr>
          <w:noProof/>
        </w:rPr>
        <w:t>71</w:t>
      </w:r>
      <w:r w:rsidR="00DD3929">
        <w:t xml:space="preserve">. </w:t>
      </w:r>
      <w:r w:rsidR="00DD3929" w:rsidRPr="00467AA9">
        <w:t>W</w:t>
      </w:r>
      <w:r w:rsidR="00DD3929">
        <w:t>s</w:t>
      </w:r>
      <w:r w:rsidR="00DD3929" w:rsidRPr="00467AA9">
        <w:t>pieranie rekultywacji gruntów zdegradowanych i</w:t>
      </w:r>
      <w:r w:rsidR="00DD3929">
        <w:t> </w:t>
      </w:r>
      <w:r w:rsidR="00DD3929" w:rsidRPr="00467AA9">
        <w:t>zdewastowanych.</w:t>
      </w:r>
      <w:r>
        <w:fldChar w:fldCharType="end"/>
      </w:r>
    </w:p>
    <w:p w14:paraId="02BE4AEE" w14:textId="522718D0" w:rsidR="00564E20" w:rsidRPr="00935FD3" w:rsidRDefault="00564E20" w:rsidP="00612B5D">
      <w:pPr>
        <w:pStyle w:val="Akapitzlist"/>
        <w:numPr>
          <w:ilvl w:val="0"/>
          <w:numId w:val="45"/>
        </w:numPr>
      </w:pPr>
      <w:r>
        <w:fldChar w:fldCharType="begin"/>
      </w:r>
      <w:r>
        <w:instrText xml:space="preserve"> REF _Ref173420866 \h </w:instrText>
      </w:r>
      <w:r>
        <w:fldChar w:fldCharType="separate"/>
      </w:r>
      <w:r w:rsidR="00DD3929">
        <w:t xml:space="preserve">Działanie </w:t>
      </w:r>
      <w:r w:rsidR="00DD3929">
        <w:rPr>
          <w:noProof/>
        </w:rPr>
        <w:t>72</w:t>
      </w:r>
      <w:r w:rsidR="00DD3929">
        <w:t xml:space="preserve">. </w:t>
      </w:r>
      <w:r w:rsidR="00DD3929" w:rsidRPr="00467AA9">
        <w:t xml:space="preserve">Instrument finansowy </w:t>
      </w:r>
      <w:r w:rsidR="00DD3929">
        <w:t>–</w:t>
      </w:r>
      <w:r w:rsidR="00DD3929" w:rsidRPr="00467AA9">
        <w:t xml:space="preserve"> Program Priorytetowy NFOŚiGW </w:t>
      </w:r>
      <w:r w:rsidR="00DD3929">
        <w:t>„</w:t>
      </w:r>
      <w:r w:rsidR="00DD3929" w:rsidRPr="00467AA9">
        <w:t>Ochrona powierzchni ziemi</w:t>
      </w:r>
      <w:r w:rsidR="00DD3929">
        <w:t>”</w:t>
      </w:r>
      <w:r w:rsidR="00DD3929" w:rsidRPr="00467AA9">
        <w:t>.</w:t>
      </w:r>
      <w:r>
        <w:fldChar w:fldCharType="end"/>
      </w:r>
    </w:p>
    <w:p w14:paraId="1594F830" w14:textId="7B05976E" w:rsidR="00C140A9" w:rsidRDefault="00C140A9" w:rsidP="00C140A9">
      <w:pPr>
        <w:pStyle w:val="Nagwek4"/>
        <w:rPr>
          <w:color w:val="70AD47" w:themeColor="accent6"/>
        </w:rPr>
      </w:pPr>
      <w:bookmarkStart w:id="102" w:name="_Toc159598299"/>
      <w:bookmarkStart w:id="103" w:name="_Toc179536948"/>
      <w:r w:rsidRPr="00C140A9">
        <w:rPr>
          <w:color w:val="70AD47" w:themeColor="accent6"/>
        </w:rPr>
        <w:lastRenderedPageBreak/>
        <w:t xml:space="preserve">Cel w zakresie </w:t>
      </w:r>
      <w:r w:rsidR="00E45668">
        <w:rPr>
          <w:color w:val="70AD47" w:themeColor="accent6"/>
        </w:rPr>
        <w:t>odpadów</w:t>
      </w:r>
      <w:bookmarkEnd w:id="102"/>
      <w:bookmarkEnd w:id="103"/>
      <w:r w:rsidRPr="00C140A9">
        <w:rPr>
          <w:color w:val="70AD47" w:themeColor="accent6"/>
        </w:rPr>
        <w:t xml:space="preserve"> </w:t>
      </w:r>
    </w:p>
    <w:p w14:paraId="141E68E6" w14:textId="1D2CCD46" w:rsidR="00D65D68" w:rsidRDefault="00DE0CED" w:rsidP="00B64F0D">
      <w:pPr>
        <w:rPr>
          <w:noProof/>
          <w:szCs w:val="20"/>
        </w:rPr>
      </w:pPr>
      <w:r>
        <w:rPr>
          <w:noProof/>
        </w:rPr>
        <mc:AlternateContent>
          <mc:Choice Requires="wps">
            <w:drawing>
              <wp:anchor distT="0" distB="0" distL="114300" distR="114300" simplePos="0" relativeHeight="251695104" behindDoc="1" locked="0" layoutInCell="1" allowOverlap="1" wp14:anchorId="3D0A22CA" wp14:editId="4FE5F733">
                <wp:simplePos x="0" y="0"/>
                <wp:positionH relativeFrom="margin">
                  <wp:align>right</wp:align>
                </wp:positionH>
                <wp:positionV relativeFrom="paragraph">
                  <wp:posOffset>57150</wp:posOffset>
                </wp:positionV>
                <wp:extent cx="2969895" cy="1739900"/>
                <wp:effectExtent l="19050" t="57150" r="97155" b="52070"/>
                <wp:wrapSquare wrapText="bothSides"/>
                <wp:docPr id="1218129824" name="Prostokąt: zaokrąglone rogi 5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969895" cy="1739900"/>
                        </a:xfrm>
                        <a:prstGeom prst="roundRect">
                          <a:avLst>
                            <a:gd name="adj" fmla="val 11857"/>
                          </a:avLst>
                        </a:prstGeom>
                        <a:solidFill>
                          <a:sysClr val="window" lastClr="FFFFFF"/>
                        </a:solidFill>
                        <a:ln w="9525" cap="flat" cmpd="sng" algn="ctr">
                          <a:solidFill>
                            <a:srgbClr val="70AD47"/>
                          </a:solidFill>
                          <a:prstDash val="solid"/>
                          <a:miter lim="800000"/>
                        </a:ln>
                        <a:effectLst>
                          <a:outerShdw blurRad="50800" dist="38100" algn="l" rotWithShape="0">
                            <a:prstClr val="black">
                              <a:alpha val="40000"/>
                            </a:prstClr>
                          </a:outerShdw>
                        </a:effectLst>
                      </wps:spPr>
                      <wps:txbx>
                        <w:txbxContent>
                          <w:p w14:paraId="0341C789" w14:textId="249FA554" w:rsidR="005614FF" w:rsidRPr="004E21CF" w:rsidRDefault="005614FF" w:rsidP="005614FF">
                            <w:pPr>
                              <w:pStyle w:val="Ramka"/>
                            </w:pPr>
                            <w:r w:rsidRPr="00215424">
                              <w:rPr>
                                <w:color w:val="auto"/>
                                <w:sz w:val="20"/>
                                <w:szCs w:val="22"/>
                              </w:rPr>
                              <w:t xml:space="preserve"> </w:t>
                            </w:r>
                            <w:r w:rsidR="002279C6" w:rsidRPr="00262B52">
                              <w:t>Do czynników, które wpływają na ilości wytwarzanych odpadów, należą m.in. liczba ludności, liczba osób zamieszkujących w poszczególnych gospodarstwach domowych, wielkość produkcji, rodzaj i stopień efektywności metod produkcji oraz wielkość konsumpcji, zaś gospodarowanie odpadami może mieć negatywny wpływ na środowisko przede wszystkim</w:t>
                            </w:r>
                            <w:r w:rsidR="00843F12">
                              <w:t>,</w:t>
                            </w:r>
                            <w:r w:rsidR="002279C6" w:rsidRPr="00262B52">
                              <w:t xml:space="preserve"> gdy są stosowane niewłaściwe metody przetwarzania lub są nieprzestrzegane wymagania technologiczne</w:t>
                            </w:r>
                            <w:r w:rsidRPr="005614FF">
                              <w:t>.</w:t>
                            </w:r>
                          </w:p>
                        </w:txbxContent>
                      </wps:txbx>
                      <wps:bodyPr rot="0" spcFirstLastPara="0" vertOverflow="overflow" horzOverflow="overflow" vert="horz" wrap="square" lIns="72000" tIns="90000" rIns="72000" bIns="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3D0A22CA" id="Prostokąt: zaokrąglone rogi 58" o:spid="_x0000_s1091" style="position:absolute;left:0;text-align:left;margin-left:182.65pt;margin-top:4.5pt;width:233.85pt;height:137pt;z-index:-25162137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arcsize="777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" fillcolor="window" strokecolor="#70ad47">
                <v:stroke joinstyle="miter"/>
                <v:shadow on="t" color="black" opacity="26214f" origin="-.5" offset="3pt,0"/>
                <v:path arrowok="t"/>
                <v:textbox style="mso-fit-shape-to-text:t" inset="2mm,2.5mm,2mm,0">
                  <w:txbxContent>
                    <w:p w14:paraId="0341C789" w14:textId="249FA554" w:rsidR="005614FF" w:rsidRPr="004E21CF" w:rsidRDefault="005614FF" w:rsidP="005614FF">
                      <w:pPr>
                        <w:pStyle w:val="Ramka"/>
                      </w:pPr>
                      <w:r w:rsidRPr="00215424">
                        <w:rPr>
                          <w:color w:val="auto"/>
                          <w:sz w:val="20"/>
                          <w:szCs w:val="22"/>
                        </w:rPr>
                        <w:t xml:space="preserve"> </w:t>
                      </w:r>
                      <w:r w:rsidR="002279C6" w:rsidRPr="00262B52">
                        <w:t>Do czynników, które wpływają na ilości wytwarzanych odpadów, należą m.in. liczba ludności, liczba osób zamieszkujących w poszczególnych gospodarstwach domowych, wielkość produkcji, rodzaj i stopień efektywności metod produkcji oraz wielkość konsumpcji, zaś gospodarowanie odpadami może mieć negatywny wpływ na środowisko przede wszystkim</w:t>
                      </w:r>
                      <w:r w:rsidR="00843F12">
                        <w:t>,</w:t>
                      </w:r>
                      <w:r w:rsidR="002279C6" w:rsidRPr="00262B52">
                        <w:t xml:space="preserve"> gdy są stosowane niewłaściwe metody przetwarzania lub są nieprzestrzegane wymagania technologiczne</w:t>
                      </w:r>
                      <w:r w:rsidRPr="005614FF">
                        <w:t>.</w:t>
                      </w:r>
                    </w:p>
                  </w:txbxContent>
                </v:textbox>
                <w10:wrap type="square" anchorx="margin"/>
              </v:roundrect>
            </w:pict>
          </mc:Fallback>
        </mc:AlternateContent>
      </w:r>
      <w:r w:rsidR="00A3353D">
        <w:rPr>
          <w:noProof/>
          <w:szCs w:val="20"/>
        </w:rPr>
        <w:t xml:space="preserve">Odpady mogą powodować </w:t>
      </w:r>
      <w:r w:rsidR="00A3353D" w:rsidRPr="00A3353D">
        <w:rPr>
          <w:noProof/>
          <w:szCs w:val="20"/>
        </w:rPr>
        <w:t>zanieczyszczenie powietrza, wody i gleby</w:t>
      </w:r>
      <w:r w:rsidR="00A3353D">
        <w:rPr>
          <w:noProof/>
          <w:szCs w:val="20"/>
        </w:rPr>
        <w:t>, dlatego ich właściwe zagospo</w:t>
      </w:r>
      <w:r w:rsidR="00AA32A2">
        <w:rPr>
          <w:noProof/>
          <w:szCs w:val="20"/>
        </w:rPr>
        <w:t>d</w:t>
      </w:r>
      <w:r w:rsidR="00A3353D">
        <w:rPr>
          <w:noProof/>
          <w:szCs w:val="20"/>
        </w:rPr>
        <w:t>arowanie powinno zredukowa</w:t>
      </w:r>
      <w:r w:rsidR="00D65D68">
        <w:rPr>
          <w:noProof/>
          <w:szCs w:val="20"/>
        </w:rPr>
        <w:t>ć ich negatywny wpływ na środowisko.</w:t>
      </w:r>
    </w:p>
    <w:p w14:paraId="1184351E" w14:textId="66A71658" w:rsidR="00E45668" w:rsidRDefault="002279C6" w:rsidP="00B64F0D">
      <w:r w:rsidRPr="00995803">
        <w:rPr>
          <w:noProof/>
          <w:szCs w:val="20"/>
        </w:rPr>
        <w:t xml:space="preserve">Gospodarka odpadami w Polsce, a także jej postrzeganie przez społeczeństwo, przedsiębiorców, usługodawców itd., zmienia się dynamicznie na przestrzeni ostatnich lat </w:t>
      </w:r>
      <w:r w:rsidR="00D65D68">
        <w:rPr>
          <w:noProof/>
          <w:szCs w:val="20"/>
        </w:rPr>
        <w:t>–</w:t>
      </w:r>
      <w:r w:rsidRPr="00995803">
        <w:rPr>
          <w:noProof/>
          <w:szCs w:val="20"/>
        </w:rPr>
        <w:t xml:space="preserve"> coraz </w:t>
      </w:r>
      <w:r>
        <w:rPr>
          <w:noProof/>
          <w:szCs w:val="20"/>
        </w:rPr>
        <w:t xml:space="preserve">więcej jest </w:t>
      </w:r>
      <w:r w:rsidRPr="00995803">
        <w:rPr>
          <w:noProof/>
          <w:szCs w:val="20"/>
        </w:rPr>
        <w:t>nowoczesnych instalacji recyklingu</w:t>
      </w:r>
      <w:r w:rsidR="00D65D68">
        <w:rPr>
          <w:noProof/>
          <w:szCs w:val="20"/>
        </w:rPr>
        <w:t>,</w:t>
      </w:r>
      <w:r w:rsidRPr="00995803">
        <w:rPr>
          <w:noProof/>
          <w:szCs w:val="20"/>
        </w:rPr>
        <w:t xml:space="preserve"> czy też termicznego przekształcania odpadów. Jest to wynikiem zmiany podejścia do odpadów </w:t>
      </w:r>
      <w:r w:rsidR="008C4B52">
        <w:rPr>
          <w:noProof/>
          <w:szCs w:val="20"/>
        </w:rPr>
        <w:t>–</w:t>
      </w:r>
      <w:r w:rsidRPr="00995803">
        <w:rPr>
          <w:noProof/>
          <w:szCs w:val="20"/>
        </w:rPr>
        <w:t xml:space="preserve"> nie są one już traktowane jako zbędne, niepotrzebne materiały, ale jako cenne zasoby, które należy wykorzystać. Biorąc pod uwagę różnorodność odpadów, wynikającą z</w:t>
      </w:r>
      <w:r w:rsidR="008C4B52">
        <w:rPr>
          <w:noProof/>
          <w:szCs w:val="20"/>
        </w:rPr>
        <w:t>e</w:t>
      </w:r>
      <w:r w:rsidRPr="00995803">
        <w:rPr>
          <w:noProof/>
          <w:szCs w:val="20"/>
        </w:rPr>
        <w:t xml:space="preserve"> </w:t>
      </w:r>
      <w:r>
        <w:rPr>
          <w:noProof/>
          <w:szCs w:val="20"/>
        </w:rPr>
        <w:t xml:space="preserve">zróżnicowanych </w:t>
      </w:r>
      <w:r w:rsidRPr="00995803">
        <w:rPr>
          <w:noProof/>
          <w:szCs w:val="20"/>
        </w:rPr>
        <w:t>procesów przemysłowych, wytwarzanych produktów, oferowanych usług, możliwości ich zastosowań są szerokie, a co więcej częściowo można wpływać na skład odpadów (np. odpadów poużytkowych) poprzez projektowanie produktów. Ze względu na właściwości, części odpadów nie można wykorzystać, stąd niezbędne są również technologie unieszkodliwiania odpadów</w:t>
      </w:r>
      <w:r w:rsidR="004948D8">
        <w:t xml:space="preserve">. </w:t>
      </w:r>
    </w:p>
    <w:p w14:paraId="398B10CD" w14:textId="645C55DC" w:rsidR="002279C6" w:rsidRDefault="002279C6" w:rsidP="00B64F0D">
      <w:r w:rsidRPr="002279C6">
        <w:t>Nowoczesna gospodarka odpadami, zgodna z unijną hierarchią sposobów postępowania z odpadami i</w:t>
      </w:r>
      <w:r w:rsidR="008C4B52">
        <w:t> </w:t>
      </w:r>
      <w:r w:rsidRPr="002279C6">
        <w:t xml:space="preserve">dążąca do </w:t>
      </w:r>
      <w:r w:rsidRPr="008C4B52">
        <w:rPr>
          <w:b/>
          <w:bCs/>
        </w:rPr>
        <w:t>wdrażania modelu gospodarczego opartego na obiegu zamkniętym</w:t>
      </w:r>
      <w:r w:rsidRPr="002279C6">
        <w:t xml:space="preserve">, wymaga </w:t>
      </w:r>
      <w:r w:rsidR="00A87EED">
        <w:t xml:space="preserve">kontynuowania powyżej opisanych zmian w zakresie </w:t>
      </w:r>
      <w:r w:rsidRPr="002279C6">
        <w:t>podejścia i postrzegania odpadów jako źródła zasobów (w tym możliwości zastępowania surowców pierwotnych surowcami wtórnymi, powstającymi z odpadów), jak również przyspieszenia rozwoju recyklingu.</w:t>
      </w:r>
    </w:p>
    <w:p w14:paraId="13962C9D" w14:textId="095A43CC" w:rsidR="000041E0" w:rsidRDefault="000041E0" w:rsidP="00D65D68">
      <w:pPr>
        <w:spacing w:after="80"/>
      </w:pPr>
      <w:r>
        <w:t>Gospodarowanie odpadami podlega stosunkowo szerokiemu zakresowi regulacji UE. Wymagania uregulowane są m.in. w:</w:t>
      </w:r>
    </w:p>
    <w:p w14:paraId="7CE596CC" w14:textId="6A7B84D3" w:rsidR="002279C6" w:rsidRDefault="002279C6" w:rsidP="00BD261E">
      <w:pPr>
        <w:pStyle w:val="Akapitzlist"/>
        <w:numPr>
          <w:ilvl w:val="0"/>
          <w:numId w:val="1"/>
        </w:numPr>
      </w:pPr>
      <w:r>
        <w:t>dyrektywie 2008/98/WE w sprawie odpadów</w:t>
      </w:r>
      <w:r w:rsidR="00BD261E">
        <w:t>,</w:t>
      </w:r>
    </w:p>
    <w:p w14:paraId="0ED70C45" w14:textId="1FA37051" w:rsidR="002279C6" w:rsidRDefault="002279C6" w:rsidP="00BD261E">
      <w:pPr>
        <w:pStyle w:val="Akapitzlist"/>
        <w:numPr>
          <w:ilvl w:val="0"/>
          <w:numId w:val="1"/>
        </w:numPr>
      </w:pPr>
      <w:r>
        <w:t>dyrektywie 1999/31/WE w sprawie składowania odpadów</w:t>
      </w:r>
      <w:r w:rsidR="00BD261E">
        <w:t>,</w:t>
      </w:r>
    </w:p>
    <w:p w14:paraId="6AFE65CA" w14:textId="5C1888D9" w:rsidR="002279C6" w:rsidRDefault="002279C6" w:rsidP="00BD261E">
      <w:pPr>
        <w:pStyle w:val="Akapitzlist"/>
        <w:numPr>
          <w:ilvl w:val="0"/>
          <w:numId w:val="1"/>
        </w:numPr>
      </w:pPr>
      <w:r>
        <w:t>dyrektywie 94/62/WE w sprawie opakowań i odpadów opakowaniowych</w:t>
      </w:r>
      <w:r w:rsidR="00BD261E">
        <w:t>,</w:t>
      </w:r>
    </w:p>
    <w:p w14:paraId="3C93F576" w14:textId="3446DA3A" w:rsidR="002279C6" w:rsidRDefault="002279C6" w:rsidP="00BD261E">
      <w:pPr>
        <w:pStyle w:val="Akapitzlist"/>
        <w:numPr>
          <w:ilvl w:val="0"/>
          <w:numId w:val="1"/>
        </w:numPr>
      </w:pPr>
      <w:r>
        <w:t>dyrektywie 2006/66/UE w sprawie baterii i akumulatorów oraz zużytych baterii</w:t>
      </w:r>
      <w:r w:rsidR="00BD261E">
        <w:t xml:space="preserve">, </w:t>
      </w:r>
      <w:r>
        <w:t>która straci moc w dniu 18 sierpnia 2025 r. i zostanie zastąpiona przez rozporządzenie UE 2023/1542</w:t>
      </w:r>
      <w:r w:rsidR="00BD261E">
        <w:t xml:space="preserve"> </w:t>
      </w:r>
      <w:r>
        <w:t>w sprawie baterii i zużytych baterii</w:t>
      </w:r>
      <w:r w:rsidR="00BD261E">
        <w:t>,</w:t>
      </w:r>
    </w:p>
    <w:p w14:paraId="46C08347" w14:textId="3049A597" w:rsidR="00BD261E" w:rsidRDefault="002279C6" w:rsidP="002279C6">
      <w:pPr>
        <w:pStyle w:val="Akapitzlist"/>
        <w:numPr>
          <w:ilvl w:val="0"/>
          <w:numId w:val="1"/>
        </w:numPr>
      </w:pPr>
      <w:r>
        <w:t>dyrektywie 2012/19/</w:t>
      </w:r>
      <w:r w:rsidR="009729A6">
        <w:t>UE</w:t>
      </w:r>
      <w:r>
        <w:t xml:space="preserve"> w sprawie zużytego sprzętu elektrycznego i elektronicznego (WEEE)</w:t>
      </w:r>
      <w:r w:rsidR="00BD261E">
        <w:t>,</w:t>
      </w:r>
    </w:p>
    <w:p w14:paraId="4AEB8C4B" w14:textId="77777777" w:rsidR="009729A6" w:rsidRDefault="002279C6" w:rsidP="00FA2221">
      <w:pPr>
        <w:pStyle w:val="Akapitzlist"/>
        <w:numPr>
          <w:ilvl w:val="0"/>
          <w:numId w:val="1"/>
        </w:numPr>
        <w:spacing w:after="240"/>
      </w:pPr>
      <w:r>
        <w:t>dyrektywie 2000/53/WE w sprawie pojazdów wycofanych z eksploatacji</w:t>
      </w:r>
      <w:r w:rsidR="009729A6">
        <w:t>,</w:t>
      </w:r>
    </w:p>
    <w:p w14:paraId="6BAA86B9" w14:textId="576E99BB" w:rsidR="009729A6" w:rsidRDefault="009729A6" w:rsidP="009729A6">
      <w:pPr>
        <w:pStyle w:val="Akapitzlist"/>
        <w:numPr>
          <w:ilvl w:val="0"/>
          <w:numId w:val="1"/>
        </w:numPr>
        <w:spacing w:after="240"/>
      </w:pPr>
      <w:r>
        <w:t>dyrektywie 2010/75/UE w sprawie emisji przemysłowych (zintegrowane zapobieganie zanieczyszczeniom i ich kontrola),</w:t>
      </w:r>
    </w:p>
    <w:p w14:paraId="07FF55A8" w14:textId="0BA54FF6" w:rsidR="009729A6" w:rsidRDefault="009729A6" w:rsidP="009729A6">
      <w:pPr>
        <w:pStyle w:val="Akapitzlist"/>
        <w:numPr>
          <w:ilvl w:val="0"/>
          <w:numId w:val="1"/>
        </w:numPr>
        <w:spacing w:after="240"/>
      </w:pPr>
      <w:r>
        <w:t>dyrektywie 2006/21/WE w sprawie gospodarowania odpadami pochodzącymi z przemysłu wydobywczego,</w:t>
      </w:r>
    </w:p>
    <w:p w14:paraId="161DEDA2" w14:textId="77777777" w:rsidR="00841A3E" w:rsidRDefault="00841A3E" w:rsidP="00841A3E">
      <w:pPr>
        <w:pStyle w:val="Akapitzlist"/>
        <w:numPr>
          <w:ilvl w:val="0"/>
          <w:numId w:val="1"/>
        </w:numPr>
        <w:spacing w:after="240"/>
      </w:pPr>
      <w:r>
        <w:t>dyrektywie Rady z dnia 21 maja 1991 r. dotyczącej oczyszczania ścieków komunalnych,</w:t>
      </w:r>
    </w:p>
    <w:p w14:paraId="6985B79D" w14:textId="08DD414B" w:rsidR="009729A6" w:rsidRDefault="009729A6" w:rsidP="009729A6">
      <w:pPr>
        <w:pStyle w:val="Akapitzlist"/>
        <w:numPr>
          <w:ilvl w:val="0"/>
          <w:numId w:val="1"/>
        </w:numPr>
        <w:spacing w:after="240"/>
      </w:pPr>
      <w:r>
        <w:t>dyrektywie Rady 86/278/EWG w sprawie ochrony środowiska, w szczególności gleby, w przypadku wykorzystywania osadów ściekowych w rolnictwie,</w:t>
      </w:r>
    </w:p>
    <w:p w14:paraId="49E1FAF8" w14:textId="072C57A2" w:rsidR="009729A6" w:rsidRDefault="009729A6" w:rsidP="009729A6">
      <w:pPr>
        <w:pStyle w:val="Akapitzlist"/>
        <w:numPr>
          <w:ilvl w:val="0"/>
          <w:numId w:val="1"/>
        </w:numPr>
        <w:spacing w:after="240"/>
      </w:pPr>
      <w:r>
        <w:t>dyrektywie Rady 96/59/WE w sprawie unieszkodliwiania polichlorowanych bifenyli i polichlorowanych trifenyli (PCB/PCT),</w:t>
      </w:r>
    </w:p>
    <w:p w14:paraId="27B95E36" w14:textId="4C64A48C" w:rsidR="002279C6" w:rsidRDefault="009729A6" w:rsidP="009729A6">
      <w:pPr>
        <w:pStyle w:val="Akapitzlist"/>
        <w:numPr>
          <w:ilvl w:val="0"/>
          <w:numId w:val="1"/>
        </w:numPr>
        <w:spacing w:after="240"/>
      </w:pPr>
      <w:r>
        <w:t>rozporządzeniu UE 2019/1021 dotyczącym trwałych zanieczyszczeń organicznych</w:t>
      </w:r>
      <w:r w:rsidR="002279C6">
        <w:t>.</w:t>
      </w:r>
    </w:p>
    <w:p w14:paraId="7B53E785" w14:textId="3C6562DD" w:rsidR="00163CF0" w:rsidRPr="00163CF0" w:rsidRDefault="00FA2221" w:rsidP="00FA2221">
      <w:pPr>
        <w:rPr>
          <w:rStyle w:val="CeleZnak"/>
          <w:rFonts w:cstheme="minorBidi"/>
          <w:szCs w:val="20"/>
          <w:shd w:val="clear" w:color="auto" w:fill="auto"/>
        </w:rPr>
      </w:pPr>
      <w:r>
        <w:t xml:space="preserve">Realizacja celów określonych na poziomie UE odbywa się w ramach </w:t>
      </w:r>
      <w:r w:rsidRPr="00FA2221">
        <w:rPr>
          <w:b/>
          <w:bCs/>
        </w:rPr>
        <w:t xml:space="preserve">wdrażania </w:t>
      </w:r>
      <w:r w:rsidR="00743792">
        <w:rPr>
          <w:b/>
          <w:bCs/>
        </w:rPr>
        <w:t>uchwalonego</w:t>
      </w:r>
      <w:r w:rsidRPr="00FA2221">
        <w:rPr>
          <w:b/>
          <w:bCs/>
        </w:rPr>
        <w:t xml:space="preserve"> w 2023 r. </w:t>
      </w:r>
      <w:r w:rsidRPr="00FA2221">
        <w:rPr>
          <w:b/>
          <w:bCs/>
          <w:i/>
          <w:iCs/>
        </w:rPr>
        <w:t xml:space="preserve">Krajowego </w:t>
      </w:r>
      <w:r w:rsidR="00743792">
        <w:rPr>
          <w:b/>
          <w:bCs/>
          <w:i/>
          <w:iCs/>
        </w:rPr>
        <w:t>p</w:t>
      </w:r>
      <w:r w:rsidRPr="00FA2221">
        <w:rPr>
          <w:b/>
          <w:bCs/>
          <w:i/>
          <w:iCs/>
        </w:rPr>
        <w:t xml:space="preserve">lanu </w:t>
      </w:r>
      <w:r w:rsidR="00743792">
        <w:rPr>
          <w:b/>
          <w:bCs/>
          <w:i/>
          <w:iCs/>
        </w:rPr>
        <w:t>g</w:t>
      </w:r>
      <w:r w:rsidRPr="00FA2221">
        <w:rPr>
          <w:b/>
          <w:bCs/>
          <w:i/>
          <w:iCs/>
        </w:rPr>
        <w:t xml:space="preserve">ospodarki </w:t>
      </w:r>
      <w:r w:rsidR="00743792">
        <w:rPr>
          <w:b/>
          <w:bCs/>
          <w:i/>
          <w:iCs/>
        </w:rPr>
        <w:t>o</w:t>
      </w:r>
      <w:r w:rsidRPr="00FA2221">
        <w:rPr>
          <w:b/>
          <w:bCs/>
          <w:i/>
          <w:iCs/>
        </w:rPr>
        <w:t>dpadami 2028</w:t>
      </w:r>
      <w:r w:rsidR="00743792">
        <w:rPr>
          <w:b/>
          <w:bCs/>
          <w:i/>
          <w:iCs/>
        </w:rPr>
        <w:t xml:space="preserve"> (K</w:t>
      </w:r>
      <w:r w:rsidR="00A87EED">
        <w:rPr>
          <w:b/>
          <w:bCs/>
          <w:i/>
          <w:iCs/>
        </w:rPr>
        <w:t>PGO</w:t>
      </w:r>
      <w:r w:rsidR="00743792">
        <w:rPr>
          <w:b/>
          <w:bCs/>
          <w:i/>
          <w:iCs/>
        </w:rPr>
        <w:t xml:space="preserve"> 2028)</w:t>
      </w:r>
      <w:r w:rsidR="00743792">
        <w:rPr>
          <w:b/>
          <w:bCs/>
        </w:rPr>
        <w:t xml:space="preserve">, </w:t>
      </w:r>
      <w:r w:rsidR="00743792" w:rsidRPr="00743792">
        <w:t>będącego aktualizacją K</w:t>
      </w:r>
      <w:r w:rsidR="00C23148">
        <w:t>pgo</w:t>
      </w:r>
      <w:r w:rsidR="00743792" w:rsidRPr="00743792">
        <w:t xml:space="preserve"> 2022</w:t>
      </w:r>
      <w:r>
        <w:t xml:space="preserve">. </w:t>
      </w:r>
      <w:r>
        <w:rPr>
          <w:szCs w:val="20"/>
        </w:rPr>
        <w:t>Poniżej wskazano kluczowe</w:t>
      </w:r>
      <w:r w:rsidRPr="006E3983">
        <w:rPr>
          <w:szCs w:val="20"/>
        </w:rPr>
        <w:t xml:space="preserve"> cele w zakresie gospodarki odpadam</w:t>
      </w:r>
      <w:r>
        <w:rPr>
          <w:szCs w:val="20"/>
        </w:rPr>
        <w:t>i. Dążenie do nich ma przyczynić się do redukcji wpływu odpadów na środowisko.</w:t>
      </w:r>
    </w:p>
    <w:p w14:paraId="043F0131" w14:textId="34928059" w:rsidR="00045F4B" w:rsidRDefault="00D65D68" w:rsidP="00C20B2E">
      <w:pPr>
        <w:pStyle w:val="Cele"/>
        <w:spacing w:after="160"/>
        <w:rPr>
          <w:rStyle w:val="CeleZnak"/>
          <w:b/>
        </w:rPr>
      </w:pPr>
      <w:r>
        <w:rPr>
          <w:rStyle w:val="CeleZnak"/>
          <w:b/>
        </w:rPr>
        <w:lastRenderedPageBreak/>
        <w:t xml:space="preserve">Celem ogólnym w zakresie </w:t>
      </w:r>
      <w:r w:rsidR="00C23148">
        <w:rPr>
          <w:rStyle w:val="CeleZnak"/>
          <w:b/>
        </w:rPr>
        <w:t xml:space="preserve">gospodarki odpadami </w:t>
      </w:r>
      <w:r>
        <w:rPr>
          <w:rStyle w:val="CeleZnak"/>
          <w:b/>
        </w:rPr>
        <w:t xml:space="preserve">jest </w:t>
      </w:r>
      <w:r w:rsidR="00A87EED">
        <w:rPr>
          <w:rStyle w:val="CeleZnak"/>
          <w:b/>
        </w:rPr>
        <w:t>dążenie</w:t>
      </w:r>
      <w:r w:rsidR="00A87EED" w:rsidRPr="00A87EED">
        <w:rPr>
          <w:rStyle w:val="CeleZnak"/>
          <w:b/>
        </w:rPr>
        <w:t xml:space="preserve"> do redukcji wpływu na środowisko poprzez implementację rozwiązań z zakresu gospodarki o obiegu zamkniętym, w tym poprzez wdrażanie planów gospodarki odpadami</w:t>
      </w:r>
      <w:r w:rsidR="00A87EED">
        <w:rPr>
          <w:rStyle w:val="CeleZnak"/>
          <w:b/>
        </w:rPr>
        <w:t>.</w:t>
      </w:r>
    </w:p>
    <w:p w14:paraId="0EC337D4" w14:textId="544775A3" w:rsidR="00B64F0D" w:rsidRDefault="00A87EED" w:rsidP="00B64F0D">
      <w:pPr>
        <w:rPr>
          <w:b/>
          <w:bCs/>
        </w:rPr>
      </w:pPr>
      <w:bookmarkStart w:id="104" w:name="_Hlk173747605"/>
      <w:r>
        <w:rPr>
          <w:b/>
          <w:bCs/>
        </w:rPr>
        <w:t>Cele ogólne w zakresie gospodarki odpadami:</w:t>
      </w:r>
    </w:p>
    <w:bookmarkEnd w:id="104"/>
    <w:p w14:paraId="1FD3B133" w14:textId="5806CBE6" w:rsidR="00A87EED" w:rsidRDefault="00A87EED" w:rsidP="00612B5D">
      <w:pPr>
        <w:pStyle w:val="Akapitzlist"/>
        <w:numPr>
          <w:ilvl w:val="0"/>
          <w:numId w:val="38"/>
        </w:numPr>
      </w:pPr>
      <w:r>
        <w:t>wdrażanie zapobiegania powstawaniu odpadów (ZPO) oraz zmniejszenie ilości powstających odpadów</w:t>
      </w:r>
      <w:r w:rsidR="00841A3E">
        <w:rPr>
          <w:rStyle w:val="Odwoanieprzypisudolnego"/>
        </w:rPr>
        <w:footnoteReference w:id="51"/>
      </w:r>
      <w:r>
        <w:t>;</w:t>
      </w:r>
    </w:p>
    <w:p w14:paraId="3BA3E20E" w14:textId="3CB023F1" w:rsidR="00A87EED" w:rsidRDefault="00A87EED" w:rsidP="00612B5D">
      <w:pPr>
        <w:pStyle w:val="Akapitzlist"/>
        <w:numPr>
          <w:ilvl w:val="0"/>
          <w:numId w:val="38"/>
        </w:numPr>
      </w:pPr>
      <w:r>
        <w:t>zwiększanie osiąganych poziomów przygotowania do ponownego użycia i recyklingu odpadów komunalnych;</w:t>
      </w:r>
    </w:p>
    <w:p w14:paraId="774E30FB" w14:textId="6FF7087F" w:rsidR="00A87EED" w:rsidRDefault="00A87EED" w:rsidP="00612B5D">
      <w:pPr>
        <w:pStyle w:val="Akapitzlist"/>
        <w:numPr>
          <w:ilvl w:val="0"/>
          <w:numId w:val="38"/>
        </w:numPr>
      </w:pPr>
      <w:r>
        <w:t>minimalizacja ilości składowanych odpadów;</w:t>
      </w:r>
    </w:p>
    <w:p w14:paraId="6094FC0B" w14:textId="6FFDB068" w:rsidR="00A87EED" w:rsidRDefault="00A87EED" w:rsidP="00612B5D">
      <w:pPr>
        <w:pStyle w:val="Akapitzlist"/>
        <w:numPr>
          <w:ilvl w:val="0"/>
          <w:numId w:val="38"/>
        </w:numPr>
      </w:pPr>
      <w:r>
        <w:t xml:space="preserve">zwiększanie osiąganych poziomów recyklingu odpadów opakowaniowych; </w:t>
      </w:r>
      <w:r>
        <w:tab/>
      </w:r>
    </w:p>
    <w:p w14:paraId="45302E09" w14:textId="35F140C9" w:rsidR="00A87EED" w:rsidRDefault="00A87EED" w:rsidP="00612B5D">
      <w:pPr>
        <w:pStyle w:val="Akapitzlist"/>
        <w:numPr>
          <w:ilvl w:val="0"/>
          <w:numId w:val="38"/>
        </w:numPr>
      </w:pPr>
      <w:r>
        <w:t>utrzymywanie wysokiego poziomu przygotowania do ponownego użycia, recyklingu oraz innych form odzysku odpadów budowlanych i rozbiórkowych.</w:t>
      </w:r>
    </w:p>
    <w:p w14:paraId="72417716" w14:textId="77777777" w:rsidR="00B64F0D" w:rsidRDefault="00B64F0D" w:rsidP="008C4B52">
      <w:pPr>
        <w:pStyle w:val="Polityka"/>
      </w:pPr>
      <w:bookmarkStart w:id="105" w:name="_Hlk173747279"/>
      <w:r w:rsidRPr="008C4B52">
        <w:t>POLITYKA</w:t>
      </w:r>
    </w:p>
    <w:bookmarkEnd w:id="105"/>
    <w:p w14:paraId="09B6ACC8" w14:textId="77777777" w:rsidR="00A87EED" w:rsidRDefault="00A87EED" w:rsidP="00A87EED">
      <w:r>
        <w:t xml:space="preserve">Polityka w zakresie gospodarki odpadami ma skutkować </w:t>
      </w:r>
      <w:r w:rsidRPr="00EA04A1">
        <w:t>ograniczanie</w:t>
      </w:r>
      <w:r>
        <w:t>m</w:t>
      </w:r>
      <w:r w:rsidRPr="00EA04A1">
        <w:t xml:space="preserve"> wytwarzania odpadów, zwiększanie</w:t>
      </w:r>
      <w:r>
        <w:t>m</w:t>
      </w:r>
      <w:r w:rsidRPr="00EA04A1">
        <w:t xml:space="preserve"> ilości odpadów przekazywanych do recyklingu, eliminowanie</w:t>
      </w:r>
      <w:r>
        <w:t>m</w:t>
      </w:r>
      <w:r w:rsidRPr="00EA04A1">
        <w:t xml:space="preserve"> nieprawidłowo prowadzonego zagospodarowania odpadów, podnoszenie</w:t>
      </w:r>
      <w:r>
        <w:t>m</w:t>
      </w:r>
      <w:r w:rsidRPr="00EA04A1">
        <w:t xml:space="preserve"> świadomości ekologicznej społeczeństwa w</w:t>
      </w:r>
      <w:r>
        <w:t> </w:t>
      </w:r>
      <w:r w:rsidRPr="00EA04A1">
        <w:t>zakresie zapobiegania powstawaniu odpadów oraz właściwego postępowania z odpadami.</w:t>
      </w:r>
      <w:r>
        <w:t xml:space="preserve"> Powinno się to przyczynić do redukcji wpływu sektora odpadów na środowisko, w tym na redukcję zanieczyszczenia wód, lądu, jak również powietrza.</w:t>
      </w:r>
    </w:p>
    <w:p w14:paraId="400F35EB" w14:textId="6A53800A" w:rsidR="00A87EED" w:rsidRPr="008E5FAE" w:rsidRDefault="00A87EED" w:rsidP="00A87EED">
      <w:pPr>
        <w:rPr>
          <w:szCs w:val="20"/>
        </w:rPr>
      </w:pPr>
      <w:r>
        <w:t xml:space="preserve">Realizacja celów będzie odbywać się m.in. przez wdrażanie </w:t>
      </w:r>
      <w:r w:rsidRPr="00391140">
        <w:t>uchwal</w:t>
      </w:r>
      <w:r>
        <w:t>onego w 2023 r.</w:t>
      </w:r>
      <w:r w:rsidRPr="00391140">
        <w:t xml:space="preserve"> </w:t>
      </w:r>
      <w:r w:rsidRPr="00743792">
        <w:rPr>
          <w:i/>
          <w:iCs/>
        </w:rPr>
        <w:t>Krajowego plan</w:t>
      </w:r>
      <w:r>
        <w:rPr>
          <w:i/>
          <w:iCs/>
        </w:rPr>
        <w:t>u</w:t>
      </w:r>
      <w:r w:rsidRPr="00743792">
        <w:rPr>
          <w:i/>
          <w:iCs/>
        </w:rPr>
        <w:t xml:space="preserve"> gospodarki odpadami 2028</w:t>
      </w:r>
      <w:r w:rsidRPr="00391140">
        <w:t xml:space="preserve"> (K</w:t>
      </w:r>
      <w:r>
        <w:t>PGO</w:t>
      </w:r>
      <w:r w:rsidRPr="00391140">
        <w:t xml:space="preserve"> 2028)</w:t>
      </w:r>
      <w:r>
        <w:t xml:space="preserve">. </w:t>
      </w:r>
      <w:r>
        <w:rPr>
          <w:szCs w:val="20"/>
        </w:rPr>
        <w:t xml:space="preserve"> </w:t>
      </w:r>
      <w:r w:rsidRPr="008E5FAE">
        <w:rPr>
          <w:szCs w:val="20"/>
        </w:rPr>
        <w:t>Przyjęte w KPGO</w:t>
      </w:r>
      <w:r w:rsidRPr="008E5FAE">
        <w:rPr>
          <w:bCs/>
          <w:szCs w:val="20"/>
        </w:rPr>
        <w:t xml:space="preserve"> 2028 </w:t>
      </w:r>
      <w:r w:rsidRPr="008E5FAE">
        <w:rPr>
          <w:szCs w:val="20"/>
        </w:rPr>
        <w:t>kierunki polityki gospodarki odpadami znajdą odzwierciedlenie w wojewódzkich planach gospodarki odpadami.</w:t>
      </w:r>
    </w:p>
    <w:p w14:paraId="22945A3B" w14:textId="2DD0C90E" w:rsidR="00A87EED" w:rsidRDefault="00A87EED" w:rsidP="00A87EED">
      <w:r>
        <w:t>Wśród zaplanowanych w KPGO 2028 działań znajdują się w szczególności działania edukacyjno-informacyjne dotyczące zapobiegania powstawaniu odpadów (ZPO) i przeciwdziałaniu zaśmiecaniu; wspieranie rozwoju infrastruktury do ZPO i recyklingu odpadów; wspieranie badań w zakresie nowych technologii z zakresu ZPO oraz gospodarowania odpadami, rekomendowane działania dotyczące surowców krytycznych oraz służące przeciwdziałaniu zaśmiecaniu środowiska morskiego i lądowego.</w:t>
      </w:r>
    </w:p>
    <w:p w14:paraId="30564574" w14:textId="0A763A2C" w:rsidR="00A87EED" w:rsidRDefault="00A87EED" w:rsidP="00A87EED">
      <w:r>
        <w:t xml:space="preserve">Osiąganie celów wymaga zarówno wdrażania odpowiednich systemów, regulacji </w:t>
      </w:r>
      <w:r w:rsidR="00841A3E">
        <w:t xml:space="preserve">jak </w:t>
      </w:r>
      <w:r>
        <w:t>i zachęt, ale także zaangażowania na poziomie społecznym w zakresie ograniczania wytwarzania odpadów i ich segregacji oraz na wszystkich poziomach aktywności gospodarczej – od projektowania produktów i opakowań oraz procesów produkcyjnych, przez projektowanie procesów związanych z transportem produktów po świadczenie usług w sposób racjonalny z punktu widzenia wytwarzania odpadów.</w:t>
      </w:r>
    </w:p>
    <w:p w14:paraId="03B9029D" w14:textId="228F65F3" w:rsidR="00743792" w:rsidRDefault="004D33D0" w:rsidP="008C4B52">
      <w:r>
        <w:t>Ważnym element realizacji polityki będzie p</w:t>
      </w:r>
      <w:r w:rsidRPr="004D33D0">
        <w:t>romowanie obiegu zamkniętego i</w:t>
      </w:r>
      <w:r>
        <w:t> </w:t>
      </w:r>
      <w:r w:rsidRPr="004D33D0">
        <w:t>zrównoważonego wykorzystania opakowań poprzez zachęcanie do stosowania opakowań wielokrotnego użytku i systemów ponownego użycia.</w:t>
      </w:r>
      <w:r>
        <w:t xml:space="preserve"> Szczególną rolę odegra wdrożenie od 2025 r. systemu kaucyjnego obejmującego </w:t>
      </w:r>
      <w:r w:rsidRPr="004D33D0">
        <w:t>jednorazowe butelki z tworzyw sztucznych o pojemności do 3 litrów, szklane butelki wielokrotnego użytku do 1,5 litra oraz metalowe puszki o pojemności do 1 litra</w:t>
      </w:r>
      <w:r w:rsidR="00564E20">
        <w:t>.</w:t>
      </w:r>
    </w:p>
    <w:p w14:paraId="6ADDB688" w14:textId="77777777" w:rsidR="00B64F0D" w:rsidRPr="00C46DAA" w:rsidRDefault="00B64F0D" w:rsidP="004948D8">
      <w:pPr>
        <w:pStyle w:val="Polityka"/>
      </w:pPr>
      <w:r w:rsidRPr="00C46DAA">
        <w:t>DZIAŁANIA</w:t>
      </w:r>
    </w:p>
    <w:bookmarkStart w:id="106" w:name="_Hlk173755001"/>
    <w:p w14:paraId="1684404A" w14:textId="092695CB" w:rsidR="00EA00EA" w:rsidRDefault="00EA00EA" w:rsidP="00B64F0D">
      <w:pPr>
        <w:pStyle w:val="Akapitzlist"/>
        <w:numPr>
          <w:ilvl w:val="0"/>
          <w:numId w:val="6"/>
        </w:numPr>
        <w:rPr>
          <w:szCs w:val="20"/>
        </w:rPr>
      </w:pPr>
      <w:r>
        <w:rPr>
          <w:szCs w:val="20"/>
        </w:rPr>
        <w:fldChar w:fldCharType="begin"/>
      </w:r>
      <w:r>
        <w:rPr>
          <w:szCs w:val="20"/>
        </w:rPr>
        <w:instrText xml:space="preserve"> REF _Ref157430266 \h </w:instrText>
      </w:r>
      <w:r>
        <w:rPr>
          <w:szCs w:val="20"/>
        </w:rPr>
      </w:r>
      <w:r>
        <w:rPr>
          <w:szCs w:val="20"/>
        </w:rPr>
        <w:fldChar w:fldCharType="separate"/>
      </w:r>
      <w:r w:rsidR="00DD3929" w:rsidRPr="00163CF0">
        <w:t xml:space="preserve">Działanie </w:t>
      </w:r>
      <w:r w:rsidR="00DD3929">
        <w:rPr>
          <w:noProof/>
        </w:rPr>
        <w:t>145</w:t>
      </w:r>
      <w:r w:rsidR="00DD3929" w:rsidRPr="00163CF0">
        <w:t>. Budowanie świadomości – gospodarka o obiegu zamkniętym.</w:t>
      </w:r>
      <w:r>
        <w:rPr>
          <w:szCs w:val="20"/>
        </w:rPr>
        <w:fldChar w:fldCharType="end"/>
      </w:r>
    </w:p>
    <w:p w14:paraId="22F91054" w14:textId="27100316" w:rsidR="00FA5DFB" w:rsidRDefault="00FA5DFB" w:rsidP="00FA5DFB">
      <w:pPr>
        <w:pStyle w:val="Nagwek3"/>
        <w:rPr>
          <w:color w:val="70AD47" w:themeColor="accent6"/>
        </w:rPr>
      </w:pPr>
      <w:bookmarkStart w:id="107" w:name="_Toc179536949"/>
      <w:bookmarkEnd w:id="106"/>
      <w:r w:rsidRPr="00FA5DFB">
        <w:rPr>
          <w:color w:val="70AD47" w:themeColor="accent6"/>
        </w:rPr>
        <w:lastRenderedPageBreak/>
        <w:t xml:space="preserve">Gospodarka </w:t>
      </w:r>
      <w:r w:rsidR="00841A3E">
        <w:rPr>
          <w:color w:val="70AD47" w:themeColor="accent6"/>
        </w:rPr>
        <w:t xml:space="preserve">o </w:t>
      </w:r>
      <w:r w:rsidRPr="00FA5DFB">
        <w:rPr>
          <w:color w:val="70AD47" w:themeColor="accent6"/>
        </w:rPr>
        <w:t>obiegu zamknięt</w:t>
      </w:r>
      <w:r w:rsidR="00841A3E">
        <w:rPr>
          <w:color w:val="70AD47" w:themeColor="accent6"/>
        </w:rPr>
        <w:t>ym</w:t>
      </w:r>
      <w:bookmarkEnd w:id="107"/>
    </w:p>
    <w:p w14:paraId="79CE58FE" w14:textId="2C533BEF" w:rsidR="00A95744" w:rsidRDefault="00333813" w:rsidP="00A95744">
      <w:r w:rsidRPr="00FA5DFB">
        <w:rPr>
          <w:noProof/>
        </w:rPr>
        <mc:AlternateContent>
          <mc:Choice Requires="wps">
            <w:drawing>
              <wp:anchor distT="0" distB="0" distL="114300" distR="114300" simplePos="0" relativeHeight="251778048" behindDoc="1" locked="0" layoutInCell="1" allowOverlap="1" wp14:anchorId="3E89246A" wp14:editId="6CF49233">
                <wp:simplePos x="0" y="0"/>
                <wp:positionH relativeFrom="page">
                  <wp:posOffset>3662883</wp:posOffset>
                </wp:positionH>
                <wp:positionV relativeFrom="paragraph">
                  <wp:posOffset>68580</wp:posOffset>
                </wp:positionV>
                <wp:extent cx="2969895" cy="1739900"/>
                <wp:effectExtent l="19050" t="57150" r="116205" b="75565"/>
                <wp:wrapSquare wrapText="bothSides"/>
                <wp:docPr id="1996521671" name="Prostokąt: zaokrąglone rogi 5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969895" cy="1739900"/>
                        </a:xfrm>
                        <a:prstGeom prst="roundRect">
                          <a:avLst>
                            <a:gd name="adj" fmla="val 11857"/>
                          </a:avLst>
                        </a:prstGeom>
                        <a:solidFill>
                          <a:sysClr val="window" lastClr="FFFFFF"/>
                        </a:solidFill>
                        <a:ln w="9525" cap="flat" cmpd="sng" algn="ctr">
                          <a:solidFill>
                            <a:srgbClr val="70AD47"/>
                          </a:solidFill>
                          <a:prstDash val="solid"/>
                          <a:miter lim="800000"/>
                        </a:ln>
                        <a:effectLst>
                          <a:outerShdw blurRad="50800" dist="38100" algn="l" rotWithShape="0">
                            <a:prstClr val="black">
                              <a:alpha val="40000"/>
                            </a:prstClr>
                          </a:outerShdw>
                        </a:effectLst>
                      </wps:spPr>
                      <wps:txbx>
                        <w:txbxContent>
                          <w:p w14:paraId="78985E5F" w14:textId="6C32389C" w:rsidR="001B5FBB" w:rsidRPr="001B5FBB" w:rsidRDefault="00FA5DFB" w:rsidP="001B5FBB">
                            <w:pPr>
                              <w:pStyle w:val="Ramka"/>
                            </w:pPr>
                            <w:r w:rsidRPr="00215424">
                              <w:rPr>
                                <w:color w:val="auto"/>
                                <w:sz w:val="20"/>
                                <w:szCs w:val="22"/>
                              </w:rPr>
                              <w:t xml:space="preserve"> </w:t>
                            </w:r>
                            <w:r w:rsidR="001B5FBB" w:rsidRPr="001B5FBB">
                              <w:t>GOZ to model gospodarczy, w którym – przy zachowaniu warunku wydajności</w:t>
                            </w:r>
                            <w:r w:rsidR="001B5FBB">
                              <w:t xml:space="preserve"> s</w:t>
                            </w:r>
                            <w:r w:rsidR="001B5FBB" w:rsidRPr="001B5FBB">
                              <w:t>pełnione są następujące podstawowe założenia:</w:t>
                            </w:r>
                          </w:p>
                          <w:p w14:paraId="4D6A3EBF" w14:textId="6770B930" w:rsidR="001B5FBB" w:rsidRPr="001B5FBB" w:rsidRDefault="001B5FBB" w:rsidP="001B5FBB">
                            <w:pPr>
                              <w:pStyle w:val="Ramka"/>
                            </w:pPr>
                            <w:r w:rsidRPr="001B5FBB">
                              <w:t>a) wartość dodana surowców/zasobów, materiałów i</w:t>
                            </w:r>
                            <w:r w:rsidR="009417D3">
                              <w:t> </w:t>
                            </w:r>
                            <w:r w:rsidRPr="001B5FBB">
                              <w:t>produktów jest</w:t>
                            </w:r>
                            <w:r>
                              <w:t xml:space="preserve"> </w:t>
                            </w:r>
                            <w:r w:rsidRPr="001B5FBB">
                              <w:t>maksymalizowana lub</w:t>
                            </w:r>
                          </w:p>
                          <w:p w14:paraId="4A42C647" w14:textId="0C249BE3" w:rsidR="00FA5DFB" w:rsidRPr="004E21CF" w:rsidRDefault="001B5FBB" w:rsidP="001B5FBB">
                            <w:pPr>
                              <w:pStyle w:val="Ramka"/>
                            </w:pPr>
                            <w:r w:rsidRPr="001B5FBB">
                              <w:t>b) ilość wytwarzanych odpadów jest minimalizowana, a powstające odpady</w:t>
                            </w:r>
                            <w:r>
                              <w:t xml:space="preserve"> </w:t>
                            </w:r>
                            <w:r w:rsidRPr="001B5FBB">
                              <w:t>są zagospodarowywane zgodnie z hierarchią sposobów postępowania z</w:t>
                            </w:r>
                            <w:r>
                              <w:t xml:space="preserve"> </w:t>
                            </w:r>
                            <w:r w:rsidRPr="001B5FBB">
                              <w:t>odpadami (zapobieganie powstawaniu odpadów, przygotowywanie do</w:t>
                            </w:r>
                            <w:r>
                              <w:t xml:space="preserve"> </w:t>
                            </w:r>
                            <w:r w:rsidRPr="001B5FBB">
                              <w:t>ponownego użycia, recykling, inne sposoby odzysku, unieszkodliwienie)</w:t>
                            </w:r>
                            <w:r w:rsidR="00A95744">
                              <w:t>.</w:t>
                            </w:r>
                            <w:r w:rsidRPr="001B5FBB" w:rsidDel="00FA5DFB">
                              <w:t xml:space="preserve"> </w:t>
                            </w:r>
                          </w:p>
                        </w:txbxContent>
                      </wps:txbx>
                      <wps:bodyPr rot="0" spcFirstLastPara="0" vertOverflow="overflow" horzOverflow="overflow" vert="horz" wrap="square" lIns="72000" tIns="90000" rIns="72000" bIns="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3E89246A" id="_x0000_s1092" style="position:absolute;left:0;text-align:left;margin-left:288.4pt;margin-top:5.4pt;width:233.85pt;height:137pt;z-index:-2515384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arcsize="777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" fillcolor="window" strokecolor="#70ad47">
                <v:stroke joinstyle="miter"/>
                <v:shadow on="t" color="black" opacity="26214f" origin="-.5" offset="3pt,0"/>
                <v:path arrowok="t"/>
                <v:textbox style="mso-fit-shape-to-text:t" inset="2mm,2.5mm,2mm,0">
                  <w:txbxContent>
                    <w:p w14:paraId="78985E5F" w14:textId="6C32389C" w:rsidR="001B5FBB" w:rsidRPr="001B5FBB" w:rsidRDefault="00FA5DFB" w:rsidP="001B5FBB">
                      <w:pPr>
                        <w:pStyle w:val="Ramka"/>
                      </w:pPr>
                      <w:r w:rsidRPr="00215424">
                        <w:rPr>
                          <w:color w:val="auto"/>
                          <w:sz w:val="20"/>
                          <w:szCs w:val="22"/>
                        </w:rPr>
                        <w:t xml:space="preserve"> </w:t>
                      </w:r>
                      <w:r w:rsidR="001B5FBB" w:rsidRPr="001B5FBB">
                        <w:t>GOZ to model gospodarczy, w którym – przy zachowaniu warunku wydajności</w:t>
                      </w:r>
                      <w:r w:rsidR="001B5FBB">
                        <w:t xml:space="preserve"> s</w:t>
                      </w:r>
                      <w:r w:rsidR="001B5FBB" w:rsidRPr="001B5FBB">
                        <w:t>pełnione są następujące podstawowe założenia:</w:t>
                      </w:r>
                    </w:p>
                    <w:p w14:paraId="4D6A3EBF" w14:textId="6770B930" w:rsidR="001B5FBB" w:rsidRPr="001B5FBB" w:rsidRDefault="001B5FBB" w:rsidP="001B5FBB">
                      <w:pPr>
                        <w:pStyle w:val="Ramka"/>
                      </w:pPr>
                      <w:r w:rsidRPr="001B5FBB">
                        <w:t>a) wartość dodana surowców/zasobów, materiałów i</w:t>
                      </w:r>
                      <w:r w:rsidR="009417D3">
                        <w:t> </w:t>
                      </w:r>
                      <w:r w:rsidRPr="001B5FBB">
                        <w:t>produktów jest</w:t>
                      </w:r>
                      <w:r>
                        <w:t xml:space="preserve"> </w:t>
                      </w:r>
                      <w:r w:rsidRPr="001B5FBB">
                        <w:t>maksymalizowana lub</w:t>
                      </w:r>
                    </w:p>
                    <w:p w14:paraId="4A42C647" w14:textId="0C249BE3" w:rsidR="00FA5DFB" w:rsidRPr="004E21CF" w:rsidRDefault="001B5FBB" w:rsidP="001B5FBB">
                      <w:pPr>
                        <w:pStyle w:val="Ramka"/>
                      </w:pPr>
                      <w:r w:rsidRPr="001B5FBB">
                        <w:t>b) ilość wytwarzanych odpadów jest minimalizowana, a powstające odpady</w:t>
                      </w:r>
                      <w:r>
                        <w:t xml:space="preserve"> </w:t>
                      </w:r>
                      <w:r w:rsidRPr="001B5FBB">
                        <w:t>są zagospodarowywane zgodnie z hierarchią sposobów postępowania z</w:t>
                      </w:r>
                      <w:r>
                        <w:t xml:space="preserve"> </w:t>
                      </w:r>
                      <w:r w:rsidRPr="001B5FBB">
                        <w:t>odpadami (zapobieganie powstawaniu odpadów, przygotowywanie do</w:t>
                      </w:r>
                      <w:r>
                        <w:t xml:space="preserve"> </w:t>
                      </w:r>
                      <w:r w:rsidRPr="001B5FBB">
                        <w:t>ponownego użycia, recykling, inne sposoby odzysku, unieszkodliwienie)</w:t>
                      </w:r>
                      <w:r w:rsidR="00A95744">
                        <w:t>.</w:t>
                      </w:r>
                      <w:r w:rsidRPr="001B5FBB" w:rsidDel="00FA5DFB">
                        <w:t xml:space="preserve"> </w:t>
                      </w:r>
                    </w:p>
                  </w:txbxContent>
                </v:textbox>
                <w10:wrap type="square" anchorx="page"/>
              </v:roundrect>
            </w:pict>
          </mc:Fallback>
        </mc:AlternateContent>
      </w:r>
      <w:r w:rsidR="00A95744">
        <w:t xml:space="preserve">Gospodarka </w:t>
      </w:r>
      <w:r w:rsidR="009417D3">
        <w:t>o</w:t>
      </w:r>
      <w:r w:rsidR="00841A3E">
        <w:t xml:space="preserve"> o</w:t>
      </w:r>
      <w:r w:rsidR="00A95744">
        <w:t xml:space="preserve">biegu </w:t>
      </w:r>
      <w:r w:rsidR="009417D3">
        <w:t>z</w:t>
      </w:r>
      <w:r w:rsidR="00A95744">
        <w:t>amknięt</w:t>
      </w:r>
      <w:r w:rsidR="00841A3E">
        <w:t>ym</w:t>
      </w:r>
      <w:r w:rsidR="00A95744">
        <w:t xml:space="preserve"> (GOZ</w:t>
      </w:r>
      <w:r>
        <w:t>)</w:t>
      </w:r>
      <w:r w:rsidR="00A95744">
        <w:t xml:space="preserve"> to nowoczesny model ekonomiczny,</w:t>
      </w:r>
      <w:r w:rsidR="009417D3">
        <w:t xml:space="preserve"> w</w:t>
      </w:r>
      <w:r w:rsidR="00A95744">
        <w:t xml:space="preserve"> który</w:t>
      </w:r>
      <w:r w:rsidR="009417D3">
        <w:t>m</w:t>
      </w:r>
      <w:r w:rsidR="00A95744">
        <w:t xml:space="preserve"> dąży </w:t>
      </w:r>
      <w:r w:rsidR="009417D3">
        <w:t xml:space="preserve">się </w:t>
      </w:r>
      <w:r w:rsidR="00A95744">
        <w:t>do zminimalizowania odpadów i maksymalizacji efektywności wykorzystania zasobów poprzez ich wielokrotne użycie, recykling i odzysk. Główne cele GOZ obejmują minimalizację odpadów, oszczędność zasobów, redukcję emisji CO</w:t>
      </w:r>
      <w:r w:rsidR="00A95744" w:rsidRPr="009417D3">
        <w:rPr>
          <w:vertAlign w:val="subscript"/>
        </w:rPr>
        <w:t>2</w:t>
      </w:r>
      <w:r w:rsidR="00A95744">
        <w:t xml:space="preserve"> oraz wzrost innowacji. Minimalizacja odpadów polega na ograniczeniu ilości generowanych odpadów poprzez efektywne zarządzanie zasobami i procesami produkcyjnymi. Oszczędność zasobów to optymalizacja zużycia surowców naturalnych przez ponowne wykorzystanie materiałów i produktów. Wzrost innowacji stymuluje rozwój nowych technologii i metod zarządzania zasobami,</w:t>
      </w:r>
      <w:r w:rsidR="00BA6892">
        <w:t xml:space="preserve"> zamknięcia obiegów materiałowych czy podniesienie jakości produktów.</w:t>
      </w:r>
    </w:p>
    <w:p w14:paraId="67634450" w14:textId="422D539E" w:rsidR="0060412F" w:rsidRDefault="00EA0CE1" w:rsidP="0060412F">
      <w:pPr>
        <w:pStyle w:val="Nagwek4"/>
        <w:rPr>
          <w:color w:val="70AD47" w:themeColor="accent6"/>
        </w:rPr>
      </w:pPr>
      <w:bookmarkStart w:id="108" w:name="_Toc179536950"/>
      <w:r>
        <w:rPr>
          <w:color w:val="70AD47" w:themeColor="accent6"/>
        </w:rPr>
        <w:t xml:space="preserve">Wspieranie transformacji w kierunku </w:t>
      </w:r>
      <w:r w:rsidR="00C677CA" w:rsidRPr="00A35928">
        <w:rPr>
          <w:color w:val="70AD47" w:themeColor="accent6"/>
        </w:rPr>
        <w:t xml:space="preserve">gospodarki </w:t>
      </w:r>
      <w:r w:rsidR="00841A3E">
        <w:rPr>
          <w:color w:val="70AD47" w:themeColor="accent6"/>
        </w:rPr>
        <w:t>o</w:t>
      </w:r>
      <w:r w:rsidR="006F3153">
        <w:rPr>
          <w:color w:val="70AD47" w:themeColor="accent6"/>
        </w:rPr>
        <w:t> </w:t>
      </w:r>
      <w:r w:rsidR="00C677CA" w:rsidRPr="00A35928">
        <w:rPr>
          <w:color w:val="70AD47" w:themeColor="accent6"/>
        </w:rPr>
        <w:t>obiegu zamknięt</w:t>
      </w:r>
      <w:r w:rsidR="00841A3E">
        <w:rPr>
          <w:color w:val="70AD47" w:themeColor="accent6"/>
        </w:rPr>
        <w:t>ym</w:t>
      </w:r>
      <w:bookmarkEnd w:id="108"/>
    </w:p>
    <w:p w14:paraId="32C630BD" w14:textId="43957569" w:rsidR="00CD089A" w:rsidRDefault="00CD089A" w:rsidP="00CD089A">
      <w:r w:rsidRPr="00CD089A">
        <w:t xml:space="preserve">W obliczu wyczerpywania się surowców nieodnawialnych, rosnących cen oraz uzależnienia Polski od importu tych surowców, transformacja w kierunku GOZ staje się kluczowa dla zapewnienia zrównoważonego rozwoju gospodarczego oraz ochrony środowiska. Wprowadzenie GOZ wymaga reform na każdym etapie cyklu życia produktu – od projektowania, przez pozyskiwanie surowców, przetwórstwo i produkcję, aż po konsumpcję i </w:t>
      </w:r>
      <w:r w:rsidR="00841A3E">
        <w:t>gospodarowanie</w:t>
      </w:r>
      <w:r w:rsidRPr="00CD089A">
        <w:t xml:space="preserve"> odpadami. W przeciwieństwie do modelu gospodarki linearnej, który polega na prostym „weź – wyprodukuj – zużyj – wyrzuć”, GOZ traktuje odpady jako surowce wtórne, </w:t>
      </w:r>
      <w:r w:rsidR="00841A3E">
        <w:t xml:space="preserve">możliwe do </w:t>
      </w:r>
      <w:r w:rsidRPr="00CD089A">
        <w:t>wykorzystania w produkcji. Dlatego przyjęcie zasad GOZ nie tylko przyczynia się do zmniejszenia negatywnego wpływu na środowisko, ale także stwarza nowe możliwości rozwoju gospodarczego i innowacji, wzmacniając konkurencyjność Polski na rynku międzynarodowym.</w:t>
      </w:r>
    </w:p>
    <w:p w14:paraId="11D0593A" w14:textId="65F3AE37" w:rsidR="00041A35" w:rsidRDefault="00041A35" w:rsidP="00CD089A">
      <w:r>
        <w:t>GOZ znajduje także coraz szersze zastosowanie – jako warunek wyjściowy w ramach innych aktów prawnych, podobnie jak zasada „</w:t>
      </w:r>
      <w:r w:rsidR="00585A2B">
        <w:t>efektywność</w:t>
      </w:r>
      <w:r>
        <w:t xml:space="preserve"> energetyczna przede wszystkim”</w:t>
      </w:r>
      <w:r>
        <w:rPr>
          <w:rStyle w:val="Odwoanieprzypisudolnego"/>
        </w:rPr>
        <w:footnoteReference w:id="52"/>
      </w:r>
      <w:r>
        <w:t>. Przykładem jest w</w:t>
      </w:r>
      <w:r w:rsidRPr="00041A35">
        <w:t>prowadzone w</w:t>
      </w:r>
      <w:r>
        <w:t xml:space="preserve"> UE</w:t>
      </w:r>
      <w:r w:rsidRPr="00041A35">
        <w:t xml:space="preserve"> rozporządzenie </w:t>
      </w:r>
      <w:r>
        <w:t xml:space="preserve">2024/2152 </w:t>
      </w:r>
      <w:r w:rsidRPr="00041A35">
        <w:t>dot. surowców krytycznych</w:t>
      </w:r>
      <w:r>
        <w:t>, które</w:t>
      </w:r>
      <w:r w:rsidRPr="00041A35">
        <w:t xml:space="preserve"> nakłada na państwa członkowskie obowiązki wdrożenia środków mających na celu poprawę recyklingu odpadów posiadających surowce krytyczne. Państwa członkowskie i podmioty prywatne będą musiały zbadać potencjał odzysku surowców krytycznych z odpadów wydobywczych w ramach bieżącej działalności wydobywczej, ale także z historycznych składowisk odpadów wydobywczych. Aby zmniejszyć zależność od państw trzecich w zakresie dostępu do surowców krytycznych, UE wyznaczyła cel, aby do 2030 r</w:t>
      </w:r>
      <w:r w:rsidR="00585A2B">
        <w:t>.</w:t>
      </w:r>
      <w:r w:rsidRPr="00041A35">
        <w:t>, co najmniej 25% rocznego zużycia surowców strategicznych w UE pochodziło z wewnętrznego recyklingu</w:t>
      </w:r>
      <w:r w:rsidR="00585A2B">
        <w:t>.</w:t>
      </w:r>
    </w:p>
    <w:p w14:paraId="300563C0" w14:textId="151503B1" w:rsidR="00CD089A" w:rsidRPr="00CD089A" w:rsidRDefault="00CD089A" w:rsidP="00CD089A">
      <w:pPr>
        <w:pBdr>
          <w:top w:val="single" w:sz="24" w:space="2" w:color="D9D9D9" w:themeColor="background1" w:themeShade="D9"/>
          <w:left w:val="single" w:sz="24" w:space="4" w:color="D9D9D9" w:themeColor="background1" w:themeShade="D9"/>
          <w:bottom w:val="single" w:sz="24" w:space="0" w:color="D9D9D9" w:themeColor="background1" w:themeShade="D9"/>
          <w:right w:val="single" w:sz="24" w:space="4" w:color="D9D9D9" w:themeColor="background1" w:themeShade="D9"/>
        </w:pBdr>
        <w:shd w:val="clear" w:color="auto" w:fill="D9D9D9" w:themeFill="background1" w:themeFillShade="D9"/>
        <w:spacing w:before="160" w:after="360"/>
        <w:jc w:val="center"/>
        <w:rPr>
          <w:rFonts w:cs="Calibri"/>
          <w:sz w:val="24"/>
        </w:rPr>
      </w:pPr>
      <w:r w:rsidRPr="00CD089A">
        <w:rPr>
          <w:rFonts w:cs="Calibri"/>
          <w:sz w:val="24"/>
        </w:rPr>
        <w:t xml:space="preserve">Polska będzie dążyła do </w:t>
      </w:r>
      <w:r w:rsidRPr="00CD089A">
        <w:rPr>
          <w:rFonts w:cs="Calibri"/>
          <w:b/>
          <w:bCs/>
          <w:sz w:val="24"/>
        </w:rPr>
        <w:t xml:space="preserve">wzrostu potencjału gospodarki </w:t>
      </w:r>
      <w:r w:rsidR="00841A3E">
        <w:rPr>
          <w:rFonts w:cs="Calibri"/>
          <w:b/>
          <w:bCs/>
          <w:sz w:val="24"/>
        </w:rPr>
        <w:t xml:space="preserve">o </w:t>
      </w:r>
      <w:r w:rsidRPr="00CD089A">
        <w:rPr>
          <w:rFonts w:cs="Calibri"/>
          <w:b/>
          <w:bCs/>
          <w:sz w:val="24"/>
        </w:rPr>
        <w:t>obiegu zamknięt</w:t>
      </w:r>
      <w:r w:rsidR="00841A3E">
        <w:rPr>
          <w:rFonts w:cs="Calibri"/>
          <w:b/>
          <w:bCs/>
          <w:sz w:val="24"/>
        </w:rPr>
        <w:t>ym</w:t>
      </w:r>
      <w:r w:rsidRPr="00CD089A">
        <w:rPr>
          <w:rFonts w:cs="Calibri"/>
          <w:sz w:val="24"/>
        </w:rPr>
        <w:t xml:space="preserve"> poprzez zmniejszenie zużycia surowców naturalnych, zwiększenie produktywności zasobów, innowacyjne zamówienia publiczne oraz ekoinnowacje.</w:t>
      </w:r>
    </w:p>
    <w:p w14:paraId="7C2E5EDF" w14:textId="20FD0649" w:rsidR="00CD089A" w:rsidRDefault="00CD089A" w:rsidP="00CD089A">
      <w:pPr>
        <w:rPr>
          <w:b/>
          <w:bCs/>
        </w:rPr>
      </w:pPr>
      <w:r>
        <w:rPr>
          <w:b/>
          <w:bCs/>
        </w:rPr>
        <w:lastRenderedPageBreak/>
        <w:t xml:space="preserve">Do celów ogólnych w zakresie wzrostu efektywności gospodarki </w:t>
      </w:r>
      <w:r w:rsidR="00841A3E">
        <w:rPr>
          <w:b/>
          <w:bCs/>
        </w:rPr>
        <w:t xml:space="preserve">o </w:t>
      </w:r>
      <w:r>
        <w:rPr>
          <w:b/>
          <w:bCs/>
        </w:rPr>
        <w:t>obiegu zamknięt</w:t>
      </w:r>
      <w:r w:rsidR="00841A3E">
        <w:rPr>
          <w:b/>
          <w:bCs/>
        </w:rPr>
        <w:t>ym</w:t>
      </w:r>
      <w:r>
        <w:rPr>
          <w:b/>
          <w:bCs/>
        </w:rPr>
        <w:t xml:space="preserve"> można zaliczyć poniższe:</w:t>
      </w:r>
    </w:p>
    <w:p w14:paraId="3DD54EF7" w14:textId="1FA20962" w:rsidR="00CD089A" w:rsidRDefault="00CD089A" w:rsidP="00612B5D">
      <w:pPr>
        <w:pStyle w:val="Akapitzlist"/>
        <w:numPr>
          <w:ilvl w:val="0"/>
          <w:numId w:val="46"/>
        </w:numPr>
        <w:ind w:left="426"/>
      </w:pPr>
      <w:r w:rsidRPr="00C064CB">
        <w:t>Oszczędność zasobów</w:t>
      </w:r>
      <w:r>
        <w:t xml:space="preserve"> –</w:t>
      </w:r>
      <w:r w:rsidRPr="00C064CB">
        <w:t xml:space="preserve"> </w:t>
      </w:r>
      <w:r>
        <w:t>o</w:t>
      </w:r>
      <w:r w:rsidRPr="00C064CB">
        <w:t>ptymalizacja zużycia surowców naturalnych przez ponowne wykorzystanie materiałów i produktów</w:t>
      </w:r>
      <w:r w:rsidR="006C78E5">
        <w:t>;</w:t>
      </w:r>
    </w:p>
    <w:p w14:paraId="3B432E1A" w14:textId="0CF1FE14" w:rsidR="00CD089A" w:rsidRDefault="00CD089A" w:rsidP="00612B5D">
      <w:pPr>
        <w:pStyle w:val="Akapitzlist"/>
        <w:numPr>
          <w:ilvl w:val="0"/>
          <w:numId w:val="46"/>
        </w:numPr>
        <w:ind w:left="426"/>
      </w:pPr>
      <w:r w:rsidRPr="00BA6892">
        <w:t>Zwiększenie bezpieczeństwa surowcowego</w:t>
      </w:r>
      <w:r>
        <w:t xml:space="preserve"> – z</w:t>
      </w:r>
      <w:r w:rsidRPr="00BA6892">
        <w:t>apewnienie stabilnego dostępu do niezbędnych surowców poprzez ich odzysk i ponowne użycie</w:t>
      </w:r>
      <w:r w:rsidR="006C78E5">
        <w:t>;</w:t>
      </w:r>
    </w:p>
    <w:p w14:paraId="1B4C6327" w14:textId="7207A2A5" w:rsidR="00CD089A" w:rsidRDefault="00CD089A" w:rsidP="00612B5D">
      <w:pPr>
        <w:pStyle w:val="Akapitzlist"/>
        <w:numPr>
          <w:ilvl w:val="0"/>
          <w:numId w:val="46"/>
        </w:numPr>
        <w:ind w:left="426"/>
      </w:pPr>
      <w:r>
        <w:t>Zmniejszenie zużycia surowców pierwotnych – redukcja eksploatacji zasobów naturalnych poprzez wykorzystywanie surowców wtórnych</w:t>
      </w:r>
      <w:r w:rsidR="006C78E5">
        <w:t>;</w:t>
      </w:r>
    </w:p>
    <w:p w14:paraId="5C84A27D" w14:textId="1568B655" w:rsidR="00CD089A" w:rsidRDefault="00CD089A" w:rsidP="00612B5D">
      <w:pPr>
        <w:pStyle w:val="Akapitzlist"/>
        <w:numPr>
          <w:ilvl w:val="0"/>
          <w:numId w:val="46"/>
        </w:numPr>
        <w:ind w:left="426"/>
      </w:pPr>
      <w:r>
        <w:t>Podniesienie jakości produktów – produkowanie</w:t>
      </w:r>
      <w:r w:rsidR="00841A3E">
        <w:t xml:space="preserve"> produktów</w:t>
      </w:r>
      <w:r>
        <w:t xml:space="preserve"> trwałych i łatwych do naprawy oraz recyklingu</w:t>
      </w:r>
      <w:r w:rsidR="006C78E5">
        <w:t>;</w:t>
      </w:r>
    </w:p>
    <w:p w14:paraId="675A6EA6" w14:textId="77777777" w:rsidR="00CD089A" w:rsidRDefault="00CD089A" w:rsidP="00612B5D">
      <w:pPr>
        <w:pStyle w:val="Akapitzlist"/>
        <w:numPr>
          <w:ilvl w:val="0"/>
          <w:numId w:val="46"/>
        </w:numPr>
        <w:ind w:left="426"/>
      </w:pPr>
      <w:r w:rsidRPr="00BA6892">
        <w:t>Wzrost innowacji</w:t>
      </w:r>
      <w:r>
        <w:t xml:space="preserve"> – s</w:t>
      </w:r>
      <w:r w:rsidRPr="00BA6892">
        <w:t>tymulowanie rozwoju nowych technologii i metod zarządzania zasobami</w:t>
      </w:r>
      <w:r>
        <w:t>.</w:t>
      </w:r>
    </w:p>
    <w:p w14:paraId="6B8C13C8" w14:textId="6FDAAEE3" w:rsidR="00841A3E" w:rsidRDefault="00841A3E" w:rsidP="00612B5D">
      <w:pPr>
        <w:pStyle w:val="Akapitzlist"/>
        <w:numPr>
          <w:ilvl w:val="0"/>
          <w:numId w:val="46"/>
        </w:numPr>
        <w:ind w:left="426"/>
      </w:pPr>
      <w:r w:rsidRPr="00C064CB">
        <w:t xml:space="preserve">Minimalizacja odpadów </w:t>
      </w:r>
      <w:r>
        <w:t>– o</w:t>
      </w:r>
      <w:r w:rsidRPr="00C064CB">
        <w:t>graniczenie ilości generowanych odpadów przez efektywne zarządzanie zasobami i procesami produkcyjnymi</w:t>
      </w:r>
      <w:r w:rsidR="007E3E90">
        <w:t>.</w:t>
      </w:r>
    </w:p>
    <w:p w14:paraId="1353BCF6" w14:textId="77777777" w:rsidR="00CD089A" w:rsidRDefault="00CD089A" w:rsidP="00CD089A">
      <w:pPr>
        <w:pStyle w:val="Bezodstpw"/>
      </w:pPr>
    </w:p>
    <w:p w14:paraId="0E84D700" w14:textId="549742D4" w:rsidR="00CD089A" w:rsidRDefault="00CD089A" w:rsidP="00CD089A">
      <w:r>
        <w:rPr>
          <w:b/>
          <w:bCs/>
        </w:rPr>
        <w:t>W</w:t>
      </w:r>
      <w:r w:rsidRPr="00FF362D">
        <w:rPr>
          <w:b/>
          <w:bCs/>
        </w:rPr>
        <w:t xml:space="preserve"> kontekście transformacji klimatyczno-energetycznej</w:t>
      </w:r>
      <w:r>
        <w:t xml:space="preserve"> istotne jest zintegrowanie działań, które pozwolą na bardziej zrównoważone zarządzanie zasobami, redukcję emisji gazów cieplarnianych oraz ograniczenie zużycia surowców. </w:t>
      </w:r>
      <w:r w:rsidRPr="00CE3F44">
        <w:t>W sektorze energetyki, kluczowym celem GOZ jest transformacja w</w:t>
      </w:r>
      <w:r w:rsidR="00AB5919">
        <w:t> </w:t>
      </w:r>
      <w:r w:rsidRPr="00CE3F44">
        <w:t xml:space="preserve">kierunku zamknięcia cykli materiałowych i energetycznych. Oznacza to zwiększenie udziału odnawialnych źródeł energii, poprawę efektywności energetycznej oraz wdrażanie innowacyjnych technologii, które minimalizują negatywny wpływ na środowisko. Przykładem takich działań jest rozwój </w:t>
      </w:r>
      <w:r w:rsidR="00023909">
        <w:t>„</w:t>
      </w:r>
      <w:r w:rsidRPr="00CE3F44">
        <w:t>zielonego wodoru</w:t>
      </w:r>
      <w:r w:rsidR="00023909">
        <w:t>”</w:t>
      </w:r>
      <w:r w:rsidRPr="00CE3F44">
        <w:t xml:space="preserve"> – nośnika energii produkowanego z nadwyżek energii odnawialnej</w:t>
      </w:r>
      <w:r w:rsidR="007E3E90">
        <w:t>.</w:t>
      </w:r>
    </w:p>
    <w:p w14:paraId="1938E63B" w14:textId="77777777" w:rsidR="00CD089A" w:rsidRDefault="00CD089A" w:rsidP="00CD089A">
      <w:r w:rsidRPr="00CE3F44">
        <w:t xml:space="preserve">W kontekście GOZ, istotne jest również optymalne wykorzystanie energii i materiałów. Obejmuje to zwiększenie efektywności systemów energetycznych, minimalizację strat ciepła oraz recykling odpadów energetycznych, takich jak popioły i żużle. Wykorzystanie ciepła odpadowego z procesów przemysłowych do produkcji energii to kolejny krok w kierunku zamknięcia cyklu materiałów. </w:t>
      </w:r>
    </w:p>
    <w:p w14:paraId="36E526FF" w14:textId="26EEF82D" w:rsidR="00CD089A" w:rsidRPr="00CE3F44" w:rsidRDefault="00CD089A" w:rsidP="00CD089A">
      <w:r w:rsidRPr="00CE3F44">
        <w:t xml:space="preserve">W przemyśle energochłonnym, takim jak produkcja cementu czy </w:t>
      </w:r>
      <w:r>
        <w:t>stali</w:t>
      </w:r>
      <w:r w:rsidRPr="00CE3F44">
        <w:t xml:space="preserve">, zwiększenie efektywności GOZ jest szczególnie istotne ze względu na wysokie emisje gazów cieplarnianych związane z procesami produkcji. Cementownie są jednym z największych źródeł emisji </w:t>
      </w:r>
      <w:r>
        <w:t>CO</w:t>
      </w:r>
      <w:r w:rsidRPr="00473488">
        <w:rPr>
          <w:vertAlign w:val="subscript"/>
        </w:rPr>
        <w:t>2</w:t>
      </w:r>
      <w:r w:rsidRPr="00CE3F44">
        <w:t>, głównie z powodu procesu wypalania klinkieru oraz spalania paliw kopalnych. W ramach GOZ wdrażane są technologie pozwalające na recykling materiałów, takie jak wykorzystanie popiołów i żużli powstałych podczas spalania, które mogą być przetwarzane na nowe materiały budowlane</w:t>
      </w:r>
      <w:r w:rsidR="00620EBD">
        <w:t>, czy</w:t>
      </w:r>
      <w:r w:rsidR="00092576">
        <w:t xml:space="preserve"> </w:t>
      </w:r>
      <w:r w:rsidR="00620EBD">
        <w:t xml:space="preserve">wykorzystanie złomu stalowego w </w:t>
      </w:r>
      <w:r w:rsidR="00092576">
        <w:t>przemy</w:t>
      </w:r>
      <w:r w:rsidR="00620EBD">
        <w:t>śle</w:t>
      </w:r>
      <w:r w:rsidR="00092576">
        <w:t xml:space="preserve"> stalow</w:t>
      </w:r>
      <w:r w:rsidR="00620EBD">
        <w:t>ym.</w:t>
      </w:r>
      <w:r w:rsidR="00092576">
        <w:t xml:space="preserve"> </w:t>
      </w:r>
      <w:r w:rsidRPr="00CE3F44">
        <w:t>Dodatkowo, stosowanie alternatywnych paliw, takich jak odpady organiczne czy biogaz, może znacznie obniżyć emisje i zmniejszyć zależność od paliw kopalnych.</w:t>
      </w:r>
      <w:r>
        <w:t xml:space="preserve"> </w:t>
      </w:r>
      <w:r w:rsidRPr="00CE3F44">
        <w:t xml:space="preserve">Technologie wychwytywania i składowania </w:t>
      </w:r>
      <w:r w:rsidR="00AB5919">
        <w:t>CO</w:t>
      </w:r>
      <w:r w:rsidR="00AB5919" w:rsidRPr="00AB5919">
        <w:rPr>
          <w:vertAlign w:val="subscript"/>
        </w:rPr>
        <w:t>2</w:t>
      </w:r>
      <w:r w:rsidRPr="00CE3F44">
        <w:t xml:space="preserve"> (CCS) również odgrywają kluczową rolę w</w:t>
      </w:r>
      <w:r>
        <w:t> </w:t>
      </w:r>
      <w:r w:rsidRPr="00CE3F44">
        <w:t>przemyśle energochłonnym</w:t>
      </w:r>
      <w:r w:rsidR="00731263">
        <w:t xml:space="preserve">, </w:t>
      </w:r>
      <w:r w:rsidR="00731263" w:rsidRPr="00731263">
        <w:t>przy założeniu potencjału wykorzystania wychwyconego dwutlenku węgla dla celów gospodarczych lub dekarbonizacji innych sektorów (np. sektora lotniczego</w:t>
      </w:r>
      <w:r w:rsidR="00620EBD">
        <w:t>)</w:t>
      </w:r>
      <w:r w:rsidRPr="00CE3F44">
        <w:t>. W przypadku przemysłu cementowego, integracja tych technologii z</w:t>
      </w:r>
      <w:r>
        <w:t> </w:t>
      </w:r>
      <w:r w:rsidRPr="00CE3F44">
        <w:t>procesami produkcji może prowadzić do znacznej poprawy efektywności i zminimalizowania wpływu na klimat.</w:t>
      </w:r>
      <w:r>
        <w:t xml:space="preserve"> Rozwój biogazu i biometanu również stanowi istotne elementy strategii GOZ. Wykorzystanie biogazu i</w:t>
      </w:r>
      <w:r w:rsidR="007E3E90">
        <w:t> </w:t>
      </w:r>
      <w:r>
        <w:t xml:space="preserve">biometanu w systemach energetycznych oraz przemysłowych przyczyni się do zamknięcia cyklu materiałów, zmniejszenia zależności od paliw kopalnych oraz redukcji emisji gazów cieplarnianych. </w:t>
      </w:r>
    </w:p>
    <w:p w14:paraId="1015DC02" w14:textId="77777777" w:rsidR="00CD089A" w:rsidRDefault="00CD089A" w:rsidP="00CD089A">
      <w:pPr>
        <w:pStyle w:val="Polityka"/>
      </w:pPr>
      <w:r w:rsidRPr="008C4B52">
        <w:t>POLITYKA</w:t>
      </w:r>
    </w:p>
    <w:p w14:paraId="31A5E443" w14:textId="53223815" w:rsidR="00CD089A" w:rsidRDefault="00CD089A" w:rsidP="00CD089A">
      <w:r w:rsidRPr="00DA0D8A">
        <w:t xml:space="preserve">Polityka w zakresie </w:t>
      </w:r>
      <w:r w:rsidRPr="00473488">
        <w:rPr>
          <w:b/>
          <w:bCs/>
        </w:rPr>
        <w:t xml:space="preserve">gospodarki </w:t>
      </w:r>
      <w:r w:rsidR="007E3E90">
        <w:rPr>
          <w:b/>
          <w:bCs/>
        </w:rPr>
        <w:t xml:space="preserve">o </w:t>
      </w:r>
      <w:r w:rsidRPr="00473488">
        <w:rPr>
          <w:b/>
          <w:bCs/>
        </w:rPr>
        <w:t>obiegu zamknięt</w:t>
      </w:r>
      <w:r w:rsidR="007E3E90">
        <w:rPr>
          <w:b/>
          <w:bCs/>
        </w:rPr>
        <w:t>ym</w:t>
      </w:r>
      <w:r w:rsidRPr="00DA0D8A">
        <w:t xml:space="preserve"> ma na celu stworzenie ram prawnych, ekonomicznych i społecznych, które wspierają transformację z tradycyjnego modelu gospodarki liniowej do modelu cyrkularnego. Kluczowe obszary tej polityki obejmują legislację i regulacje, inwestycje w</w:t>
      </w:r>
      <w:r>
        <w:t> </w:t>
      </w:r>
      <w:r w:rsidRPr="00DA0D8A">
        <w:t>infrastrukturę, wspieranie innowacji i badań, zachęty ekonomiczne, edukację i świadomość społeczną</w:t>
      </w:r>
      <w:r>
        <w:t>.</w:t>
      </w:r>
    </w:p>
    <w:p w14:paraId="4432A645" w14:textId="35B7071D" w:rsidR="00CD089A" w:rsidRDefault="00CD089A" w:rsidP="00CD089A">
      <w:r w:rsidRPr="00DA0D8A">
        <w:t xml:space="preserve">Aktualne strategie krajowe, takie jak </w:t>
      </w:r>
      <w:r w:rsidRPr="00971DC1">
        <w:rPr>
          <w:i/>
          <w:iCs/>
        </w:rPr>
        <w:t>Polityka ekologiczna państwa 2030</w:t>
      </w:r>
      <w:r w:rsidRPr="00DA0D8A">
        <w:t xml:space="preserve"> oraz </w:t>
      </w:r>
      <w:r w:rsidRPr="00971DC1">
        <w:rPr>
          <w:i/>
          <w:iCs/>
        </w:rPr>
        <w:t>Krajowy plan gospodarki odpadami 2028</w:t>
      </w:r>
      <w:r w:rsidRPr="00DA0D8A">
        <w:t xml:space="preserve"> kładą duży nacisk na implementację zasad GOZ. </w:t>
      </w:r>
      <w:r w:rsidRPr="00971DC1">
        <w:rPr>
          <w:i/>
          <w:iCs/>
        </w:rPr>
        <w:t>Polityka ekologiczna państwa 2030</w:t>
      </w:r>
      <w:r w:rsidRPr="00DA0D8A">
        <w:t xml:space="preserve"> skupia się na zrównoważonym zarządzaniu zasobami i ochronie środowiska, podczas gdy </w:t>
      </w:r>
      <w:r w:rsidRPr="00971DC1">
        <w:rPr>
          <w:i/>
          <w:iCs/>
        </w:rPr>
        <w:t xml:space="preserve">Krajowy plan gospodarki </w:t>
      </w:r>
      <w:r w:rsidRPr="00971DC1">
        <w:rPr>
          <w:i/>
          <w:iCs/>
        </w:rPr>
        <w:lastRenderedPageBreak/>
        <w:t>odpadami 2028</w:t>
      </w:r>
      <w:r w:rsidRPr="00DA0D8A">
        <w:t xml:space="preserve"> koncentruje się na zwiększeniu recyklingu, zmniejszeniu ilości odpadów składowanych oraz promowaniu odzysku surowców.</w:t>
      </w:r>
      <w:r w:rsidR="00585A2B">
        <w:t xml:space="preserve"> Warto również</w:t>
      </w:r>
      <w:r w:rsidR="00585A2B" w:rsidRPr="00585A2B">
        <w:t xml:space="preserve"> wskazać, że zadania w zakresie pozyskiwania surowców ze złóż antropogenicznych oraz wspieranie rozwoju gospodarki o obiegu zamkniętym jest jednym z celów szczegółowych realizowanych w ramach </w:t>
      </w:r>
      <w:r w:rsidR="00585A2B" w:rsidRPr="00585A2B">
        <w:rPr>
          <w:i/>
          <w:iCs/>
        </w:rPr>
        <w:t>Polityki Surowcowej Państwa 2050</w:t>
      </w:r>
      <w:r w:rsidR="00585A2B">
        <w:t xml:space="preserve"> (</w:t>
      </w:r>
      <w:hyperlink r:id="rId63" w:history="1">
        <w:r w:rsidR="00585A2B" w:rsidRPr="00585A2B">
          <w:rPr>
            <w:rStyle w:val="Hipercze"/>
          </w:rPr>
          <w:t>link</w:t>
        </w:r>
      </w:hyperlink>
      <w:r w:rsidR="00585A2B">
        <w:t>)</w:t>
      </w:r>
      <w:r w:rsidR="00585A2B">
        <w:rPr>
          <w:i/>
          <w:iCs/>
        </w:rPr>
        <w:t>.</w:t>
      </w:r>
    </w:p>
    <w:p w14:paraId="279E3D3C" w14:textId="6850A440" w:rsidR="00CD089A" w:rsidRDefault="007E0B22" w:rsidP="001F7F05">
      <w:r>
        <w:t>Działaniom dotyczącym GOZ</w:t>
      </w:r>
      <w:r w:rsidR="00A30700">
        <w:t xml:space="preserve"> kierunek nadała także</w:t>
      </w:r>
      <w:r>
        <w:t xml:space="preserve"> </w:t>
      </w:r>
      <w:r w:rsidR="00CD089A" w:rsidRPr="00971DC1">
        <w:rPr>
          <w:i/>
          <w:iCs/>
        </w:rPr>
        <w:t>Mapa drogowa</w:t>
      </w:r>
      <w:r w:rsidR="00A30700">
        <w:rPr>
          <w:i/>
          <w:iCs/>
        </w:rPr>
        <w:t>.</w:t>
      </w:r>
      <w:r w:rsidR="00CD089A" w:rsidRPr="00971DC1">
        <w:rPr>
          <w:i/>
          <w:iCs/>
        </w:rPr>
        <w:t xml:space="preserve"> Transformacji w kierunku gospodarki o</w:t>
      </w:r>
      <w:r w:rsidR="001F7F05">
        <w:rPr>
          <w:i/>
          <w:iCs/>
        </w:rPr>
        <w:t> </w:t>
      </w:r>
      <w:r w:rsidR="00CD089A" w:rsidRPr="00971DC1">
        <w:rPr>
          <w:i/>
          <w:iCs/>
        </w:rPr>
        <w:t>obiegu zamkniętym</w:t>
      </w:r>
      <w:r w:rsidR="00CD089A">
        <w:t>, która wyznacz</w:t>
      </w:r>
      <w:r w:rsidR="00A30700">
        <w:t>yła</w:t>
      </w:r>
      <w:r w:rsidR="00CD089A">
        <w:t xml:space="preserve"> konkretne kroki i działa</w:t>
      </w:r>
      <w:r w:rsidR="001F7F05">
        <w:t>nia obszarowe.</w:t>
      </w:r>
    </w:p>
    <w:p w14:paraId="4D67BD90" w14:textId="2BC45FDC" w:rsidR="002125E1" w:rsidRPr="00C46DAA" w:rsidRDefault="002125E1" w:rsidP="002125E1">
      <w:pPr>
        <w:pStyle w:val="Polityka"/>
      </w:pPr>
      <w:r w:rsidRPr="00E03647">
        <w:t>DZIAŁANIA</w:t>
      </w:r>
    </w:p>
    <w:p w14:paraId="37460895" w14:textId="69F570C2" w:rsidR="002B4497" w:rsidRDefault="00470622" w:rsidP="002125E1">
      <w:pPr>
        <w:pStyle w:val="Akapitzlist"/>
        <w:numPr>
          <w:ilvl w:val="0"/>
          <w:numId w:val="6"/>
        </w:numPr>
        <w:rPr>
          <w:szCs w:val="20"/>
        </w:rPr>
      </w:pPr>
      <w:r>
        <w:rPr>
          <w:szCs w:val="20"/>
        </w:rPr>
        <w:fldChar w:fldCharType="begin"/>
      </w:r>
      <w:r>
        <w:rPr>
          <w:szCs w:val="20"/>
        </w:rPr>
        <w:instrText xml:space="preserve"> REF _Ref157425021 \h </w:instrText>
      </w:r>
      <w:r>
        <w:rPr>
          <w:szCs w:val="20"/>
        </w:rPr>
      </w:r>
      <w:r>
        <w:rPr>
          <w:szCs w:val="20"/>
        </w:rPr>
        <w:fldChar w:fldCharType="separate"/>
      </w:r>
      <w:r w:rsidR="00DD3929" w:rsidRPr="00F12C9E">
        <w:t xml:space="preserve">Działanie </w:t>
      </w:r>
      <w:r w:rsidR="00DD3929">
        <w:rPr>
          <w:noProof/>
        </w:rPr>
        <w:t>40</w:t>
      </w:r>
      <w:r w:rsidR="00DD3929" w:rsidRPr="00F12C9E">
        <w:t>. Działania w zakresie rozwoju wykorzystywania biopaliw.</w:t>
      </w:r>
      <w:r>
        <w:rPr>
          <w:szCs w:val="20"/>
        </w:rPr>
        <w:fldChar w:fldCharType="end"/>
      </w:r>
    </w:p>
    <w:p w14:paraId="68929C9C" w14:textId="16E9E113" w:rsidR="00470622" w:rsidRDefault="00470622" w:rsidP="002125E1">
      <w:pPr>
        <w:pStyle w:val="Akapitzlist"/>
        <w:numPr>
          <w:ilvl w:val="0"/>
          <w:numId w:val="6"/>
        </w:numPr>
        <w:rPr>
          <w:szCs w:val="20"/>
        </w:rPr>
      </w:pPr>
      <w:r>
        <w:rPr>
          <w:szCs w:val="20"/>
        </w:rPr>
        <w:fldChar w:fldCharType="begin"/>
      </w:r>
      <w:r>
        <w:rPr>
          <w:szCs w:val="20"/>
        </w:rPr>
        <w:instrText xml:space="preserve"> REF _Ref174025163 \h </w:instrText>
      </w:r>
      <w:r>
        <w:rPr>
          <w:szCs w:val="20"/>
        </w:rPr>
      </w:r>
      <w:r>
        <w:rPr>
          <w:szCs w:val="20"/>
        </w:rPr>
        <w:fldChar w:fldCharType="separate"/>
      </w:r>
      <w:r w:rsidR="00DD3929">
        <w:t xml:space="preserve">Działanie </w:t>
      </w:r>
      <w:r w:rsidR="00DD3929">
        <w:rPr>
          <w:noProof/>
        </w:rPr>
        <w:t>62</w:t>
      </w:r>
      <w:r w:rsidR="00DD3929">
        <w:t>. Wsparcie rozwoju biogazowni rolniczych</w:t>
      </w:r>
      <w:r w:rsidR="00DD3929" w:rsidRPr="00E42349">
        <w:t>.</w:t>
      </w:r>
      <w:r>
        <w:rPr>
          <w:szCs w:val="20"/>
        </w:rPr>
        <w:fldChar w:fldCharType="end"/>
      </w:r>
    </w:p>
    <w:p w14:paraId="1A6B8CCF" w14:textId="5EE3821D" w:rsidR="00470622" w:rsidRDefault="00470622" w:rsidP="002125E1">
      <w:pPr>
        <w:pStyle w:val="Akapitzlist"/>
        <w:numPr>
          <w:ilvl w:val="0"/>
          <w:numId w:val="6"/>
        </w:numPr>
        <w:rPr>
          <w:szCs w:val="20"/>
        </w:rPr>
      </w:pPr>
      <w:r>
        <w:rPr>
          <w:szCs w:val="20"/>
        </w:rPr>
        <w:fldChar w:fldCharType="begin"/>
      </w:r>
      <w:r>
        <w:rPr>
          <w:szCs w:val="20"/>
        </w:rPr>
        <w:instrText xml:space="preserve"> REF _Ref159187803 \h </w:instrText>
      </w:r>
      <w:r>
        <w:rPr>
          <w:szCs w:val="20"/>
        </w:rPr>
      </w:r>
      <w:r>
        <w:rPr>
          <w:szCs w:val="20"/>
        </w:rPr>
        <w:fldChar w:fldCharType="separate"/>
      </w:r>
      <w:r w:rsidR="00DD3929">
        <w:t xml:space="preserve">Działanie </w:t>
      </w:r>
      <w:r w:rsidR="00DD3929">
        <w:rPr>
          <w:noProof/>
        </w:rPr>
        <w:t>75</w:t>
      </w:r>
      <w:r w:rsidR="00DD3929">
        <w:t xml:space="preserve">. </w:t>
      </w:r>
      <w:r w:rsidR="00DD3929" w:rsidRPr="00660495">
        <w:t>Instrument finansowy – kontrakt różnicowy dla produkcji wodoru w przemyśle</w:t>
      </w:r>
      <w:r w:rsidR="00DD3929">
        <w:t>.</w:t>
      </w:r>
      <w:r>
        <w:rPr>
          <w:szCs w:val="20"/>
        </w:rPr>
        <w:fldChar w:fldCharType="end"/>
      </w:r>
    </w:p>
    <w:p w14:paraId="53B79DE8" w14:textId="53E753E4" w:rsidR="00470622" w:rsidRDefault="00470622" w:rsidP="002125E1">
      <w:pPr>
        <w:pStyle w:val="Akapitzlist"/>
        <w:numPr>
          <w:ilvl w:val="0"/>
          <w:numId w:val="6"/>
        </w:numPr>
        <w:rPr>
          <w:szCs w:val="20"/>
        </w:rPr>
      </w:pPr>
      <w:r>
        <w:rPr>
          <w:szCs w:val="20"/>
        </w:rPr>
        <w:fldChar w:fldCharType="begin"/>
      </w:r>
      <w:r>
        <w:rPr>
          <w:szCs w:val="20"/>
        </w:rPr>
        <w:instrText xml:space="preserve"> REF _Ref159242564 \h </w:instrText>
      </w:r>
      <w:r>
        <w:rPr>
          <w:szCs w:val="20"/>
        </w:rPr>
      </w:r>
      <w:r>
        <w:rPr>
          <w:szCs w:val="20"/>
        </w:rPr>
        <w:fldChar w:fldCharType="separate"/>
      </w:r>
      <w:r w:rsidR="00DD3929">
        <w:t xml:space="preserve">Działanie </w:t>
      </w:r>
      <w:r w:rsidR="00DD3929">
        <w:rPr>
          <w:noProof/>
        </w:rPr>
        <w:t>76</w:t>
      </w:r>
      <w:r w:rsidR="00DD3929">
        <w:t>.</w:t>
      </w:r>
      <w:r w:rsidR="00DD3929" w:rsidRPr="00660495">
        <w:t xml:space="preserve"> Wsparcie budowy mocy wytwórczych do produkcji wodoru odnawialnego i</w:t>
      </w:r>
      <w:r w:rsidR="00DD3929">
        <w:t> </w:t>
      </w:r>
      <w:r w:rsidR="00DD3929" w:rsidRPr="00660495">
        <w:t>niskoemisyjnego.</w:t>
      </w:r>
      <w:r>
        <w:rPr>
          <w:szCs w:val="20"/>
        </w:rPr>
        <w:fldChar w:fldCharType="end"/>
      </w:r>
    </w:p>
    <w:p w14:paraId="5AEF81A3" w14:textId="4628CEC9" w:rsidR="00470622" w:rsidRDefault="00470622" w:rsidP="002125E1">
      <w:pPr>
        <w:pStyle w:val="Akapitzlist"/>
        <w:numPr>
          <w:ilvl w:val="0"/>
          <w:numId w:val="6"/>
        </w:numPr>
        <w:rPr>
          <w:szCs w:val="20"/>
        </w:rPr>
      </w:pPr>
      <w:r>
        <w:rPr>
          <w:szCs w:val="20"/>
        </w:rPr>
        <w:fldChar w:fldCharType="begin"/>
      </w:r>
      <w:r>
        <w:rPr>
          <w:szCs w:val="20"/>
        </w:rPr>
        <w:instrText xml:space="preserve"> REF _Ref157421134 \h </w:instrText>
      </w:r>
      <w:r>
        <w:rPr>
          <w:szCs w:val="20"/>
        </w:rPr>
      </w:r>
      <w:r>
        <w:rPr>
          <w:szCs w:val="20"/>
        </w:rPr>
        <w:fldChar w:fldCharType="separate"/>
      </w:r>
      <w:r w:rsidR="00DD3929" w:rsidRPr="00F12C9E">
        <w:t xml:space="preserve">Działanie </w:t>
      </w:r>
      <w:r w:rsidR="00DD3929">
        <w:rPr>
          <w:noProof/>
        </w:rPr>
        <w:t>78</w:t>
      </w:r>
      <w:r w:rsidR="00DD3929" w:rsidRPr="00F12C9E">
        <w:t xml:space="preserve">. Instrument finansowy – Program NFOŚiGW </w:t>
      </w:r>
      <w:r w:rsidR="00DD3929">
        <w:t>„</w:t>
      </w:r>
      <w:r w:rsidR="00DD3929" w:rsidRPr="00F12C9E">
        <w:t>Energia dla wsi</w:t>
      </w:r>
      <w:r w:rsidR="00DD3929">
        <w:t>”</w:t>
      </w:r>
      <w:r w:rsidR="00DD3929" w:rsidRPr="00F12C9E">
        <w:t>.</w:t>
      </w:r>
      <w:r>
        <w:rPr>
          <w:szCs w:val="20"/>
        </w:rPr>
        <w:fldChar w:fldCharType="end"/>
      </w:r>
    </w:p>
    <w:p w14:paraId="79E29DB4" w14:textId="6839E77D" w:rsidR="00470622" w:rsidRPr="00AB5919" w:rsidRDefault="00470622" w:rsidP="00AB5919">
      <w:pPr>
        <w:pStyle w:val="Akapitzlist"/>
        <w:numPr>
          <w:ilvl w:val="0"/>
          <w:numId w:val="6"/>
        </w:numPr>
        <w:rPr>
          <w:szCs w:val="20"/>
        </w:rPr>
      </w:pPr>
      <w:r>
        <w:rPr>
          <w:szCs w:val="20"/>
        </w:rPr>
        <w:fldChar w:fldCharType="begin"/>
      </w:r>
      <w:r>
        <w:rPr>
          <w:szCs w:val="20"/>
        </w:rPr>
        <w:instrText xml:space="preserve"> REF _Ref157425628 \h </w:instrText>
      </w:r>
      <w:r>
        <w:rPr>
          <w:szCs w:val="20"/>
        </w:rPr>
      </w:r>
      <w:r>
        <w:rPr>
          <w:szCs w:val="20"/>
        </w:rPr>
        <w:fldChar w:fldCharType="separate"/>
      </w:r>
      <w:r w:rsidR="00DD3929" w:rsidRPr="00F12C9E">
        <w:t xml:space="preserve">Działanie </w:t>
      </w:r>
      <w:r w:rsidR="00DD3929">
        <w:rPr>
          <w:noProof/>
        </w:rPr>
        <w:t>79</w:t>
      </w:r>
      <w:r w:rsidR="00DD3929" w:rsidRPr="00F12C9E">
        <w:t xml:space="preserve">. </w:t>
      </w:r>
      <w:r w:rsidR="00DD3929" w:rsidRPr="00010DD9">
        <w:t>Kontrakty różnicowe dla redukcji CO</w:t>
      </w:r>
      <w:r w:rsidR="00DD3929" w:rsidRPr="00010DD9">
        <w:rPr>
          <w:vertAlign w:val="subscript"/>
        </w:rPr>
        <w:t>2</w:t>
      </w:r>
      <w:r w:rsidR="00DD3929" w:rsidRPr="00010DD9">
        <w:t xml:space="preserve"> oraz inne działania wspierające komercyjne projekty CCS i CCU</w:t>
      </w:r>
      <w:r w:rsidR="00DD3929" w:rsidRPr="00F12C9E">
        <w:t>.</w:t>
      </w:r>
      <w:r>
        <w:rPr>
          <w:szCs w:val="20"/>
        </w:rPr>
        <w:fldChar w:fldCharType="end"/>
      </w:r>
      <w:r w:rsidRPr="00AB5919">
        <w:rPr>
          <w:szCs w:val="20"/>
        </w:rPr>
        <w:fldChar w:fldCharType="begin"/>
      </w:r>
      <w:r w:rsidRPr="00AB5919">
        <w:rPr>
          <w:szCs w:val="20"/>
        </w:rPr>
        <w:instrText xml:space="preserve"> REF _Ref159188893 \h </w:instrText>
      </w:r>
      <w:r w:rsidRPr="00AB5919">
        <w:rPr>
          <w:szCs w:val="20"/>
        </w:rPr>
      </w:r>
      <w:r w:rsidRPr="00AB5919">
        <w:rPr>
          <w:szCs w:val="20"/>
        </w:rPr>
        <w:fldChar w:fldCharType="separate"/>
      </w:r>
      <w:r w:rsidR="00DD3929">
        <w:rPr>
          <w:b/>
          <w:bCs/>
          <w:szCs w:val="20"/>
        </w:rPr>
        <w:t>Błąd! Nie można odnaleźć źródła odwołania.</w:t>
      </w:r>
      <w:r w:rsidRPr="00AB5919">
        <w:rPr>
          <w:szCs w:val="20"/>
        </w:rPr>
        <w:fldChar w:fldCharType="end"/>
      </w:r>
    </w:p>
    <w:p w14:paraId="7EC6240D" w14:textId="26D7B22C" w:rsidR="00470622" w:rsidRDefault="00470622" w:rsidP="002125E1">
      <w:pPr>
        <w:pStyle w:val="Akapitzlist"/>
        <w:numPr>
          <w:ilvl w:val="0"/>
          <w:numId w:val="6"/>
        </w:numPr>
        <w:rPr>
          <w:szCs w:val="20"/>
        </w:rPr>
      </w:pPr>
      <w:r>
        <w:rPr>
          <w:szCs w:val="20"/>
        </w:rPr>
        <w:fldChar w:fldCharType="begin"/>
      </w:r>
      <w:r>
        <w:rPr>
          <w:szCs w:val="20"/>
        </w:rPr>
        <w:instrText xml:space="preserve"> REF _Ref159237120 \h </w:instrText>
      </w:r>
      <w:r>
        <w:rPr>
          <w:szCs w:val="20"/>
        </w:rPr>
      </w:r>
      <w:r>
        <w:rPr>
          <w:szCs w:val="20"/>
        </w:rPr>
        <w:fldChar w:fldCharType="separate"/>
      </w:r>
      <w:r w:rsidR="00DD3929" w:rsidRPr="00BA3E0C">
        <w:t xml:space="preserve">Działanie </w:t>
      </w:r>
      <w:r w:rsidR="00DD3929">
        <w:rPr>
          <w:noProof/>
        </w:rPr>
        <w:t>82</w:t>
      </w:r>
      <w:r w:rsidR="00DD3929" w:rsidRPr="00BA3E0C">
        <w:t>.</w:t>
      </w:r>
      <w:r w:rsidR="00DD3929">
        <w:t xml:space="preserve"> </w:t>
      </w:r>
      <w:r w:rsidR="00DD3929" w:rsidRPr="00CE5AEF">
        <w:t>Wsparcie</w:t>
      </w:r>
      <w:r w:rsidR="00DD3929">
        <w:t xml:space="preserve"> b</w:t>
      </w:r>
      <w:r w:rsidR="00DD3929" w:rsidRPr="00B039E7">
        <w:t>udow</w:t>
      </w:r>
      <w:r w:rsidR="00DD3929">
        <w:t>y</w:t>
      </w:r>
      <w:r w:rsidR="00DD3929" w:rsidRPr="00B039E7">
        <w:t xml:space="preserve"> innowacyjnych jednostek transportowych napędzanych wodorem</w:t>
      </w:r>
      <w:r w:rsidR="00DD3929">
        <w:t>.</w:t>
      </w:r>
      <w:r>
        <w:rPr>
          <w:szCs w:val="20"/>
        </w:rPr>
        <w:fldChar w:fldCharType="end"/>
      </w:r>
    </w:p>
    <w:p w14:paraId="22C2B957" w14:textId="34FE3D7C" w:rsidR="00F50784" w:rsidRDefault="00F50784" w:rsidP="002125E1">
      <w:pPr>
        <w:pStyle w:val="Akapitzlist"/>
        <w:numPr>
          <w:ilvl w:val="0"/>
          <w:numId w:val="6"/>
        </w:numPr>
        <w:rPr>
          <w:szCs w:val="20"/>
        </w:rPr>
      </w:pPr>
      <w:r>
        <w:rPr>
          <w:szCs w:val="20"/>
        </w:rPr>
        <w:fldChar w:fldCharType="begin"/>
      </w:r>
      <w:r>
        <w:rPr>
          <w:szCs w:val="20"/>
        </w:rPr>
        <w:instrText xml:space="preserve"> REF _Ref174036279 \h </w:instrText>
      </w:r>
      <w:r>
        <w:rPr>
          <w:szCs w:val="20"/>
        </w:rPr>
      </w:r>
      <w:r>
        <w:rPr>
          <w:szCs w:val="20"/>
        </w:rPr>
        <w:fldChar w:fldCharType="separate"/>
      </w:r>
      <w:r w:rsidR="00DD3929" w:rsidRPr="00751886">
        <w:t xml:space="preserve">Działanie </w:t>
      </w:r>
      <w:r w:rsidR="00DD3929">
        <w:rPr>
          <w:noProof/>
        </w:rPr>
        <w:t>91</w:t>
      </w:r>
      <w:r w:rsidR="00DD3929" w:rsidRPr="00751886">
        <w:t>. Instrument finansowy – Preferencje dla wytwórców energii elektrycznej w wysokosprawnej kogeneracji.</w:t>
      </w:r>
      <w:r>
        <w:rPr>
          <w:szCs w:val="20"/>
        </w:rPr>
        <w:fldChar w:fldCharType="end"/>
      </w:r>
    </w:p>
    <w:p w14:paraId="0DF37B42" w14:textId="792947E1" w:rsidR="00470622" w:rsidRDefault="00F50784" w:rsidP="002125E1">
      <w:pPr>
        <w:pStyle w:val="Akapitzlist"/>
        <w:numPr>
          <w:ilvl w:val="0"/>
          <w:numId w:val="6"/>
        </w:numPr>
        <w:rPr>
          <w:szCs w:val="20"/>
        </w:rPr>
      </w:pPr>
      <w:r>
        <w:rPr>
          <w:szCs w:val="20"/>
        </w:rPr>
        <w:fldChar w:fldCharType="begin"/>
      </w:r>
      <w:r>
        <w:rPr>
          <w:szCs w:val="20"/>
        </w:rPr>
        <w:instrText xml:space="preserve"> REF _Ref157423178 \h </w:instrText>
      </w:r>
      <w:r>
        <w:rPr>
          <w:szCs w:val="20"/>
        </w:rPr>
      </w:r>
      <w:r>
        <w:rPr>
          <w:szCs w:val="20"/>
        </w:rPr>
        <w:fldChar w:fldCharType="separate"/>
      </w:r>
      <w:r w:rsidR="00DD3929" w:rsidRPr="00751886">
        <w:t xml:space="preserve">Działanie </w:t>
      </w:r>
      <w:r w:rsidR="00DD3929">
        <w:rPr>
          <w:noProof/>
        </w:rPr>
        <w:t>92</w:t>
      </w:r>
      <w:r w:rsidR="00DD3929" w:rsidRPr="00751886">
        <w:t>. Instrument finansowy – Premia kogeneracyjna.</w:t>
      </w:r>
      <w:r>
        <w:rPr>
          <w:szCs w:val="20"/>
        </w:rPr>
        <w:fldChar w:fldCharType="end"/>
      </w:r>
    </w:p>
    <w:p w14:paraId="6E756870" w14:textId="50AA815D" w:rsidR="00F50784" w:rsidRDefault="00F50784" w:rsidP="002125E1">
      <w:pPr>
        <w:pStyle w:val="Akapitzlist"/>
        <w:numPr>
          <w:ilvl w:val="0"/>
          <w:numId w:val="6"/>
        </w:numPr>
        <w:rPr>
          <w:szCs w:val="20"/>
        </w:rPr>
      </w:pPr>
      <w:r>
        <w:rPr>
          <w:szCs w:val="20"/>
        </w:rPr>
        <w:fldChar w:fldCharType="begin"/>
      </w:r>
      <w:r>
        <w:rPr>
          <w:szCs w:val="20"/>
        </w:rPr>
        <w:instrText xml:space="preserve"> REF _Ref157423248 \h </w:instrText>
      </w:r>
      <w:r>
        <w:rPr>
          <w:szCs w:val="20"/>
        </w:rPr>
      </w:r>
      <w:r>
        <w:rPr>
          <w:szCs w:val="20"/>
        </w:rPr>
        <w:fldChar w:fldCharType="separate"/>
      </w:r>
      <w:r w:rsidR="00DD3929" w:rsidRPr="00751886">
        <w:t xml:space="preserve">Działanie </w:t>
      </w:r>
      <w:r w:rsidR="00DD3929">
        <w:rPr>
          <w:noProof/>
        </w:rPr>
        <w:t>93</w:t>
      </w:r>
      <w:r w:rsidR="00DD3929" w:rsidRPr="00751886">
        <w:t xml:space="preserve">. </w:t>
      </w:r>
      <w:r w:rsidR="00DD3929" w:rsidRPr="00661B98">
        <w:t>Instrument</w:t>
      </w:r>
      <w:r w:rsidR="00DD3929" w:rsidRPr="00751886">
        <w:t xml:space="preserve"> finansowy – Inne programy NFOŚiGW wspierające rozwój kogeneracji.</w:t>
      </w:r>
      <w:r>
        <w:rPr>
          <w:szCs w:val="20"/>
        </w:rPr>
        <w:fldChar w:fldCharType="end"/>
      </w:r>
    </w:p>
    <w:p w14:paraId="6480D90C" w14:textId="004A9668" w:rsidR="00F50784" w:rsidRDefault="00F50784" w:rsidP="002125E1">
      <w:pPr>
        <w:pStyle w:val="Akapitzlist"/>
        <w:numPr>
          <w:ilvl w:val="0"/>
          <w:numId w:val="6"/>
        </w:numPr>
        <w:rPr>
          <w:szCs w:val="20"/>
        </w:rPr>
      </w:pPr>
      <w:r>
        <w:rPr>
          <w:szCs w:val="20"/>
        </w:rPr>
        <w:fldChar w:fldCharType="begin"/>
      </w:r>
      <w:r>
        <w:rPr>
          <w:szCs w:val="20"/>
        </w:rPr>
        <w:instrText xml:space="preserve"> REF _Ref157428491 \h </w:instrText>
      </w:r>
      <w:r>
        <w:rPr>
          <w:szCs w:val="20"/>
        </w:rPr>
      </w:r>
      <w:r>
        <w:rPr>
          <w:szCs w:val="20"/>
        </w:rPr>
        <w:fldChar w:fldCharType="separate"/>
      </w:r>
      <w:r w:rsidR="00DD3929" w:rsidRPr="00751886">
        <w:t xml:space="preserve">Działanie </w:t>
      </w:r>
      <w:r w:rsidR="00DD3929">
        <w:rPr>
          <w:noProof/>
        </w:rPr>
        <w:t>95</w:t>
      </w:r>
      <w:r w:rsidR="00DD3929" w:rsidRPr="00751886">
        <w:t xml:space="preserve">. Rozwój </w:t>
      </w:r>
      <w:r w:rsidR="00DD3929" w:rsidRPr="00661B98">
        <w:t>audytów</w:t>
      </w:r>
      <w:r w:rsidR="00DD3929" w:rsidRPr="00751886">
        <w:t xml:space="preserve"> energetycznych i systemów zarządzania energią.</w:t>
      </w:r>
      <w:r>
        <w:rPr>
          <w:szCs w:val="20"/>
        </w:rPr>
        <w:fldChar w:fldCharType="end"/>
      </w:r>
    </w:p>
    <w:p w14:paraId="7B22A987" w14:textId="0A1B09A9" w:rsidR="00F50784" w:rsidRDefault="00F50784" w:rsidP="002125E1">
      <w:pPr>
        <w:pStyle w:val="Akapitzlist"/>
        <w:numPr>
          <w:ilvl w:val="0"/>
          <w:numId w:val="6"/>
        </w:numPr>
        <w:rPr>
          <w:szCs w:val="20"/>
        </w:rPr>
      </w:pPr>
      <w:r>
        <w:rPr>
          <w:szCs w:val="20"/>
        </w:rPr>
        <w:fldChar w:fldCharType="begin"/>
      </w:r>
      <w:r>
        <w:rPr>
          <w:szCs w:val="20"/>
        </w:rPr>
        <w:instrText xml:space="preserve"> REF _Ref157423390 \h </w:instrText>
      </w:r>
      <w:r>
        <w:rPr>
          <w:szCs w:val="20"/>
        </w:rPr>
      </w:r>
      <w:r>
        <w:rPr>
          <w:szCs w:val="20"/>
        </w:rPr>
        <w:fldChar w:fldCharType="separate"/>
      </w:r>
      <w:r w:rsidR="00DD3929" w:rsidRPr="00DE3F08">
        <w:t xml:space="preserve">Działanie </w:t>
      </w:r>
      <w:r w:rsidR="00DD3929">
        <w:rPr>
          <w:noProof/>
        </w:rPr>
        <w:t>100</w:t>
      </w:r>
      <w:r w:rsidR="00DD3929" w:rsidRPr="00DE3F08">
        <w:t xml:space="preserve">. </w:t>
      </w:r>
      <w:r w:rsidR="00DD3929" w:rsidRPr="003A4832">
        <w:t>Działania</w:t>
      </w:r>
      <w:r w:rsidR="00DD3929" w:rsidRPr="00DE3F08">
        <w:t xml:space="preserve"> w zakresie digitalizacji sieci ciepłowniczych.</w:t>
      </w:r>
      <w:r>
        <w:rPr>
          <w:szCs w:val="20"/>
        </w:rPr>
        <w:fldChar w:fldCharType="end"/>
      </w:r>
    </w:p>
    <w:p w14:paraId="15C13908" w14:textId="6FC6CB08" w:rsidR="00F50784" w:rsidRPr="00FF362D" w:rsidRDefault="00F50784" w:rsidP="002125E1">
      <w:pPr>
        <w:pStyle w:val="Akapitzlist"/>
        <w:numPr>
          <w:ilvl w:val="0"/>
          <w:numId w:val="6"/>
        </w:numPr>
        <w:rPr>
          <w:szCs w:val="20"/>
        </w:rPr>
      </w:pPr>
      <w:r w:rsidRPr="00FF362D">
        <w:rPr>
          <w:szCs w:val="20"/>
        </w:rPr>
        <w:fldChar w:fldCharType="begin"/>
      </w:r>
      <w:r w:rsidRPr="00FF362D">
        <w:rPr>
          <w:szCs w:val="20"/>
        </w:rPr>
        <w:instrText xml:space="preserve"> REF _Ref157436208 \h </w:instrText>
      </w:r>
      <w:r w:rsidR="00FF362D">
        <w:rPr>
          <w:szCs w:val="20"/>
        </w:rPr>
        <w:instrText xml:space="preserve"> \* MERGEFORMAT </w:instrText>
      </w:r>
      <w:r w:rsidRPr="00FF362D">
        <w:rPr>
          <w:szCs w:val="20"/>
        </w:rPr>
      </w:r>
      <w:r w:rsidRPr="00FF362D">
        <w:rPr>
          <w:szCs w:val="20"/>
        </w:rPr>
        <w:fldChar w:fldCharType="separate"/>
      </w:r>
      <w:r w:rsidR="00DD3929" w:rsidRPr="00DD3929">
        <w:rPr>
          <w:szCs w:val="20"/>
        </w:rPr>
        <w:t xml:space="preserve">Działanie </w:t>
      </w:r>
      <w:r w:rsidR="00DD3929" w:rsidRPr="00DD3929">
        <w:rPr>
          <w:noProof/>
          <w:szCs w:val="20"/>
        </w:rPr>
        <w:t>101</w:t>
      </w:r>
      <w:r w:rsidR="00DD3929" w:rsidRPr="00DD3929">
        <w:rPr>
          <w:szCs w:val="20"/>
        </w:rPr>
        <w:t>. Instrument finansowy – Program NFOŚiGW „Elektroenergetyka – Inteligentna infrastruktura energetyczna”.</w:t>
      </w:r>
      <w:r w:rsidRPr="00FF362D">
        <w:rPr>
          <w:szCs w:val="20"/>
        </w:rPr>
        <w:fldChar w:fldCharType="end"/>
      </w:r>
    </w:p>
    <w:p w14:paraId="3A8CD913" w14:textId="2DF2C035" w:rsidR="00F50784" w:rsidRDefault="00F50784" w:rsidP="002125E1">
      <w:pPr>
        <w:pStyle w:val="Akapitzlist"/>
        <w:numPr>
          <w:ilvl w:val="0"/>
          <w:numId w:val="6"/>
        </w:numPr>
        <w:rPr>
          <w:szCs w:val="20"/>
        </w:rPr>
      </w:pPr>
      <w:r>
        <w:rPr>
          <w:szCs w:val="20"/>
        </w:rPr>
        <w:fldChar w:fldCharType="begin"/>
      </w:r>
      <w:r>
        <w:rPr>
          <w:szCs w:val="20"/>
        </w:rPr>
        <w:instrText xml:space="preserve"> REF _Ref157434814 \h </w:instrText>
      </w:r>
      <w:r>
        <w:rPr>
          <w:szCs w:val="20"/>
        </w:rPr>
      </w:r>
      <w:r>
        <w:rPr>
          <w:szCs w:val="20"/>
        </w:rPr>
        <w:fldChar w:fldCharType="separate"/>
      </w:r>
      <w:r w:rsidR="00DD3929" w:rsidRPr="00570679">
        <w:t xml:space="preserve">Działanie </w:t>
      </w:r>
      <w:r w:rsidR="00DD3929">
        <w:rPr>
          <w:noProof/>
        </w:rPr>
        <w:t>120</w:t>
      </w:r>
      <w:r w:rsidR="00DD3929" w:rsidRPr="00570679">
        <w:t xml:space="preserve">. Efektywna gospodarka surowcami </w:t>
      </w:r>
      <w:r w:rsidR="00DD3929">
        <w:t>ważnymi dla krajowej i unijnej gospodarki</w:t>
      </w:r>
      <w:r w:rsidR="00DD3929" w:rsidRPr="00570679">
        <w:t>.</w:t>
      </w:r>
      <w:r>
        <w:rPr>
          <w:szCs w:val="20"/>
        </w:rPr>
        <w:fldChar w:fldCharType="end"/>
      </w:r>
    </w:p>
    <w:p w14:paraId="746F0269" w14:textId="3A96B1CE" w:rsidR="00F50784" w:rsidRDefault="00F50784" w:rsidP="002125E1">
      <w:pPr>
        <w:pStyle w:val="Akapitzlist"/>
        <w:numPr>
          <w:ilvl w:val="0"/>
          <w:numId w:val="6"/>
        </w:numPr>
        <w:rPr>
          <w:szCs w:val="20"/>
        </w:rPr>
      </w:pPr>
      <w:r>
        <w:rPr>
          <w:szCs w:val="20"/>
        </w:rPr>
        <w:fldChar w:fldCharType="begin"/>
      </w:r>
      <w:r>
        <w:rPr>
          <w:szCs w:val="20"/>
        </w:rPr>
        <w:instrText xml:space="preserve"> REF _Ref157428847 \h </w:instrText>
      </w:r>
      <w:r>
        <w:rPr>
          <w:szCs w:val="20"/>
        </w:rPr>
      </w:r>
      <w:r>
        <w:rPr>
          <w:szCs w:val="20"/>
        </w:rPr>
        <w:fldChar w:fldCharType="separate"/>
      </w:r>
      <w:r w:rsidR="00DD3929" w:rsidRPr="00163CF0">
        <w:t xml:space="preserve">Działanie </w:t>
      </w:r>
      <w:r w:rsidR="00DD3929">
        <w:rPr>
          <w:noProof/>
        </w:rPr>
        <w:t>142</w:t>
      </w:r>
      <w:r w:rsidR="00DD3929" w:rsidRPr="00163CF0">
        <w:t>. Badania i projekty naukowe oraz edukacyjne w zakresie racjonalnej i niskoemisyjnej produkcji rolnej.</w:t>
      </w:r>
      <w:r>
        <w:rPr>
          <w:szCs w:val="20"/>
        </w:rPr>
        <w:fldChar w:fldCharType="end"/>
      </w:r>
    </w:p>
    <w:p w14:paraId="405F6B55" w14:textId="40A2E564" w:rsidR="00DA0D8A" w:rsidRPr="00F50784" w:rsidRDefault="002125E1" w:rsidP="00F50784">
      <w:pPr>
        <w:pStyle w:val="Akapitzlist"/>
        <w:numPr>
          <w:ilvl w:val="0"/>
          <w:numId w:val="6"/>
        </w:numPr>
        <w:rPr>
          <w:szCs w:val="20"/>
        </w:rPr>
      </w:pPr>
      <w:r>
        <w:rPr>
          <w:szCs w:val="20"/>
        </w:rPr>
        <w:fldChar w:fldCharType="begin"/>
      </w:r>
      <w:r>
        <w:rPr>
          <w:szCs w:val="20"/>
        </w:rPr>
        <w:instrText xml:space="preserve"> REF _Ref157430266 \h </w:instrText>
      </w:r>
      <w:r>
        <w:rPr>
          <w:szCs w:val="20"/>
        </w:rPr>
      </w:r>
      <w:r>
        <w:rPr>
          <w:szCs w:val="20"/>
        </w:rPr>
        <w:fldChar w:fldCharType="separate"/>
      </w:r>
      <w:r w:rsidR="00DD3929" w:rsidRPr="00163CF0">
        <w:t xml:space="preserve">Działanie </w:t>
      </w:r>
      <w:r w:rsidR="00DD3929">
        <w:rPr>
          <w:noProof/>
        </w:rPr>
        <w:t>145</w:t>
      </w:r>
      <w:r w:rsidR="00DD3929" w:rsidRPr="00163CF0">
        <w:t>. Budowanie świadomości – gospodarka o obiegu zamkniętym.</w:t>
      </w:r>
      <w:r>
        <w:rPr>
          <w:szCs w:val="20"/>
        </w:rPr>
        <w:fldChar w:fldCharType="end"/>
      </w:r>
    </w:p>
    <w:p w14:paraId="47BCB6CF" w14:textId="2514BB36" w:rsidR="002F5C50" w:rsidRDefault="002F5C50" w:rsidP="002F5C50">
      <w:pPr>
        <w:pStyle w:val="Nagwek3"/>
        <w:rPr>
          <w:color w:val="70AD47" w:themeColor="accent6"/>
        </w:rPr>
      </w:pPr>
      <w:bookmarkStart w:id="109" w:name="_Toc159598300"/>
      <w:bookmarkStart w:id="110" w:name="_Toc179536951"/>
      <w:r w:rsidRPr="00F11157">
        <w:rPr>
          <w:color w:val="70AD47" w:themeColor="accent6"/>
        </w:rPr>
        <w:t>Adaptacja do zmian klimatu</w:t>
      </w:r>
      <w:bookmarkEnd w:id="109"/>
      <w:bookmarkEnd w:id="110"/>
    </w:p>
    <w:p w14:paraId="655E0F4B" w14:textId="0AA0513C" w:rsidR="00B36A7E" w:rsidRPr="00B36A7E" w:rsidRDefault="00B36A7E" w:rsidP="00B36A7E">
      <w:r w:rsidRPr="00B36A7E">
        <w:t>Aktualnie obserwowany globalny wzrost temperatury przyczynia się do nasilenia oraz zmian częstotliwości występowania zjawisk ekstremalnych takich jak nawalne deszcze, powodzie, podtopienia, fale upałów, susze, huragany, osuwiska. Z tego względu niezbędne jest nie tylko zapobieganie zmianom klimatu (</w:t>
      </w:r>
      <w:r w:rsidRPr="00B36A7E">
        <w:rPr>
          <w:b/>
          <w:bCs/>
        </w:rPr>
        <w:t>działania mitygacyjne</w:t>
      </w:r>
      <w:r w:rsidRPr="00B36A7E">
        <w:t xml:space="preserve">), ale także podejmowanie działań mających na celu </w:t>
      </w:r>
      <w:r w:rsidRPr="00B36A7E">
        <w:rPr>
          <w:b/>
          <w:bCs/>
        </w:rPr>
        <w:t>adaptację</w:t>
      </w:r>
      <w:r w:rsidRPr="00B36A7E">
        <w:t xml:space="preserve"> do nich przez społeczeństwo, gospodarkę (w tym infrastrukturę) i środowisko. </w:t>
      </w:r>
    </w:p>
    <w:p w14:paraId="4ED98A7E" w14:textId="479E8442" w:rsidR="009714FB" w:rsidRDefault="00B36A7E" w:rsidP="000A541B">
      <w:r w:rsidRPr="00B36A7E">
        <w:t>W tej części nakreślono kierunki działań, mające na celu dostosowywanie społeczeństw, gospodarek i środowiska naturalnego do nowych warunków, w obliczu rosnących wyzwań związanych ze zmianami klimatycznym</w:t>
      </w:r>
      <w:r w:rsidR="007F24C7">
        <w:t>i</w:t>
      </w:r>
      <w:r w:rsidRPr="00B36A7E">
        <w:t xml:space="preserve">, czyli </w:t>
      </w:r>
      <w:r w:rsidRPr="00B36A7E">
        <w:rPr>
          <w:b/>
          <w:bCs/>
        </w:rPr>
        <w:t>działania adaptacyjne</w:t>
      </w:r>
      <w:r w:rsidRPr="00B36A7E">
        <w:t xml:space="preserve">. </w:t>
      </w:r>
    </w:p>
    <w:p w14:paraId="42CD4973" w14:textId="450765A3" w:rsidR="001D79FD" w:rsidRPr="005B5E2B" w:rsidRDefault="00BC1B21" w:rsidP="005B5E2B">
      <w:pPr>
        <w:pStyle w:val="Nagwek4"/>
        <w:rPr>
          <w:color w:val="70AD47" w:themeColor="accent6"/>
        </w:rPr>
      </w:pPr>
      <w:bookmarkStart w:id="111" w:name="_Toc159598301"/>
      <w:bookmarkStart w:id="112" w:name="_Toc179536952"/>
      <w:r>
        <w:rPr>
          <w:color w:val="70AD47" w:themeColor="accent6"/>
        </w:rPr>
        <w:t>Dążenie do a</w:t>
      </w:r>
      <w:r w:rsidR="00746798">
        <w:rPr>
          <w:color w:val="70AD47" w:themeColor="accent6"/>
        </w:rPr>
        <w:t>daptacj</w:t>
      </w:r>
      <w:r>
        <w:rPr>
          <w:color w:val="70AD47" w:themeColor="accent6"/>
        </w:rPr>
        <w:t>i</w:t>
      </w:r>
      <w:r w:rsidR="00746798">
        <w:rPr>
          <w:color w:val="70AD47" w:themeColor="accent6"/>
        </w:rPr>
        <w:t xml:space="preserve"> do zmian </w:t>
      </w:r>
      <w:r w:rsidR="004948D8" w:rsidRPr="004948D8">
        <w:rPr>
          <w:color w:val="70AD47" w:themeColor="accent6"/>
        </w:rPr>
        <w:t>klimatu</w:t>
      </w:r>
      <w:bookmarkEnd w:id="111"/>
      <w:bookmarkEnd w:id="112"/>
    </w:p>
    <w:p w14:paraId="483F48B8" w14:textId="06D2F849" w:rsidR="002E2988" w:rsidRDefault="00B36A7E" w:rsidP="002E2988">
      <w:r>
        <w:t xml:space="preserve">Adaptacja do zmian klimatu to jeden z dwóch filarów globalnej polityki klimatycznej, obok mitygacji. Pierwszy raz konieczność włączenia się krajów do oceny możliwego wpływu zmian klimatu na różne dziedziny życia i stworzenia strategii ograniczenia tego wpływu poprzez dostosowanie do tych zmian </w:t>
      </w:r>
      <w:r>
        <w:lastRenderedPageBreak/>
        <w:t xml:space="preserve">dostrzeżono podczas forum Ramowej Konwencji Narodów Zjednoczonych w sprawie zmian klimatu (UNFCCC, ang. </w:t>
      </w:r>
      <w:r w:rsidRPr="009C5290">
        <w:rPr>
          <w:i/>
          <w:iCs/>
          <w:lang w:val="pt-BR"/>
        </w:rPr>
        <w:t>United Nations Framework Convention on Climate Change</w:t>
      </w:r>
      <w:r w:rsidRPr="009C5290">
        <w:rPr>
          <w:lang w:val="pt-BR"/>
        </w:rPr>
        <w:t xml:space="preserve">) w 2006 r. w Nairobi. </w:t>
      </w:r>
      <w:r>
        <w:t xml:space="preserve">W ślad za tym UE opracowała swoje dokumenty strategiczne w tym obszarze. W 2021 r. Komisja Europejska przedstawiła dokument </w:t>
      </w:r>
      <w:r>
        <w:rPr>
          <w:i/>
          <w:iCs/>
        </w:rPr>
        <w:t>Budując Europę odporną na zmianę klimatu – nowa Strategia w zakresie przystosowania do zmiany klimatu</w:t>
      </w:r>
      <w:r>
        <w:rPr>
          <w:rStyle w:val="Odwoanieprzypisudolnego"/>
          <w:i/>
          <w:iCs/>
        </w:rPr>
        <w:footnoteReference w:id="53"/>
      </w:r>
      <w:r>
        <w:t xml:space="preserve">. Główne cele formułowane na poziomie UE to: wzmocnienie bazy dowodowej z zakresu zmian klimatu, wprowadzenie adaptacji do kluczowych polityk UE, finansowanie adaptacji oraz wymiana wiedzy i dobrych praktyk. </w:t>
      </w:r>
      <w:r w:rsidR="002E2988">
        <w:t xml:space="preserve">Polska również opracowała strategię adaptacji dla sektorów i obszarów wrażliwych na zmiany klimatu – z myślą o </w:t>
      </w:r>
      <w:r w:rsidR="002E2988" w:rsidRPr="005E3695">
        <w:t>zapewnieni</w:t>
      </w:r>
      <w:r w:rsidR="002E2988">
        <w:t>u</w:t>
      </w:r>
      <w:r w:rsidR="002E2988" w:rsidRPr="005E3695">
        <w:t xml:space="preserve"> zrównoważonego rozwoju oraz efektywnego funkcjonowania gospodarki i społeczeństwa w warunkach zmieniającego się klimatu</w:t>
      </w:r>
      <w:r w:rsidR="002E2988">
        <w:t xml:space="preserve"> zarówno w celu ograniczenia gospodarczych i społecznych ryzyk związanych ze zmianami klimatycznymi, jak również z myślą o uniknięciu kosztów wynikających z zaniechania działań na rzecz adaptacji. </w:t>
      </w:r>
    </w:p>
    <w:p w14:paraId="7CA6EA6C" w14:textId="64BB6F23" w:rsidR="00746798" w:rsidRDefault="00B36A7E" w:rsidP="00516BCA">
      <w:r>
        <w:rPr>
          <w:kern w:val="0"/>
          <w14:ligatures w14:val="none"/>
        </w:rPr>
        <w:t xml:space="preserve">Adaptacja do zmian klimatu wymaga dwutorowej implementacji. Obok działań ukierunkowanych przede wszystkim na przystosowanie do zmian klimatu, </w:t>
      </w:r>
      <w:r w:rsidR="00B028C7">
        <w:rPr>
          <w:kern w:val="0"/>
          <w14:ligatures w14:val="none"/>
        </w:rPr>
        <w:t xml:space="preserve">działania </w:t>
      </w:r>
      <w:r>
        <w:rPr>
          <w:kern w:val="0"/>
          <w14:ligatures w14:val="none"/>
        </w:rPr>
        <w:t>powinn</w:t>
      </w:r>
      <w:r w:rsidR="00B028C7">
        <w:rPr>
          <w:kern w:val="0"/>
          <w14:ligatures w14:val="none"/>
        </w:rPr>
        <w:t>y</w:t>
      </w:r>
      <w:r>
        <w:rPr>
          <w:kern w:val="0"/>
          <w14:ligatures w14:val="none"/>
        </w:rPr>
        <w:t xml:space="preserve"> opierać się o włączanie aspektów adaptacji do polityk i działań, których realizacja wynika z innych potrzeb społeczno-gospodarczych</w:t>
      </w:r>
      <w:r>
        <w:rPr>
          <w:rFonts w:ascii="Times New Roman" w:hAnsi="Times New Roman" w:cs="Times New Roman"/>
          <w:kern w:val="0"/>
          <w:sz w:val="24"/>
          <w:szCs w:val="24"/>
          <w:lang w:eastAsia="pl-PL"/>
          <w14:ligatures w14:val="none"/>
        </w:rPr>
        <w:t>.</w:t>
      </w:r>
      <w:r w:rsidR="00EA676E">
        <w:t xml:space="preserve"> </w:t>
      </w:r>
    </w:p>
    <w:p w14:paraId="316E67E7" w14:textId="64BDFA1E" w:rsidR="00DE4A5C" w:rsidRDefault="00E03647" w:rsidP="00E03647">
      <w:pPr>
        <w:pStyle w:val="Cele"/>
        <w:spacing w:after="80"/>
        <w:rPr>
          <w:rStyle w:val="CeleZnak"/>
          <w:b/>
        </w:rPr>
      </w:pPr>
      <w:r>
        <w:rPr>
          <w:rStyle w:val="CeleZnak"/>
          <w:b/>
        </w:rPr>
        <w:t xml:space="preserve">W celu </w:t>
      </w:r>
      <w:r w:rsidR="002E2988">
        <w:rPr>
          <w:rStyle w:val="CeleZnak"/>
          <w:b/>
        </w:rPr>
        <w:t xml:space="preserve">skuteczniejszej </w:t>
      </w:r>
      <w:r>
        <w:rPr>
          <w:rStyle w:val="CeleZnak"/>
          <w:b/>
        </w:rPr>
        <w:t xml:space="preserve">adaptacji do zmian klimatu </w:t>
      </w:r>
      <w:r w:rsidR="00B64F0D" w:rsidRPr="00B377B2">
        <w:rPr>
          <w:rStyle w:val="CeleZnak"/>
          <w:b/>
        </w:rPr>
        <w:t>Polska</w:t>
      </w:r>
      <w:r w:rsidR="00DE4A5C">
        <w:rPr>
          <w:rStyle w:val="CeleZnak"/>
          <w:b/>
        </w:rPr>
        <w:t xml:space="preserve"> będzie dążyć</w:t>
      </w:r>
      <w:r w:rsidR="00B028C7">
        <w:rPr>
          <w:rStyle w:val="CeleZnak"/>
          <w:b/>
        </w:rPr>
        <w:t>:</w:t>
      </w:r>
      <w:r w:rsidR="00DD78DD">
        <w:rPr>
          <w:rStyle w:val="CeleZnak"/>
          <w:b/>
        </w:rPr>
        <w:t xml:space="preserve">  </w:t>
      </w:r>
    </w:p>
    <w:p w14:paraId="42F363AE" w14:textId="23635D18" w:rsidR="00B64F0D" w:rsidRPr="002E2988" w:rsidRDefault="002E2988" w:rsidP="002E2988">
      <w:pPr>
        <w:pStyle w:val="Cele"/>
        <w:numPr>
          <w:ilvl w:val="0"/>
          <w:numId w:val="27"/>
        </w:numPr>
        <w:spacing w:before="80" w:after="0"/>
        <w:ind w:left="284" w:hanging="284"/>
        <w:rPr>
          <w:rStyle w:val="CeleZnak"/>
          <w:bCs/>
          <w:sz w:val="20"/>
          <w:szCs w:val="20"/>
          <w:shd w:val="clear" w:color="auto" w:fill="auto"/>
        </w:rPr>
      </w:pPr>
      <w:r w:rsidRPr="002E2988">
        <w:rPr>
          <w:rStyle w:val="CeleZnak"/>
          <w:bCs/>
          <w:sz w:val="20"/>
          <w:szCs w:val="20"/>
        </w:rPr>
        <w:t xml:space="preserve">do </w:t>
      </w:r>
      <w:r w:rsidR="00DE4A5C" w:rsidRPr="002E2988">
        <w:rPr>
          <w:rStyle w:val="CeleZnak"/>
          <w:bCs/>
          <w:sz w:val="20"/>
          <w:szCs w:val="20"/>
        </w:rPr>
        <w:t>zwiększania odporności sektora energetycznego – w ty</w:t>
      </w:r>
      <w:r w:rsidR="00DE4A5C" w:rsidRPr="002E2988">
        <w:rPr>
          <w:rStyle w:val="CeleZnak"/>
          <w:bCs/>
          <w:sz w:val="20"/>
          <w:szCs w:val="20"/>
          <w:shd w:val="clear" w:color="auto" w:fill="auto"/>
        </w:rPr>
        <w:t>m infrastruktury liniowej – na ekstremalne zjawiska pogodowe,</w:t>
      </w:r>
    </w:p>
    <w:p w14:paraId="1A4CC7D6" w14:textId="16B9D11B" w:rsidR="002E2988" w:rsidRPr="002E2988" w:rsidRDefault="002E2988" w:rsidP="002E2988">
      <w:pPr>
        <w:pStyle w:val="Cele"/>
        <w:numPr>
          <w:ilvl w:val="0"/>
          <w:numId w:val="27"/>
        </w:numPr>
        <w:spacing w:before="80" w:after="0"/>
        <w:ind w:left="284" w:hanging="284"/>
        <w:rPr>
          <w:sz w:val="20"/>
          <w:szCs w:val="20"/>
        </w:rPr>
      </w:pPr>
      <w:r w:rsidRPr="002E2988">
        <w:rPr>
          <w:sz w:val="20"/>
          <w:szCs w:val="20"/>
        </w:rPr>
        <w:t>aby działania polegające na utrzymaniu i powiększaniu zasobów leśnych były realizowane z uwzględnieniem adaptacji do zmian klimatu, w tym m.in. poprzez dostosowywanie składu gatunkowego drzewostanów do zmieniających się warunków klimatycznych,</w:t>
      </w:r>
    </w:p>
    <w:p w14:paraId="74A9109B" w14:textId="072BA7C9" w:rsidR="002E2988" w:rsidRPr="002E2988" w:rsidRDefault="002E2988" w:rsidP="002E2988">
      <w:pPr>
        <w:pStyle w:val="Cele"/>
        <w:numPr>
          <w:ilvl w:val="0"/>
          <w:numId w:val="27"/>
        </w:numPr>
        <w:spacing w:before="80" w:after="0"/>
        <w:ind w:left="284" w:hanging="284"/>
        <w:rPr>
          <w:sz w:val="20"/>
          <w:szCs w:val="20"/>
        </w:rPr>
      </w:pPr>
      <w:r w:rsidRPr="002E2988">
        <w:rPr>
          <w:sz w:val="20"/>
          <w:szCs w:val="20"/>
        </w:rPr>
        <w:t>do zapewnienia odpowiednich zasobów wodnych</w:t>
      </w:r>
      <w:r w:rsidR="00066047" w:rsidRPr="00066047">
        <w:rPr>
          <w:sz w:val="20"/>
          <w:szCs w:val="20"/>
        </w:rPr>
        <w:t xml:space="preserve"> i zwiększenia retencjonowania</w:t>
      </w:r>
      <w:r w:rsidRPr="002E2988">
        <w:rPr>
          <w:sz w:val="20"/>
          <w:szCs w:val="20"/>
        </w:rPr>
        <w:t>,</w:t>
      </w:r>
    </w:p>
    <w:p w14:paraId="01529B3D" w14:textId="34AFB283" w:rsidR="002E2988" w:rsidRPr="002E2988" w:rsidRDefault="002E2988" w:rsidP="002E2988">
      <w:pPr>
        <w:pStyle w:val="Cele"/>
        <w:numPr>
          <w:ilvl w:val="0"/>
          <w:numId w:val="27"/>
        </w:numPr>
        <w:spacing w:before="80" w:after="0"/>
        <w:ind w:left="284" w:hanging="284"/>
        <w:rPr>
          <w:sz w:val="20"/>
          <w:szCs w:val="20"/>
        </w:rPr>
      </w:pPr>
      <w:r w:rsidRPr="002E2988">
        <w:rPr>
          <w:sz w:val="20"/>
          <w:szCs w:val="20"/>
        </w:rPr>
        <w:t>do dostosowania rolnictwa i produkcji rolnej do zmian klimatu,</w:t>
      </w:r>
    </w:p>
    <w:p w14:paraId="50BDF133" w14:textId="2008813C" w:rsidR="00DE4A5C" w:rsidRPr="002E2988" w:rsidRDefault="002E2988" w:rsidP="002E2988">
      <w:pPr>
        <w:pStyle w:val="Cele"/>
        <w:numPr>
          <w:ilvl w:val="0"/>
          <w:numId w:val="27"/>
        </w:numPr>
        <w:spacing w:before="80"/>
        <w:ind w:left="284" w:hanging="284"/>
        <w:rPr>
          <w:sz w:val="20"/>
          <w:szCs w:val="20"/>
        </w:rPr>
      </w:pPr>
      <w:r w:rsidRPr="002E2988">
        <w:rPr>
          <w:sz w:val="20"/>
          <w:szCs w:val="20"/>
        </w:rPr>
        <w:t>do lepszego dostępu do wiedzy i informacji celem budowania kompetencji wśród decydentów oraz upowszechnienia wiedzy o działaniach adaptacyjnych</w:t>
      </w:r>
      <w:r w:rsidR="00E03647" w:rsidRPr="002E2988">
        <w:rPr>
          <w:sz w:val="20"/>
          <w:szCs w:val="20"/>
        </w:rPr>
        <w:t>.</w:t>
      </w:r>
    </w:p>
    <w:p w14:paraId="110E6F00" w14:textId="77777777" w:rsidR="00B64F0D" w:rsidRDefault="00B64F0D" w:rsidP="00E03647">
      <w:pPr>
        <w:pStyle w:val="Polityka"/>
      </w:pPr>
      <w:r w:rsidRPr="00C46DAA">
        <w:t>POLITYKA</w:t>
      </w:r>
    </w:p>
    <w:p w14:paraId="0A1B36A6" w14:textId="77777777" w:rsidR="002435E5" w:rsidRDefault="002435E5" w:rsidP="002435E5">
      <w:r w:rsidRPr="002435E5">
        <w:t xml:space="preserve">Adaptacja do zmian klimatu wymaga horyzontalnego podejścia oraz włączenia do realizacji poszczególnych polityk gospodarczych, tak aby podejmowane działania skutkowały wzmocnieniem odporności różnych dziedzin gospodarki i życia społecznego. </w:t>
      </w:r>
    </w:p>
    <w:p w14:paraId="17C2A63D" w14:textId="75C7F8D2" w:rsidR="004766AA" w:rsidRPr="002435E5" w:rsidRDefault="00B028C7" w:rsidP="004766AA">
      <w:r>
        <w:t xml:space="preserve">Obowiązujący od 2013 r. </w:t>
      </w:r>
      <w:r w:rsidRPr="00B028C7">
        <w:rPr>
          <w:b/>
          <w:bCs/>
          <w:i/>
          <w:iCs/>
        </w:rPr>
        <w:t>Strategiczny Plan Adaptacji dla sektorów i obszarów wrażliwych na zmiany klimatu do roku 2020 z perspektywą do roku 2030</w:t>
      </w:r>
      <w:r>
        <w:t xml:space="preserve"> (SPA 2020) (</w:t>
      </w:r>
      <w:hyperlink r:id="rId64" w:history="1">
        <w:r w:rsidRPr="00B028C7">
          <w:rPr>
            <w:rStyle w:val="Hipercze"/>
          </w:rPr>
          <w:t>link</w:t>
        </w:r>
      </w:hyperlink>
      <w:r>
        <w:t xml:space="preserve">) będzie podlegać aktualizacji, ale niezmiennie podejmowane działania muszą obejmować różne </w:t>
      </w:r>
      <w:r w:rsidR="004766AA">
        <w:t>obszary m.in.: rolnictwo, leśnictwo, gospodarkę wodną, gospodarkę przestrzenną i budownictwo czy energetykę.</w:t>
      </w:r>
    </w:p>
    <w:p w14:paraId="5DF7F55A" w14:textId="217033CD" w:rsidR="002435E5" w:rsidRDefault="004766AA" w:rsidP="004766AA">
      <w:r w:rsidRPr="008D3C19">
        <w:t xml:space="preserve">Poszczególne sektory mają różną </w:t>
      </w:r>
      <w:r>
        <w:t>podatność</w:t>
      </w:r>
      <w:r w:rsidRPr="008D3C19">
        <w:t xml:space="preserve"> na zmiany klimatu i w związku z tym wymagają różnych, dostosowanych do nich działań. Adaptacja do zmian klimatu obejmuje działania bieżące stosowane m.in. w leśnictwie, rolnictwie, na terenach zurbanizowanych, </w:t>
      </w:r>
      <w:r>
        <w:t>a także</w:t>
      </w:r>
      <w:r w:rsidRPr="008D3C19">
        <w:t xml:space="preserve"> strategiczne planowanie inwestycji infrastrukturalnych lub zagospodarowania terenów, tak aby były one odporne na skutki zmian klimatu. Nowa infrastruktura i nowo</w:t>
      </w:r>
      <w:r>
        <w:t xml:space="preserve"> </w:t>
      </w:r>
      <w:r w:rsidRPr="008D3C19">
        <w:t xml:space="preserve">projektowane </w:t>
      </w:r>
      <w:r>
        <w:t>tereny</w:t>
      </w:r>
      <w:r w:rsidRPr="008D3C19">
        <w:t xml:space="preserve"> powinny </w:t>
      </w:r>
      <w:r>
        <w:t xml:space="preserve">być </w:t>
      </w:r>
      <w:r w:rsidRPr="008D3C19">
        <w:t>odporne na zmiany klimatu, efektywne energetycznie oraz wpisywać się w ideę gospodarki w obiegu zamkniętym. Konieczne jest także prowadzenie działań zintegrowanych pomiędzy poszczególnymi sektorami gospodarki</w:t>
      </w:r>
      <w:r>
        <w:t xml:space="preserve"> i </w:t>
      </w:r>
      <w:r w:rsidRPr="008D3C19">
        <w:t>odpowiednie zaadresowania zadań na różnych poziomach – krajowym, regionalnym i lokalnym.</w:t>
      </w:r>
      <w:r>
        <w:t xml:space="preserve"> </w:t>
      </w:r>
      <w:r w:rsidRPr="002435E5">
        <w:t xml:space="preserve">Aktualnie obowiązujący </w:t>
      </w:r>
      <w:r w:rsidRPr="002435E5">
        <w:rPr>
          <w:i/>
          <w:iCs/>
        </w:rPr>
        <w:t>Strategiczny Plan Adaptacji dla sektorów i obszarów wrażliwych na zmiany klimatu do roku 2020 z perspektywą do roku 2030</w:t>
      </w:r>
      <w:r w:rsidRPr="002435E5">
        <w:t xml:space="preserve"> będzie podlegał aktualizacji, tak aby lepiej zaadresować tę kwestię. Poniżej wskazano główne obszary, których dotyczy adaptacja do zmian klimatu wraz z kierunkowymi działaniami</w:t>
      </w:r>
      <w:r w:rsidR="002435E5" w:rsidRPr="002435E5">
        <w:t>:</w:t>
      </w:r>
    </w:p>
    <w:p w14:paraId="36ABCFD8" w14:textId="030828E6" w:rsidR="006E4865" w:rsidRPr="006E4865" w:rsidRDefault="006E4865" w:rsidP="00612B5D">
      <w:pPr>
        <w:pStyle w:val="Akapitzlist"/>
        <w:keepNext/>
        <w:numPr>
          <w:ilvl w:val="0"/>
          <w:numId w:val="50"/>
        </w:numPr>
        <w:spacing w:after="80"/>
        <w:ind w:left="425" w:hanging="357"/>
        <w:contextualSpacing w:val="0"/>
        <w:rPr>
          <w:b/>
          <w:bCs/>
        </w:rPr>
      </w:pPr>
      <w:r>
        <w:rPr>
          <w:b/>
          <w:bCs/>
        </w:rPr>
        <w:lastRenderedPageBreak/>
        <w:t>G</w:t>
      </w:r>
      <w:r w:rsidRPr="006E4865">
        <w:rPr>
          <w:b/>
          <w:bCs/>
        </w:rPr>
        <w:t>ospodarka wodna</w:t>
      </w:r>
      <w:r>
        <w:rPr>
          <w:b/>
          <w:bCs/>
        </w:rPr>
        <w:t xml:space="preserve"> i strefa wybrzeża</w:t>
      </w:r>
      <w:r w:rsidRPr="006E4865">
        <w:rPr>
          <w:b/>
          <w:bCs/>
        </w:rPr>
        <w:t xml:space="preserve"> </w:t>
      </w:r>
    </w:p>
    <w:p w14:paraId="78515D11" w14:textId="1912494C" w:rsidR="006E4865" w:rsidRDefault="006E4865" w:rsidP="006E4865">
      <w:pPr>
        <w:pStyle w:val="Akapitzlist"/>
        <w:ind w:left="425"/>
        <w:contextualSpacing w:val="0"/>
      </w:pPr>
      <w:r>
        <w:t xml:space="preserve">Niezbędne jest posiadanie aktualnych planów gospodarowania wodami na obszarach dorzeczy, planów zarządzania ryzykiem powodziowym, planu </w:t>
      </w:r>
      <w:r w:rsidR="00066047">
        <w:t xml:space="preserve">zapobiegania suszy i </w:t>
      </w:r>
      <w:r>
        <w:t xml:space="preserve">przeciwdziałania </w:t>
      </w:r>
      <w:r w:rsidR="00066047">
        <w:t xml:space="preserve">jej </w:t>
      </w:r>
      <w:r>
        <w:t>skutkom, planów utrzymania wód</w:t>
      </w:r>
      <w:r w:rsidR="00066047">
        <w:t xml:space="preserve"> i pokrycia potrzeb komunalno-bytowych</w:t>
      </w:r>
      <w:r>
        <w:t>, wstępnych ocen ryzyka powodziowego, mapy zagrożenia powodziowego, mapy ryzyka powodziowego. Ponadto</w:t>
      </w:r>
      <w:r w:rsidR="007F24C7">
        <w:t xml:space="preserve"> z</w:t>
      </w:r>
      <w:r>
        <w:t xml:space="preserve">asadna jest dalsza rozbudowa i monitoring systemu ochrony przeciwpowodziowej i zapobieganie degradacji linii brzegowych oraz rozwój monitoringu stref przybrzeżnych. </w:t>
      </w:r>
    </w:p>
    <w:p w14:paraId="646C5FF1" w14:textId="665D9118" w:rsidR="006E4865" w:rsidRPr="006E4865" w:rsidRDefault="006E4865" w:rsidP="00612B5D">
      <w:pPr>
        <w:pStyle w:val="Akapitzlist"/>
        <w:numPr>
          <w:ilvl w:val="0"/>
          <w:numId w:val="50"/>
        </w:numPr>
        <w:spacing w:after="80"/>
        <w:ind w:left="425" w:hanging="357"/>
        <w:contextualSpacing w:val="0"/>
        <w:rPr>
          <w:b/>
          <w:bCs/>
        </w:rPr>
      </w:pPr>
      <w:r w:rsidRPr="006E4865">
        <w:rPr>
          <w:b/>
          <w:bCs/>
        </w:rPr>
        <w:t xml:space="preserve">Rolnictwo </w:t>
      </w:r>
    </w:p>
    <w:p w14:paraId="2CA989AD" w14:textId="3916F92D" w:rsidR="006E4865" w:rsidRDefault="006E4865" w:rsidP="006E4865">
      <w:pPr>
        <w:pStyle w:val="Akapitzlist"/>
        <w:ind w:left="425"/>
        <w:contextualSpacing w:val="0"/>
      </w:pPr>
      <w:r>
        <w:t>Działania adaptacyjne obejmują retencję wody, działania na rzecz walki z chorobami zwierząt, wsparcie inwestycyjne, a także działa</w:t>
      </w:r>
      <w:r w:rsidR="004766AA">
        <w:t>nia</w:t>
      </w:r>
      <w:r>
        <w:t xml:space="preserve"> związan</w:t>
      </w:r>
      <w:r w:rsidR="004766AA">
        <w:t>e</w:t>
      </w:r>
      <w:r>
        <w:t xml:space="preserve"> z ochroną zdrowia gleby, zwiększania potencjału sekwestracji węgla w glebie czy ochroną bioróżnorodności. </w:t>
      </w:r>
      <w:r w:rsidR="004766AA">
        <w:t>Są one</w:t>
      </w:r>
      <w:r>
        <w:t xml:space="preserve"> realizowane są w ramach Planu Strategicznego WPR na lata 2023-2027 poprzez wdrożenie ekoschematów, działań rolno-środowiskowo-klimatycznych oraz działań zalesieniowych, a także poprzez normy warunkowości (środowiskowej) WPR. Szerzej o zagadnieniu w części </w:t>
      </w:r>
      <w:r>
        <w:fldChar w:fldCharType="begin"/>
      </w:r>
      <w:r>
        <w:instrText xml:space="preserve"> REF _Ref174098009 \r \h </w:instrText>
      </w:r>
      <w:r>
        <w:fldChar w:fldCharType="separate"/>
      </w:r>
      <w:r w:rsidR="00DD3929">
        <w:t>Cel. 1.2.5</w:t>
      </w:r>
      <w:r>
        <w:fldChar w:fldCharType="end"/>
      </w:r>
      <w:r>
        <w:t>.</w:t>
      </w:r>
    </w:p>
    <w:p w14:paraId="7F13859D" w14:textId="2CB01494" w:rsidR="006E4865" w:rsidRPr="006E4865" w:rsidRDefault="006E4865" w:rsidP="00612B5D">
      <w:pPr>
        <w:pStyle w:val="Akapitzlist"/>
        <w:numPr>
          <w:ilvl w:val="0"/>
          <w:numId w:val="50"/>
        </w:numPr>
        <w:spacing w:after="80"/>
        <w:ind w:left="425" w:hanging="357"/>
        <w:contextualSpacing w:val="0"/>
        <w:rPr>
          <w:b/>
          <w:bCs/>
        </w:rPr>
      </w:pPr>
      <w:r w:rsidRPr="006E4865">
        <w:rPr>
          <w:b/>
          <w:bCs/>
        </w:rPr>
        <w:t xml:space="preserve">Leśnictwo </w:t>
      </w:r>
    </w:p>
    <w:p w14:paraId="4F7B1FA8" w14:textId="6730F82C" w:rsidR="004766AA" w:rsidRDefault="004766AA" w:rsidP="004766AA">
      <w:pPr>
        <w:pStyle w:val="Akapitzlist"/>
        <w:ind w:left="425"/>
        <w:contextualSpacing w:val="0"/>
      </w:pPr>
      <w:r>
        <w:t xml:space="preserve">Skutki zmian klimatu mają negatywny wpływ na potencjał pochłaniania emisji gazów cieplarnianych. Do kluczowych działań sprzyjających adaptacji zaliczyć można: zwiększanie różnorodności strukturalnej i gatunkowej drzewostanów, zachowanie i zwiększanie wewnątrzgatunkowej zmienności genetycznej, zwiększanie odporności poszczególnych osobników na stresy o charakterze abiotycznym i biotycznym, przebudowa drzewostanów odznaczających się wysokim poziomem ryzyka powstania różnego rodzaju szkód, niedopuszczanie do nadmiernego wzrostu zasobności drzewostanów, zwiększanie obiektów małej retencji wodnej. Szerzej o zagadnieniu w części </w:t>
      </w:r>
      <w:r>
        <w:fldChar w:fldCharType="begin"/>
      </w:r>
      <w:r>
        <w:instrText xml:space="preserve"> REF _Ref174098020 \r \h </w:instrText>
      </w:r>
      <w:r>
        <w:fldChar w:fldCharType="separate"/>
      </w:r>
      <w:r w:rsidR="00DD3929">
        <w:t>Cel. 1.3.1</w:t>
      </w:r>
      <w:r>
        <w:fldChar w:fldCharType="end"/>
      </w:r>
      <w:r>
        <w:t>.</w:t>
      </w:r>
    </w:p>
    <w:p w14:paraId="417A4E11" w14:textId="77777777" w:rsidR="004766AA" w:rsidRPr="006E4865" w:rsidRDefault="004766AA" w:rsidP="00612B5D">
      <w:pPr>
        <w:pStyle w:val="Akapitzlist"/>
        <w:numPr>
          <w:ilvl w:val="0"/>
          <w:numId w:val="50"/>
        </w:numPr>
        <w:spacing w:after="80"/>
        <w:ind w:left="425" w:hanging="357"/>
        <w:contextualSpacing w:val="0"/>
        <w:rPr>
          <w:b/>
          <w:bCs/>
        </w:rPr>
      </w:pPr>
      <w:r w:rsidRPr="006E4865">
        <w:rPr>
          <w:b/>
          <w:bCs/>
        </w:rPr>
        <w:t>Transport</w:t>
      </w:r>
    </w:p>
    <w:p w14:paraId="0C11BA72" w14:textId="6146CECA" w:rsidR="004766AA" w:rsidRDefault="004766AA" w:rsidP="004766AA">
      <w:pPr>
        <w:pStyle w:val="Akapitzlist"/>
        <w:ind w:left="425"/>
        <w:contextualSpacing w:val="0"/>
      </w:pPr>
      <w:r>
        <w:t>Realizacja polityki transportowej ma</w:t>
      </w:r>
      <w:r w:rsidR="007F24C7">
        <w:t>jąca</w:t>
      </w:r>
      <w:r>
        <w:t xml:space="preserve"> zapewnić m.in. nieprzerwaną dostępność sieci drogowej wymaga wdrażania norm budowlanych i projektowych, które skutkować będą odpornością infrastruktury transportu drogowego na ekstremalne zjawiska pogodowe. Dotyczą one odpowiedniego doboru materiałów, systemów odprowadzania wód i infiltracji, konstruowania mostów z uwzględnieniem potencjału powodziowego, jak również uwzględniania roślinności chroniącej przed nasłonecznieniem, w odpowiedniej odległości od dróg.  </w:t>
      </w:r>
    </w:p>
    <w:p w14:paraId="1F2A59D8" w14:textId="77777777" w:rsidR="004766AA" w:rsidRPr="006E4865" w:rsidRDefault="004766AA" w:rsidP="00612B5D">
      <w:pPr>
        <w:pStyle w:val="Akapitzlist"/>
        <w:numPr>
          <w:ilvl w:val="0"/>
          <w:numId w:val="50"/>
        </w:numPr>
        <w:spacing w:after="80"/>
        <w:ind w:left="425" w:hanging="357"/>
        <w:contextualSpacing w:val="0"/>
        <w:rPr>
          <w:b/>
          <w:bCs/>
        </w:rPr>
      </w:pPr>
      <w:r w:rsidRPr="006E4865">
        <w:rPr>
          <w:b/>
          <w:bCs/>
        </w:rPr>
        <w:t>Gospodarka przestrzenna, w tym</w:t>
      </w:r>
      <w:r>
        <w:rPr>
          <w:b/>
          <w:bCs/>
        </w:rPr>
        <w:t xml:space="preserve"> na</w:t>
      </w:r>
      <w:r w:rsidRPr="006E4865">
        <w:rPr>
          <w:b/>
          <w:bCs/>
        </w:rPr>
        <w:t xml:space="preserve"> obszar</w:t>
      </w:r>
      <w:r>
        <w:rPr>
          <w:b/>
          <w:bCs/>
        </w:rPr>
        <w:t>ach</w:t>
      </w:r>
      <w:r w:rsidRPr="006E4865">
        <w:rPr>
          <w:b/>
          <w:bCs/>
        </w:rPr>
        <w:t xml:space="preserve"> miejski</w:t>
      </w:r>
      <w:r>
        <w:rPr>
          <w:b/>
          <w:bCs/>
        </w:rPr>
        <w:t>ch</w:t>
      </w:r>
      <w:r w:rsidRPr="006E4865">
        <w:rPr>
          <w:b/>
          <w:bCs/>
        </w:rPr>
        <w:t xml:space="preserve"> </w:t>
      </w:r>
    </w:p>
    <w:p w14:paraId="36C57050" w14:textId="0A45018A" w:rsidR="004766AA" w:rsidRDefault="004766AA" w:rsidP="004766AA">
      <w:pPr>
        <w:pStyle w:val="Akapitzlist"/>
        <w:ind w:left="425"/>
        <w:contextualSpacing w:val="0"/>
      </w:pPr>
      <w:r w:rsidRPr="002663C8">
        <w:t>Adaptacja do zmian klimatu w wielu obszarach wiąże się z planowaniem przestrzennym. Zabezpieczenie przed skutkami gwałtownych zjawisk pogodowych, usuwanie i unikanie tworzenia miejskich wysp ciepła, czy też adaptacja dużych inwestycji infrastrukturalnych możliwe są poprzez skuteczne planowanie przestrzenne. Jest to instrument, który może w znacznym stopniu zwiększyć efektywność i skuteczność adaptacji do zmian klimatu w Polsce.</w:t>
      </w:r>
      <w:r>
        <w:t xml:space="preserve"> </w:t>
      </w:r>
      <w:r w:rsidRPr="00671D06">
        <w:t>Adaptacja do zmian klimatu jest szczególnie istotna na obszarach miejskich ze względu na oddziaływanie zjawisk ekstremalnych na duże skupiska ludzi.</w:t>
      </w:r>
      <w:r>
        <w:t xml:space="preserve"> Skutecznie planowanie przestrzenne poprawia bezpieczeństwo mieszkańców i jakość ich życia poprzez tworzenie przestrzeni odpornych na skutki zmian klimatu. Z tego względu </w:t>
      </w:r>
      <w:r w:rsidRPr="00E34F09">
        <w:rPr>
          <w:i/>
          <w:iCs/>
        </w:rPr>
        <w:t>Krajowa Polityka Miejska</w:t>
      </w:r>
      <w:r>
        <w:t xml:space="preserve"> (</w:t>
      </w:r>
      <w:hyperlink r:id="rId65" w:history="1">
        <w:r w:rsidRPr="00E34F09">
          <w:rPr>
            <w:rStyle w:val="Hipercze"/>
          </w:rPr>
          <w:t>link</w:t>
        </w:r>
      </w:hyperlink>
      <w:r>
        <w:t xml:space="preserve">) podkreśla w sposób szczególny konieczność zabezpieczenia dostępu do wody pitnej ze względu na susze, dostosowanie infrastruktury miejskiej do opadów nawalnych (czemu nie sprzyja tzw. zabetonowanie), zapobieganie powodziom, w tym poprzez zapewnianie małej retencji, jak również ochrona terenów zalewowych. Znaczącą rolę w zwiększaniu retencji na obszarach miejskich ma rozwój niebiesko-zielonej infrastruktury, czyli </w:t>
      </w:r>
      <w:r w:rsidRPr="00671D06">
        <w:t>system rozproszonych rozwiązań o różnej skali, które służą zagospodarowaniu wód opadowych</w:t>
      </w:r>
      <w:r>
        <w:t xml:space="preserve">. Niezwykle ważna jest zieleń miejska (odpowiednio dobrana, usytuowana i pielęgnowana), która obniża temperaturę w danych przestrzeniach poprzez zacienienie i wpływa łagodząco na efekt miejskiej wyspy ciepła, poprawia jakość wody i powietrza, spowalnia spływ powierzchniowy, utrzymuje bioróżnorodność oraz ma korzystny wpływ na ludzkie zdrowie i komfort życia. Funkcjonalnym narzędziem określenia polityki adaptacyjnej i koordynacji jej wdrażania są </w:t>
      </w:r>
      <w:r w:rsidRPr="00E34F09">
        <w:rPr>
          <w:b/>
          <w:bCs/>
          <w:i/>
          <w:iCs/>
        </w:rPr>
        <w:t>miejskie plany adaptacji do zmian klimatu</w:t>
      </w:r>
      <w:r>
        <w:t xml:space="preserve"> (MPA). </w:t>
      </w:r>
      <w:r>
        <w:lastRenderedPageBreak/>
        <w:t xml:space="preserve">W ramach projektu </w:t>
      </w:r>
      <w:r w:rsidRPr="00FF69B0">
        <w:t>pn. „Opracowanie planów adaptacji do zmian klimatu w miastach powyżej 100</w:t>
      </w:r>
      <w:r w:rsidR="007B6085">
        <w:t> </w:t>
      </w:r>
      <w:r w:rsidRPr="00FF69B0">
        <w:t>tys. mieszkańców”,</w:t>
      </w:r>
      <w:r>
        <w:t xml:space="preserve"> realizowanego przez Ministerstwo Środowiska w </w:t>
      </w:r>
      <w:r w:rsidRPr="00FF69B0">
        <w:t>latach 2017-2019 wspólnie z największymi miastami w Polsce</w:t>
      </w:r>
      <w:r>
        <w:t>,</w:t>
      </w:r>
      <w:r w:rsidRPr="00FF69B0">
        <w:t xml:space="preserve"> współfinansowan</w:t>
      </w:r>
      <w:r>
        <w:t>ego</w:t>
      </w:r>
      <w:r w:rsidRPr="00FF69B0">
        <w:t xml:space="preserve"> ze środków Unii Europejskiej z Programu Operacyjnego Infrastruktura i Środowisko 2014-2020</w:t>
      </w:r>
      <w:r>
        <w:t>,</w:t>
      </w:r>
      <w:r w:rsidRPr="00FF69B0">
        <w:t xml:space="preserve"> </w:t>
      </w:r>
      <w:r>
        <w:t>d</w:t>
      </w:r>
      <w:r w:rsidRPr="00FF69B0">
        <w:t>la 44 miast przygotowane zostały dokumenty zawierające diagnozę zagrożeń klimatycznych i sektorów, które są najbardziej wrażliwe na czynniki klimatyczne.</w:t>
      </w:r>
      <w:r>
        <w:t xml:space="preserve"> Natomiast </w:t>
      </w:r>
      <w:r w:rsidR="007B6085">
        <w:t xml:space="preserve">przewiduje się wdrożenie </w:t>
      </w:r>
      <w:r>
        <w:t>obowiązku uchwalenia MPA przez wszystkie miasta liczące co najmniej 20 tys. mieszkańców</w:t>
      </w:r>
      <w:r w:rsidRPr="00E34F09">
        <w:t xml:space="preserve"> </w:t>
      </w:r>
      <w:r>
        <w:t>(do 2 stycznia 2028 r.). C</w:t>
      </w:r>
      <w:r w:rsidRPr="00A71ECC">
        <w:t xml:space="preserve">zęścią składową </w:t>
      </w:r>
      <w:r>
        <w:t>dokumentów</w:t>
      </w:r>
      <w:r w:rsidRPr="00A71ECC">
        <w:t xml:space="preserve"> będzie koncepcja zazieleniania miasta, w tym zwiększania powierzchni terenów zieleni i zadrzewień, oraz koncepcja zagospodarowania wód opadowych i roztopowych na terenie miasta</w:t>
      </w:r>
      <w:r>
        <w:t>.</w:t>
      </w:r>
    </w:p>
    <w:p w14:paraId="4F72736B" w14:textId="77777777" w:rsidR="004766AA" w:rsidRPr="006E4865" w:rsidRDefault="004766AA" w:rsidP="00612B5D">
      <w:pPr>
        <w:pStyle w:val="Akapitzlist"/>
        <w:numPr>
          <w:ilvl w:val="0"/>
          <w:numId w:val="50"/>
        </w:numPr>
        <w:spacing w:after="80"/>
        <w:ind w:left="425" w:hanging="357"/>
        <w:contextualSpacing w:val="0"/>
        <w:rPr>
          <w:b/>
          <w:bCs/>
        </w:rPr>
      </w:pPr>
      <w:r w:rsidRPr="006E4865">
        <w:rPr>
          <w:b/>
          <w:bCs/>
        </w:rPr>
        <w:t>Budownictwo</w:t>
      </w:r>
    </w:p>
    <w:p w14:paraId="74C2BF36" w14:textId="2EC2B3BF" w:rsidR="004766AA" w:rsidRDefault="004766AA" w:rsidP="004766AA">
      <w:pPr>
        <w:pStyle w:val="Akapitzlist"/>
        <w:ind w:left="425"/>
        <w:contextualSpacing w:val="0"/>
      </w:pPr>
      <w:r>
        <w:t>Budynki muszą być dostosowane do coraz wyższych temperatur i okresowych mro</w:t>
      </w:r>
      <w:r w:rsidR="007F24C7">
        <w:t>zów</w:t>
      </w:r>
      <w:r>
        <w:t xml:space="preserve">, ale także niespotykanych dotychczas huraganów, podwyższonych poziomów wód gruntowych i zagrożeń osuwiskami. Uciążliwość upału zwiększa znaczenie systemów wentylacyjnych, jak również zacienienia. Nawalne deszcze i susze motywują do szukania rozwiązań innych niż odprowadzanie wód bezpośrednio do kanalizacji, a dla ograniczenia szkód związanych z osuwiskami najważniejszym rozwiązaniem jest nielokowanie budynków na terenach zagrożonych. Wdrażanie nowych regulacji dyrektywy o efektywności energetycznej budynków, której poszczególne wersje zwiększają standardy efektywności energetycznej budynków, wskazujące na coraz niższe potrzeby energetyczne oraz promują wykorzystanie odnawialnych i lokalnych źródeł energii służy redukcji emisji gazów cieplarnianych oraz przystosowuje budynki do postępujących zmian klimatu. Szerzej o zagadnieniu w części </w:t>
      </w:r>
      <w:r>
        <w:fldChar w:fldCharType="begin"/>
      </w:r>
      <w:r>
        <w:instrText xml:space="preserve"> REF _Ref174098103 \r \h </w:instrText>
      </w:r>
      <w:r>
        <w:fldChar w:fldCharType="separate"/>
      </w:r>
      <w:r w:rsidR="00DD3929">
        <w:t>Obszar 2.2</w:t>
      </w:r>
      <w:r>
        <w:fldChar w:fldCharType="end"/>
      </w:r>
      <w:r>
        <w:t>.</w:t>
      </w:r>
    </w:p>
    <w:p w14:paraId="6E2E77AC" w14:textId="77777777" w:rsidR="004766AA" w:rsidRPr="006E4865" w:rsidRDefault="004766AA" w:rsidP="00612B5D">
      <w:pPr>
        <w:pStyle w:val="Akapitzlist"/>
        <w:numPr>
          <w:ilvl w:val="0"/>
          <w:numId w:val="50"/>
        </w:numPr>
        <w:spacing w:after="80"/>
        <w:ind w:left="425" w:hanging="357"/>
        <w:contextualSpacing w:val="0"/>
        <w:rPr>
          <w:b/>
          <w:bCs/>
        </w:rPr>
      </w:pPr>
      <w:r w:rsidRPr="006E4865">
        <w:rPr>
          <w:b/>
          <w:bCs/>
        </w:rPr>
        <w:t xml:space="preserve">Energetyka </w:t>
      </w:r>
    </w:p>
    <w:p w14:paraId="21822559" w14:textId="68948885" w:rsidR="006E4865" w:rsidRDefault="004766AA" w:rsidP="004766AA">
      <w:pPr>
        <w:pStyle w:val="Akapitzlist"/>
        <w:ind w:left="425"/>
        <w:contextualSpacing w:val="0"/>
      </w:pPr>
      <w:r>
        <w:t xml:space="preserve">Adaptacja w sektorze energetycznym dotyczy w największym stopniu infrastruktury przesyłu i dystrybucji energii, szczególnie narażonej na ekstremalne zjawiska pogodowe. Z tego względu oprócz wdrażania standardów wspierających odporność infrastruktury liniowej, szczególnie ważne jest kablowanie sieci średnich napięć na obszarach leśnych, jak również instalowanie urządzeń wspierających identyfikację awarii. </w:t>
      </w:r>
      <w:r w:rsidR="00546256" w:rsidRPr="00546256">
        <w:t>Adaptacji do zmian klimatu sprzyja także rozwijanie energetyki rozproszonej, dzięki czemu produkcja i dostawy energii mogą odbywać się w niewielkiej odległości, a przy tym pochodzą z lokalnych zeroemisyjnych źródeł</w:t>
      </w:r>
      <w:r w:rsidR="00546256">
        <w:t>. W</w:t>
      </w:r>
      <w:r w:rsidR="00546256" w:rsidRPr="00546256">
        <w:t xml:space="preserve">ymaga </w:t>
      </w:r>
      <w:r w:rsidR="00546256">
        <w:t>to dodatkowo rozwoju</w:t>
      </w:r>
      <w:r w:rsidR="00546256" w:rsidRPr="00546256">
        <w:t xml:space="preserve"> zarządzania pracą systemu na poziomie lokalnym, ponieważ obecne wyspow</w:t>
      </w:r>
      <w:r w:rsidR="00546256">
        <w:t>a praca sieci jest utrudniona</w:t>
      </w:r>
      <w:r w:rsidR="006C3D0A">
        <w:t xml:space="preserve">. </w:t>
      </w:r>
      <w:r>
        <w:t>Istotne jest również magazynowanie energii, rozwój narzędzi zarządzania popytem oraz dodatkowych źródeł energii (w tym nie-bezemisyjnych), które pozwolą na ciągłość dostaw przy niesprzyjającej pogodzie oraz w sytuacji zwiększonego zapotrzebowania na energię. W ciepłownictwie systemowym obok rozwoju zeroemisyjnych źródeł, pozytywnym działaniem jest dostosowywanie istniejących i budowa nowych sieci w systemie niskotemperaturowym.</w:t>
      </w:r>
    </w:p>
    <w:p w14:paraId="0022E5BA" w14:textId="77777777" w:rsidR="006B025B" w:rsidRDefault="006B025B" w:rsidP="00E03647">
      <w:pPr>
        <w:pStyle w:val="Polityka"/>
      </w:pPr>
      <w:r>
        <w:br w:type="page"/>
      </w:r>
    </w:p>
    <w:p w14:paraId="0EF2C393" w14:textId="77777777" w:rsidR="00B64F0D" w:rsidRPr="00C46DAA" w:rsidRDefault="00B64F0D" w:rsidP="00E03647">
      <w:pPr>
        <w:pStyle w:val="Polityka"/>
      </w:pPr>
      <w:bookmarkStart w:id="113" w:name="_Hlk173754743"/>
      <w:r w:rsidRPr="00E03647">
        <w:lastRenderedPageBreak/>
        <w:t>DZIAŁANIA</w:t>
      </w:r>
    </w:p>
    <w:bookmarkEnd w:id="113"/>
    <w:p w14:paraId="300AA42E" w14:textId="2FAA6DA5" w:rsidR="00ED29AC" w:rsidRDefault="00ED29AC" w:rsidP="008340D5">
      <w:pPr>
        <w:pStyle w:val="Akapitzlist"/>
        <w:numPr>
          <w:ilvl w:val="0"/>
          <w:numId w:val="6"/>
        </w:numPr>
        <w:rPr>
          <w:szCs w:val="20"/>
        </w:rPr>
      </w:pPr>
      <w:r>
        <w:rPr>
          <w:szCs w:val="20"/>
        </w:rPr>
        <w:fldChar w:fldCharType="begin"/>
      </w:r>
      <w:r>
        <w:rPr>
          <w:szCs w:val="20"/>
        </w:rPr>
        <w:instrText xml:space="preserve"> REF _Ref157420357 \h </w:instrText>
      </w:r>
      <w:r>
        <w:rPr>
          <w:szCs w:val="20"/>
        </w:rPr>
      </w:r>
      <w:r>
        <w:rPr>
          <w:szCs w:val="20"/>
        </w:rPr>
        <w:fldChar w:fldCharType="separate"/>
      </w:r>
      <w:r w:rsidR="00DD3929" w:rsidRPr="00F12C9E">
        <w:t xml:space="preserve">Działanie </w:t>
      </w:r>
      <w:r w:rsidR="00DD3929">
        <w:rPr>
          <w:noProof/>
        </w:rPr>
        <w:t>16</w:t>
      </w:r>
      <w:r w:rsidR="00DD3929" w:rsidRPr="00F12C9E">
        <w:t>. Instrument finansowy – Program Priorytetowy NFOŚiGW – „Agroenergia</w:t>
      </w:r>
      <w:r w:rsidR="00DD3929">
        <w:t>”</w:t>
      </w:r>
      <w:r w:rsidR="00DD3929" w:rsidRPr="00F12C9E">
        <w:t>.</w:t>
      </w:r>
      <w:r>
        <w:rPr>
          <w:szCs w:val="20"/>
        </w:rPr>
        <w:fldChar w:fldCharType="end"/>
      </w:r>
    </w:p>
    <w:p w14:paraId="0222F5D1" w14:textId="07AD1045" w:rsidR="00ED29AC" w:rsidRDefault="00ED29AC" w:rsidP="008340D5">
      <w:pPr>
        <w:pStyle w:val="Akapitzlist"/>
        <w:numPr>
          <w:ilvl w:val="0"/>
          <w:numId w:val="6"/>
        </w:numPr>
        <w:rPr>
          <w:szCs w:val="20"/>
        </w:rPr>
      </w:pPr>
      <w:r>
        <w:rPr>
          <w:szCs w:val="20"/>
        </w:rPr>
        <w:fldChar w:fldCharType="begin"/>
      </w:r>
      <w:r>
        <w:rPr>
          <w:szCs w:val="20"/>
        </w:rPr>
        <w:instrText xml:space="preserve"> REF _Ref157420961 \h </w:instrText>
      </w:r>
      <w:r>
        <w:rPr>
          <w:szCs w:val="20"/>
        </w:rPr>
      </w:r>
      <w:r>
        <w:rPr>
          <w:szCs w:val="20"/>
        </w:rPr>
        <w:fldChar w:fldCharType="separate"/>
      </w:r>
      <w:r w:rsidR="00DD3929" w:rsidRPr="00F12C9E">
        <w:t xml:space="preserve">Działanie </w:t>
      </w:r>
      <w:r w:rsidR="00DD3929">
        <w:rPr>
          <w:noProof/>
        </w:rPr>
        <w:t>17</w:t>
      </w:r>
      <w:r w:rsidR="00DD3929" w:rsidRPr="00F12C9E">
        <w:t>. Instrument finansowy – inne programy NFOŚiGW wspierające rozwój OZE.</w:t>
      </w:r>
      <w:r>
        <w:rPr>
          <w:szCs w:val="20"/>
        </w:rPr>
        <w:fldChar w:fldCharType="end"/>
      </w:r>
    </w:p>
    <w:p w14:paraId="44EEEF49" w14:textId="7D7515BB" w:rsidR="00ED29AC" w:rsidRDefault="00ED29AC" w:rsidP="008340D5">
      <w:pPr>
        <w:pStyle w:val="Akapitzlist"/>
        <w:numPr>
          <w:ilvl w:val="0"/>
          <w:numId w:val="6"/>
        </w:numPr>
        <w:rPr>
          <w:szCs w:val="20"/>
        </w:rPr>
      </w:pPr>
      <w:r>
        <w:rPr>
          <w:szCs w:val="20"/>
        </w:rPr>
        <w:fldChar w:fldCharType="begin"/>
      </w:r>
      <w:r>
        <w:rPr>
          <w:szCs w:val="20"/>
        </w:rPr>
        <w:instrText xml:space="preserve"> REF _Ref157421165 \h </w:instrText>
      </w:r>
      <w:r>
        <w:rPr>
          <w:szCs w:val="20"/>
        </w:rPr>
      </w:r>
      <w:r>
        <w:rPr>
          <w:szCs w:val="20"/>
        </w:rPr>
        <w:fldChar w:fldCharType="separate"/>
      </w:r>
      <w:r w:rsidR="00DD3929" w:rsidRPr="00F12C9E">
        <w:t xml:space="preserve">Działanie </w:t>
      </w:r>
      <w:r w:rsidR="00DD3929">
        <w:rPr>
          <w:noProof/>
        </w:rPr>
        <w:t>18</w:t>
      </w:r>
      <w:r w:rsidR="00DD3929" w:rsidRPr="00F12C9E">
        <w:t xml:space="preserve">. Instrument finansowy – </w:t>
      </w:r>
      <w:r w:rsidR="00DD3929">
        <w:t>i</w:t>
      </w:r>
      <w:r w:rsidR="00DD3929" w:rsidRPr="00F12C9E">
        <w:t>nne instrumenty wspierające rozwój OZE.</w:t>
      </w:r>
      <w:r>
        <w:rPr>
          <w:szCs w:val="20"/>
        </w:rPr>
        <w:fldChar w:fldCharType="end"/>
      </w:r>
    </w:p>
    <w:p w14:paraId="3EB01239" w14:textId="5A091F0F" w:rsidR="00D37318" w:rsidRDefault="00D37318" w:rsidP="008340D5">
      <w:pPr>
        <w:pStyle w:val="Akapitzlist"/>
        <w:numPr>
          <w:ilvl w:val="0"/>
          <w:numId w:val="6"/>
        </w:numPr>
        <w:rPr>
          <w:szCs w:val="20"/>
        </w:rPr>
      </w:pPr>
      <w:r>
        <w:rPr>
          <w:szCs w:val="20"/>
        </w:rPr>
        <w:fldChar w:fldCharType="begin"/>
      </w:r>
      <w:r>
        <w:rPr>
          <w:szCs w:val="20"/>
        </w:rPr>
        <w:instrText xml:space="preserve"> REF _Ref172030488 \h </w:instrText>
      </w:r>
      <w:r>
        <w:rPr>
          <w:szCs w:val="20"/>
        </w:rPr>
      </w:r>
      <w:r>
        <w:rPr>
          <w:szCs w:val="20"/>
        </w:rPr>
        <w:fldChar w:fldCharType="separate"/>
      </w:r>
      <w:r w:rsidR="00DD3929" w:rsidRPr="00AC0694">
        <w:t xml:space="preserve">Działanie </w:t>
      </w:r>
      <w:r w:rsidR="00DD3929">
        <w:rPr>
          <w:noProof/>
        </w:rPr>
        <w:t>87</w:t>
      </w:r>
      <w:r w:rsidR="00DD3929" w:rsidRPr="00AC0694">
        <w:t xml:space="preserve">. </w:t>
      </w:r>
      <w:r w:rsidR="00DD3929" w:rsidRPr="00CE5AEF">
        <w:t>Przeciwdziałanie</w:t>
      </w:r>
      <w:r w:rsidR="00DD3929" w:rsidRPr="00AC0694">
        <w:t xml:space="preserve"> zamieraniu lasów.</w:t>
      </w:r>
      <w:r>
        <w:rPr>
          <w:szCs w:val="20"/>
        </w:rPr>
        <w:fldChar w:fldCharType="end"/>
      </w:r>
    </w:p>
    <w:p w14:paraId="1FA86DB5" w14:textId="0416225E" w:rsidR="00B6703C" w:rsidRDefault="00B6703C" w:rsidP="008340D5">
      <w:pPr>
        <w:pStyle w:val="Akapitzlist"/>
        <w:numPr>
          <w:ilvl w:val="0"/>
          <w:numId w:val="6"/>
        </w:numPr>
        <w:rPr>
          <w:szCs w:val="20"/>
        </w:rPr>
      </w:pPr>
      <w:r>
        <w:rPr>
          <w:szCs w:val="20"/>
        </w:rPr>
        <w:fldChar w:fldCharType="begin"/>
      </w:r>
      <w:r>
        <w:rPr>
          <w:szCs w:val="20"/>
        </w:rPr>
        <w:instrText xml:space="preserve"> REF _Ref159930533 \h </w:instrText>
      </w:r>
      <w:r>
        <w:rPr>
          <w:szCs w:val="20"/>
        </w:rPr>
      </w:r>
      <w:r>
        <w:rPr>
          <w:szCs w:val="20"/>
        </w:rPr>
        <w:fldChar w:fldCharType="separate"/>
      </w:r>
      <w:r w:rsidR="00DD3929" w:rsidRPr="00D9493F">
        <w:t xml:space="preserve">Działanie </w:t>
      </w:r>
      <w:r w:rsidR="00DD3929">
        <w:rPr>
          <w:noProof/>
        </w:rPr>
        <w:t>55</w:t>
      </w:r>
      <w:r w:rsidR="00DD3929" w:rsidRPr="00D9493F">
        <w:t>.</w:t>
      </w:r>
      <w:r w:rsidR="00DD3929">
        <w:t xml:space="preserve"> Stosowanie w</w:t>
      </w:r>
      <w:r w:rsidR="00DD3929" w:rsidRPr="00D9493F">
        <w:t>arunkowoś</w:t>
      </w:r>
      <w:r w:rsidR="00DD3929">
        <w:t>ci</w:t>
      </w:r>
      <w:r w:rsidR="00DD3929" w:rsidRPr="00D9493F">
        <w:t xml:space="preserve"> (środowiskow</w:t>
      </w:r>
      <w:r w:rsidR="00DD3929">
        <w:t>ej</w:t>
      </w:r>
      <w:r w:rsidR="00DD3929" w:rsidRPr="00D9493F">
        <w:t>) w ramach WPR</w:t>
      </w:r>
      <w:r w:rsidR="00DD3929">
        <w:t>.</w:t>
      </w:r>
      <w:r>
        <w:rPr>
          <w:szCs w:val="20"/>
        </w:rPr>
        <w:fldChar w:fldCharType="end"/>
      </w:r>
    </w:p>
    <w:p w14:paraId="6752C281" w14:textId="30F638DA" w:rsidR="00B6703C" w:rsidRDefault="00B6703C" w:rsidP="008340D5">
      <w:pPr>
        <w:pStyle w:val="Akapitzlist"/>
        <w:numPr>
          <w:ilvl w:val="0"/>
          <w:numId w:val="6"/>
        </w:numPr>
        <w:rPr>
          <w:szCs w:val="20"/>
        </w:rPr>
      </w:pPr>
      <w:r>
        <w:rPr>
          <w:szCs w:val="20"/>
        </w:rPr>
        <w:fldChar w:fldCharType="begin"/>
      </w:r>
      <w:r>
        <w:rPr>
          <w:szCs w:val="20"/>
        </w:rPr>
        <w:instrText xml:space="preserve"> REF _Ref159930536 \h </w:instrText>
      </w:r>
      <w:r>
        <w:rPr>
          <w:szCs w:val="20"/>
        </w:rPr>
      </w:r>
      <w:r>
        <w:rPr>
          <w:szCs w:val="20"/>
        </w:rPr>
        <w:fldChar w:fldCharType="separate"/>
      </w:r>
      <w:r w:rsidR="00DD3929" w:rsidRPr="00D9493F">
        <w:t xml:space="preserve">Działanie </w:t>
      </w:r>
      <w:r w:rsidR="00DD3929">
        <w:rPr>
          <w:noProof/>
        </w:rPr>
        <w:t>56</w:t>
      </w:r>
      <w:r w:rsidR="00DD3929" w:rsidRPr="00D9493F">
        <w:t>.</w:t>
      </w:r>
      <w:r w:rsidR="00DD3929">
        <w:t xml:space="preserve"> Stosowanie e</w:t>
      </w:r>
      <w:r w:rsidR="00DD3929" w:rsidRPr="00D9493F">
        <w:t>koschemat</w:t>
      </w:r>
      <w:r w:rsidR="00DD3929">
        <w:t>ów</w:t>
      </w:r>
      <w:r w:rsidR="00DD3929" w:rsidRPr="00D9493F">
        <w:t xml:space="preserve"> w ramach WPR</w:t>
      </w:r>
      <w:r w:rsidR="00DD3929">
        <w:t>.</w:t>
      </w:r>
      <w:r>
        <w:rPr>
          <w:szCs w:val="20"/>
        </w:rPr>
        <w:fldChar w:fldCharType="end"/>
      </w:r>
    </w:p>
    <w:p w14:paraId="2B6C8577" w14:textId="6F136A1C" w:rsidR="00B6703C" w:rsidRDefault="00B6703C" w:rsidP="008340D5">
      <w:pPr>
        <w:pStyle w:val="Akapitzlist"/>
        <w:numPr>
          <w:ilvl w:val="0"/>
          <w:numId w:val="6"/>
        </w:numPr>
        <w:rPr>
          <w:szCs w:val="20"/>
        </w:rPr>
      </w:pPr>
      <w:r>
        <w:rPr>
          <w:szCs w:val="20"/>
        </w:rPr>
        <w:fldChar w:fldCharType="begin"/>
      </w:r>
      <w:r>
        <w:rPr>
          <w:szCs w:val="20"/>
        </w:rPr>
        <w:instrText xml:space="preserve"> REF _Ref159930539 \h </w:instrText>
      </w:r>
      <w:r>
        <w:rPr>
          <w:szCs w:val="20"/>
        </w:rPr>
      </w:r>
      <w:r>
        <w:rPr>
          <w:szCs w:val="20"/>
        </w:rPr>
        <w:fldChar w:fldCharType="separate"/>
      </w:r>
      <w:r w:rsidR="00DD3929" w:rsidRPr="00D9493F">
        <w:t xml:space="preserve">Działanie </w:t>
      </w:r>
      <w:r w:rsidR="00DD3929">
        <w:rPr>
          <w:noProof/>
        </w:rPr>
        <w:t>57</w:t>
      </w:r>
      <w:r w:rsidR="00DD3929" w:rsidRPr="00D9493F">
        <w:t>.</w:t>
      </w:r>
      <w:r w:rsidR="00DD3929">
        <w:rPr>
          <w:i/>
          <w:iCs/>
        </w:rPr>
        <w:t xml:space="preserve"> </w:t>
      </w:r>
      <w:r w:rsidR="00DD3929">
        <w:t>D</w:t>
      </w:r>
      <w:r w:rsidR="00DD3929" w:rsidRPr="00D9493F">
        <w:t>ziałania rolno</w:t>
      </w:r>
      <w:r w:rsidR="00DD3929">
        <w:t>-</w:t>
      </w:r>
      <w:r w:rsidR="00DD3929" w:rsidRPr="00D9493F">
        <w:t>środowiskowo-klimatyczne w ramach WPR</w:t>
      </w:r>
      <w:r w:rsidR="00DD3929">
        <w:rPr>
          <w:i/>
          <w:iCs/>
        </w:rPr>
        <w:t>.</w:t>
      </w:r>
      <w:r>
        <w:rPr>
          <w:szCs w:val="20"/>
        </w:rPr>
        <w:fldChar w:fldCharType="end"/>
      </w:r>
    </w:p>
    <w:p w14:paraId="4F3C49E4" w14:textId="272EE18D" w:rsidR="00B6703C" w:rsidRDefault="00B6703C" w:rsidP="008340D5">
      <w:pPr>
        <w:pStyle w:val="Akapitzlist"/>
        <w:numPr>
          <w:ilvl w:val="0"/>
          <w:numId w:val="6"/>
        </w:numPr>
        <w:rPr>
          <w:szCs w:val="20"/>
        </w:rPr>
      </w:pPr>
      <w:r>
        <w:rPr>
          <w:szCs w:val="20"/>
        </w:rPr>
        <w:fldChar w:fldCharType="begin"/>
      </w:r>
      <w:r>
        <w:rPr>
          <w:szCs w:val="20"/>
        </w:rPr>
        <w:instrText xml:space="preserve"> REF _Ref159930546 \h </w:instrText>
      </w:r>
      <w:r>
        <w:rPr>
          <w:szCs w:val="20"/>
        </w:rPr>
      </w:r>
      <w:r>
        <w:rPr>
          <w:szCs w:val="20"/>
        </w:rPr>
        <w:fldChar w:fldCharType="separate"/>
      </w:r>
      <w:r w:rsidR="00DD3929" w:rsidRPr="00D9493F">
        <w:t xml:space="preserve">Działanie </w:t>
      </w:r>
      <w:r w:rsidR="00DD3929">
        <w:rPr>
          <w:noProof/>
        </w:rPr>
        <w:t>58</w:t>
      </w:r>
      <w:r w:rsidR="00DD3929" w:rsidRPr="00D9493F">
        <w:t>. Wsparcie w zakresie rolnictwa ekologicznego w ramach WPR</w:t>
      </w:r>
      <w:r w:rsidR="00DD3929">
        <w:rPr>
          <w:i/>
          <w:iCs/>
        </w:rPr>
        <w:t>.</w:t>
      </w:r>
      <w:r>
        <w:rPr>
          <w:szCs w:val="20"/>
        </w:rPr>
        <w:fldChar w:fldCharType="end"/>
      </w:r>
    </w:p>
    <w:p w14:paraId="45886D58" w14:textId="2F571F22" w:rsidR="00B6703C" w:rsidRDefault="00B6703C" w:rsidP="008340D5">
      <w:pPr>
        <w:pStyle w:val="Akapitzlist"/>
        <w:numPr>
          <w:ilvl w:val="0"/>
          <w:numId w:val="6"/>
        </w:numPr>
        <w:rPr>
          <w:szCs w:val="20"/>
        </w:rPr>
      </w:pPr>
      <w:r>
        <w:rPr>
          <w:szCs w:val="20"/>
        </w:rPr>
        <w:fldChar w:fldCharType="begin"/>
      </w:r>
      <w:r>
        <w:rPr>
          <w:szCs w:val="20"/>
        </w:rPr>
        <w:instrText xml:space="preserve"> REF _Ref159930549 \h </w:instrText>
      </w:r>
      <w:r>
        <w:rPr>
          <w:szCs w:val="20"/>
        </w:rPr>
      </w:r>
      <w:r>
        <w:rPr>
          <w:szCs w:val="20"/>
        </w:rPr>
        <w:fldChar w:fldCharType="separate"/>
      </w:r>
      <w:r w:rsidR="00DD3929" w:rsidRPr="00D9493F">
        <w:t xml:space="preserve">Działanie </w:t>
      </w:r>
      <w:r w:rsidR="00DD3929">
        <w:rPr>
          <w:noProof/>
        </w:rPr>
        <w:t>59</w:t>
      </w:r>
      <w:r w:rsidR="00DD3929" w:rsidRPr="00D9493F">
        <w:t>. Interwencje leśne i zadrzewieniowe w ramach WPR.</w:t>
      </w:r>
      <w:r>
        <w:rPr>
          <w:szCs w:val="20"/>
        </w:rPr>
        <w:fldChar w:fldCharType="end"/>
      </w:r>
    </w:p>
    <w:p w14:paraId="1214FD97" w14:textId="1A1CC420" w:rsidR="00784260" w:rsidRDefault="00784260" w:rsidP="00784260">
      <w:pPr>
        <w:pStyle w:val="Akapitzlist"/>
        <w:numPr>
          <w:ilvl w:val="0"/>
          <w:numId w:val="6"/>
        </w:numPr>
        <w:rPr>
          <w:szCs w:val="20"/>
        </w:rPr>
      </w:pPr>
      <w:r>
        <w:rPr>
          <w:szCs w:val="20"/>
        </w:rPr>
        <w:fldChar w:fldCharType="begin"/>
      </w:r>
      <w:r>
        <w:rPr>
          <w:szCs w:val="20"/>
        </w:rPr>
        <w:instrText xml:space="preserve"> REF _Ref174025161 \h </w:instrText>
      </w:r>
      <w:r>
        <w:rPr>
          <w:szCs w:val="20"/>
        </w:rPr>
      </w:r>
      <w:r>
        <w:rPr>
          <w:szCs w:val="20"/>
        </w:rPr>
        <w:fldChar w:fldCharType="separate"/>
      </w:r>
      <w:r w:rsidR="00DD3929">
        <w:t xml:space="preserve">Działanie </w:t>
      </w:r>
      <w:r w:rsidR="00DD3929">
        <w:rPr>
          <w:noProof/>
        </w:rPr>
        <w:t>61</w:t>
      </w:r>
      <w:r w:rsidR="00DD3929">
        <w:t>. Ws</w:t>
      </w:r>
      <w:r w:rsidR="00DD3929" w:rsidRPr="00FB697D">
        <w:t>pieranie działań zastosowania ekologicznych źródeł energii i poprawy efektywności energetycznej w gospodarstwach rolnych</w:t>
      </w:r>
      <w:r w:rsidR="00DD3929">
        <w:t xml:space="preserve"> w ramach WPR.</w:t>
      </w:r>
      <w:r>
        <w:rPr>
          <w:szCs w:val="20"/>
        </w:rPr>
        <w:fldChar w:fldCharType="end"/>
      </w:r>
    </w:p>
    <w:p w14:paraId="38000380" w14:textId="28AC6026" w:rsidR="00784260" w:rsidRDefault="00784260" w:rsidP="00784260">
      <w:pPr>
        <w:pStyle w:val="Akapitzlist"/>
        <w:numPr>
          <w:ilvl w:val="0"/>
          <w:numId w:val="6"/>
        </w:numPr>
        <w:rPr>
          <w:szCs w:val="20"/>
        </w:rPr>
      </w:pPr>
      <w:r>
        <w:rPr>
          <w:szCs w:val="20"/>
        </w:rPr>
        <w:fldChar w:fldCharType="begin"/>
      </w:r>
      <w:r>
        <w:rPr>
          <w:szCs w:val="20"/>
        </w:rPr>
        <w:instrText xml:space="preserve"> REF _Ref174025161 \h </w:instrText>
      </w:r>
      <w:r>
        <w:rPr>
          <w:szCs w:val="20"/>
        </w:rPr>
      </w:r>
      <w:r>
        <w:rPr>
          <w:szCs w:val="20"/>
        </w:rPr>
        <w:fldChar w:fldCharType="separate"/>
      </w:r>
      <w:r w:rsidR="00DD3929">
        <w:t xml:space="preserve">Działanie </w:t>
      </w:r>
      <w:r w:rsidR="00DD3929">
        <w:rPr>
          <w:noProof/>
        </w:rPr>
        <w:t>61</w:t>
      </w:r>
      <w:r w:rsidR="00DD3929">
        <w:t>. Ws</w:t>
      </w:r>
      <w:r w:rsidR="00DD3929" w:rsidRPr="00FB697D">
        <w:t>pieranie działań zastosowania ekologicznych źródeł energii i poprawy efektywności energetycznej w gospodarstwach rolnych</w:t>
      </w:r>
      <w:r w:rsidR="00DD3929">
        <w:t xml:space="preserve"> w ramach WPR.</w:t>
      </w:r>
      <w:r>
        <w:rPr>
          <w:szCs w:val="20"/>
        </w:rPr>
        <w:fldChar w:fldCharType="end"/>
      </w:r>
      <w:r w:rsidR="00D37318">
        <w:rPr>
          <w:szCs w:val="20"/>
        </w:rPr>
        <w:t xml:space="preserve"> </w:t>
      </w:r>
    </w:p>
    <w:p w14:paraId="2718A6C4" w14:textId="5A8F1FEB" w:rsidR="00B6703C" w:rsidRPr="00784260" w:rsidRDefault="00B6703C" w:rsidP="00784260">
      <w:pPr>
        <w:pStyle w:val="Akapitzlist"/>
        <w:numPr>
          <w:ilvl w:val="0"/>
          <w:numId w:val="6"/>
        </w:numPr>
      </w:pPr>
      <w:r w:rsidRPr="00784260">
        <w:fldChar w:fldCharType="begin"/>
      </w:r>
      <w:r w:rsidRPr="00784260">
        <w:instrText xml:space="preserve"> REF _Ref157429300 \h </w:instrText>
      </w:r>
      <w:r w:rsidR="00784260">
        <w:instrText xml:space="preserve"> \* MERGEFORMAT </w:instrText>
      </w:r>
      <w:r w:rsidRPr="00784260">
        <w:fldChar w:fldCharType="separate"/>
      </w:r>
      <w:r w:rsidR="00DD3929" w:rsidRPr="00F12C9E">
        <w:t xml:space="preserve">Działanie </w:t>
      </w:r>
      <w:r w:rsidR="00DD3929">
        <w:t>63</w:t>
      </w:r>
      <w:r w:rsidR="00DD3929" w:rsidRPr="00F12C9E">
        <w:t>. Działania w zakresie racjonalna gospodarka gruntami rolnymi i leśnymi.</w:t>
      </w:r>
      <w:r w:rsidRPr="00784260">
        <w:fldChar w:fldCharType="end"/>
      </w:r>
    </w:p>
    <w:p w14:paraId="607C357F" w14:textId="249D42A7" w:rsidR="003C623C" w:rsidRPr="00E92903" w:rsidRDefault="003C623C" w:rsidP="003C623C">
      <w:pPr>
        <w:pStyle w:val="Akapitzlist"/>
        <w:numPr>
          <w:ilvl w:val="0"/>
          <w:numId w:val="6"/>
        </w:numPr>
        <w:rPr>
          <w:szCs w:val="20"/>
        </w:rPr>
      </w:pPr>
      <w:r>
        <w:rPr>
          <w:szCs w:val="20"/>
        </w:rPr>
        <w:fldChar w:fldCharType="begin"/>
      </w:r>
      <w:r>
        <w:rPr>
          <w:szCs w:val="20"/>
        </w:rPr>
        <w:instrText xml:space="preserve"> REF _Ref174025161 </w:instrText>
      </w:r>
      <w:r>
        <w:rPr>
          <w:szCs w:val="20"/>
        </w:rPr>
        <w:fldChar w:fldCharType="separate"/>
      </w:r>
      <w:r w:rsidR="00DD3929">
        <w:t xml:space="preserve">Działanie </w:t>
      </w:r>
      <w:r w:rsidR="00DD3929">
        <w:rPr>
          <w:noProof/>
        </w:rPr>
        <w:t>61</w:t>
      </w:r>
      <w:r w:rsidR="00DD3929">
        <w:t>. Ws</w:t>
      </w:r>
      <w:r w:rsidR="00DD3929" w:rsidRPr="00FB697D">
        <w:t>pieranie działań zastosowania ekologicznych źródeł energii i poprawy efektywności energetycznej w gospodarstwach rolnych</w:t>
      </w:r>
      <w:r w:rsidR="00DD3929">
        <w:t xml:space="preserve"> w ramach WPR.</w:t>
      </w:r>
      <w:r>
        <w:rPr>
          <w:szCs w:val="20"/>
        </w:rPr>
        <w:fldChar w:fldCharType="end"/>
      </w:r>
    </w:p>
    <w:p w14:paraId="64B02230" w14:textId="0A400CE7" w:rsidR="00D37318" w:rsidRDefault="00D37318" w:rsidP="008340D5">
      <w:pPr>
        <w:pStyle w:val="Akapitzlist"/>
        <w:numPr>
          <w:ilvl w:val="0"/>
          <w:numId w:val="6"/>
        </w:numPr>
        <w:rPr>
          <w:szCs w:val="20"/>
        </w:rPr>
      </w:pPr>
      <w:r>
        <w:rPr>
          <w:szCs w:val="20"/>
        </w:rPr>
        <w:fldChar w:fldCharType="begin"/>
      </w:r>
      <w:r>
        <w:rPr>
          <w:szCs w:val="20"/>
        </w:rPr>
        <w:instrText xml:space="preserve"> REF _Ref172030488 \h </w:instrText>
      </w:r>
      <w:r>
        <w:rPr>
          <w:szCs w:val="20"/>
        </w:rPr>
      </w:r>
      <w:r>
        <w:rPr>
          <w:szCs w:val="20"/>
        </w:rPr>
        <w:fldChar w:fldCharType="separate"/>
      </w:r>
      <w:r w:rsidR="00DD3929" w:rsidRPr="00AC0694">
        <w:t xml:space="preserve">Działanie </w:t>
      </w:r>
      <w:r w:rsidR="00DD3929">
        <w:rPr>
          <w:noProof/>
        </w:rPr>
        <w:t>87</w:t>
      </w:r>
      <w:r w:rsidR="00DD3929" w:rsidRPr="00AC0694">
        <w:t xml:space="preserve">. </w:t>
      </w:r>
      <w:r w:rsidR="00DD3929" w:rsidRPr="00CE5AEF">
        <w:t>Przeciwdziałanie</w:t>
      </w:r>
      <w:r w:rsidR="00DD3929" w:rsidRPr="00AC0694">
        <w:t xml:space="preserve"> zamieraniu lasów.</w:t>
      </w:r>
      <w:r>
        <w:rPr>
          <w:szCs w:val="20"/>
        </w:rPr>
        <w:fldChar w:fldCharType="end"/>
      </w:r>
    </w:p>
    <w:p w14:paraId="56740017" w14:textId="0EA39E2F" w:rsidR="00B6703C" w:rsidRDefault="00B6703C" w:rsidP="008340D5">
      <w:pPr>
        <w:pStyle w:val="Akapitzlist"/>
        <w:numPr>
          <w:ilvl w:val="0"/>
          <w:numId w:val="6"/>
        </w:numPr>
        <w:rPr>
          <w:szCs w:val="20"/>
        </w:rPr>
      </w:pPr>
      <w:r>
        <w:rPr>
          <w:szCs w:val="20"/>
        </w:rPr>
        <w:fldChar w:fldCharType="begin"/>
      </w:r>
      <w:r>
        <w:rPr>
          <w:szCs w:val="20"/>
        </w:rPr>
        <w:instrText xml:space="preserve"> REF _Ref159358637 \h </w:instrText>
      </w:r>
      <w:r>
        <w:rPr>
          <w:szCs w:val="20"/>
        </w:rPr>
      </w:r>
      <w:r>
        <w:rPr>
          <w:szCs w:val="20"/>
        </w:rPr>
        <w:fldChar w:fldCharType="separate"/>
      </w:r>
      <w:r w:rsidR="00DD3929" w:rsidRPr="00CE5AEF">
        <w:t xml:space="preserve">Działanie </w:t>
      </w:r>
      <w:r w:rsidR="00DD3929">
        <w:rPr>
          <w:noProof/>
        </w:rPr>
        <w:t>88</w:t>
      </w:r>
      <w:r w:rsidR="00DD3929" w:rsidRPr="00CE5AEF">
        <w:t>. Określenie kierunkowych zadań z zakresu ochrony lasu, w tym ochrony przeciwpożarowej</w:t>
      </w:r>
      <w:r w:rsidR="00DD3929">
        <w:t xml:space="preserve"> dla nadleśnictw</w:t>
      </w:r>
      <w:r w:rsidR="00DD3929" w:rsidRPr="00CE5AEF">
        <w:t>.</w:t>
      </w:r>
      <w:r>
        <w:rPr>
          <w:szCs w:val="20"/>
        </w:rPr>
        <w:fldChar w:fldCharType="end"/>
      </w:r>
    </w:p>
    <w:p w14:paraId="5F2D085B" w14:textId="167916EB" w:rsidR="00B6703C" w:rsidRDefault="00B6703C" w:rsidP="008340D5">
      <w:pPr>
        <w:pStyle w:val="Akapitzlist"/>
        <w:numPr>
          <w:ilvl w:val="0"/>
          <w:numId w:val="6"/>
        </w:numPr>
        <w:rPr>
          <w:szCs w:val="20"/>
        </w:rPr>
      </w:pPr>
      <w:r>
        <w:rPr>
          <w:szCs w:val="20"/>
        </w:rPr>
        <w:fldChar w:fldCharType="begin"/>
      </w:r>
      <w:r>
        <w:rPr>
          <w:szCs w:val="20"/>
        </w:rPr>
        <w:instrText xml:space="preserve"> REF _Ref158811125 \h </w:instrText>
      </w:r>
      <w:r>
        <w:rPr>
          <w:szCs w:val="20"/>
        </w:rPr>
      </w:r>
      <w:r>
        <w:rPr>
          <w:szCs w:val="20"/>
        </w:rPr>
        <w:fldChar w:fldCharType="separate"/>
      </w:r>
      <w:r w:rsidR="00DD3929" w:rsidRPr="00AC0694">
        <w:t xml:space="preserve">Działanie </w:t>
      </w:r>
      <w:r w:rsidR="00DD3929">
        <w:rPr>
          <w:noProof/>
        </w:rPr>
        <w:t>90</w:t>
      </w:r>
      <w:r w:rsidR="00DD3929" w:rsidRPr="00AC0694">
        <w:t xml:space="preserve">. </w:t>
      </w:r>
      <w:r w:rsidR="00DD3929">
        <w:t>Rozwój małej retencji wodnej</w:t>
      </w:r>
      <w:r w:rsidR="00DD3929" w:rsidRPr="00AC0694">
        <w:t>.</w:t>
      </w:r>
      <w:r>
        <w:rPr>
          <w:szCs w:val="20"/>
        </w:rPr>
        <w:fldChar w:fldCharType="end"/>
      </w:r>
    </w:p>
    <w:p w14:paraId="1B845313" w14:textId="7E851BCB" w:rsidR="00D37318" w:rsidRDefault="00D37318" w:rsidP="00D37318">
      <w:pPr>
        <w:pStyle w:val="Akapitzlist"/>
        <w:numPr>
          <w:ilvl w:val="0"/>
          <w:numId w:val="6"/>
        </w:numPr>
        <w:rPr>
          <w:szCs w:val="20"/>
        </w:rPr>
      </w:pPr>
      <w:r>
        <w:rPr>
          <w:szCs w:val="20"/>
        </w:rPr>
        <w:fldChar w:fldCharType="begin"/>
      </w:r>
      <w:r>
        <w:rPr>
          <w:szCs w:val="20"/>
        </w:rPr>
        <w:instrText xml:space="preserve"> REF _Ref157430560 \h </w:instrText>
      </w:r>
      <w:r>
        <w:rPr>
          <w:szCs w:val="20"/>
        </w:rPr>
      </w:r>
      <w:r>
        <w:rPr>
          <w:szCs w:val="20"/>
        </w:rPr>
        <w:fldChar w:fldCharType="separate"/>
      </w:r>
      <w:r w:rsidR="00DD3929" w:rsidRPr="00F12C9E">
        <w:t xml:space="preserve">Działanie </w:t>
      </w:r>
      <w:r w:rsidR="00DD3929">
        <w:rPr>
          <w:noProof/>
        </w:rPr>
        <w:t>65</w:t>
      </w:r>
      <w:r w:rsidR="00DD3929" w:rsidRPr="00F12C9E">
        <w:t>. Instrument finansowy – Programy NFOŚiGW wspierające adaptację do zmian klimatu.</w:t>
      </w:r>
      <w:r>
        <w:rPr>
          <w:szCs w:val="20"/>
        </w:rPr>
        <w:fldChar w:fldCharType="end"/>
      </w:r>
    </w:p>
    <w:p w14:paraId="326DEE68" w14:textId="246781DF" w:rsidR="00B6703C" w:rsidRDefault="00B6703C" w:rsidP="008340D5">
      <w:pPr>
        <w:pStyle w:val="Akapitzlist"/>
        <w:numPr>
          <w:ilvl w:val="0"/>
          <w:numId w:val="6"/>
        </w:numPr>
        <w:rPr>
          <w:szCs w:val="20"/>
        </w:rPr>
      </w:pPr>
      <w:r>
        <w:rPr>
          <w:szCs w:val="20"/>
        </w:rPr>
        <w:fldChar w:fldCharType="begin"/>
      </w:r>
      <w:r>
        <w:rPr>
          <w:szCs w:val="20"/>
        </w:rPr>
        <w:instrText xml:space="preserve"> REF _Ref157430436 \h </w:instrText>
      </w:r>
      <w:r>
        <w:rPr>
          <w:szCs w:val="20"/>
        </w:rPr>
      </w:r>
      <w:r>
        <w:rPr>
          <w:szCs w:val="20"/>
        </w:rPr>
        <w:fldChar w:fldCharType="separate"/>
      </w:r>
      <w:r w:rsidR="00DD3929" w:rsidRPr="00163CF0">
        <w:t xml:space="preserve">Działanie </w:t>
      </w:r>
      <w:r w:rsidR="00DD3929">
        <w:rPr>
          <w:noProof/>
        </w:rPr>
        <w:t>143</w:t>
      </w:r>
      <w:r w:rsidR="00DD3929" w:rsidRPr="00163CF0">
        <w:t>. Budowanie świadomości – działania związane z adaptacją do zmian klimatu.</w:t>
      </w:r>
      <w:r>
        <w:rPr>
          <w:szCs w:val="20"/>
        </w:rPr>
        <w:fldChar w:fldCharType="end"/>
      </w:r>
    </w:p>
    <w:p w14:paraId="0614F183" w14:textId="77777777" w:rsidR="00DC3D34" w:rsidRDefault="00DC3D34" w:rsidP="00DC3D34"/>
    <w:p w14:paraId="2155F5CE" w14:textId="77777777" w:rsidR="00DC3D34" w:rsidRDefault="00DC3D34" w:rsidP="00DC3D34">
      <w:pPr>
        <w:sectPr w:rsidR="00DC3D34" w:rsidSect="005209BA">
          <w:pgSz w:w="11906" w:h="16838"/>
          <w:pgMar w:top="1417" w:right="1417" w:bottom="1417" w:left="1417" w:header="708" w:footer="708" w:gutter="0"/>
          <w:cols w:space="708"/>
          <w:docGrid w:linePitch="360"/>
        </w:sectPr>
      </w:pPr>
    </w:p>
    <w:p w14:paraId="76177AA3" w14:textId="29ADE2A5" w:rsidR="00691EA7" w:rsidRDefault="002F5F1F" w:rsidP="005A0EA7">
      <w:pPr>
        <w:pStyle w:val="Nagwek2"/>
      </w:pPr>
      <w:bookmarkStart w:id="114" w:name="_Toc159598302"/>
      <w:bookmarkStart w:id="115" w:name="_Toc179536953"/>
      <w:r w:rsidRPr="00694A4E">
        <w:rPr>
          <w:noProof/>
        </w:rPr>
        <w:lastRenderedPageBreak/>
        <w:drawing>
          <wp:anchor distT="0" distB="0" distL="114300" distR="114300" simplePos="0" relativeHeight="251643392" behindDoc="0" locked="0" layoutInCell="1" allowOverlap="1" wp14:anchorId="6EF28F52" wp14:editId="73B17950">
            <wp:simplePos x="0" y="0"/>
            <wp:positionH relativeFrom="margin">
              <wp:align>center</wp:align>
            </wp:positionH>
            <wp:positionV relativeFrom="paragraph">
              <wp:posOffset>-616570</wp:posOffset>
            </wp:positionV>
            <wp:extent cx="6983095" cy="4200525"/>
            <wp:effectExtent l="0" t="0" r="8255" b="9525"/>
            <wp:wrapNone/>
            <wp:docPr id="9" name="Obraz 8" descr="Obraz zawierający roślina, donica, roślina domowa, zioło&#10;&#10;Opis wygenerowany automatycznie">
              <a:extLst xmlns:a="http://schemas.openxmlformats.org/drawingml/2006/main">
                <a:ext uri="{FF2B5EF4-FFF2-40B4-BE49-F238E27FC236}">
                  <a16:creationId xmlns:a16="http://schemas.microsoft.com/office/drawing/2014/main" id="{36223417-3A6E-79A3-E3B0-F15469B9EF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Obraz 8" descr="Obraz zawierający roślina, donica, roślina domowa, zioło&#10;&#10;Opis wygenerowany automatycznie">
                      <a:extLst>
                        <a:ext uri="{FF2B5EF4-FFF2-40B4-BE49-F238E27FC236}">
                          <a16:creationId xmlns:a16="http://schemas.microsoft.com/office/drawing/2014/main" id="{36223417-3A6E-79A3-E3B0-F15469B9EF54}"/>
                        </a:ext>
                      </a:extLst>
                    </pic:cNvPr>
                    <pic:cNvPicPr>
                      <a:picLocks noChangeAspect="1"/>
                    </pic:cNvPicPr>
                  </pic:nvPicPr>
                  <pic:blipFill rotWithShape="1">
                    <a:blip r:embed="rId66" cstate="print">
                      <a:extLst>
                        <a:ext uri="{28A0092B-C50C-407E-A947-70E740481C1C}">
                          <a14:useLocalDpi xmlns:a14="http://schemas.microsoft.com/office/drawing/2010/main" val="0"/>
                        </a:ext>
                      </a:extLst>
                    </a:blip>
                    <a:srcRect/>
                    <a:stretch/>
                  </pic:blipFill>
                  <pic:spPr bwMode="auto">
                    <a:xfrm>
                      <a:off x="0" y="0"/>
                      <a:ext cx="6983095" cy="42005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A0EA7">
        <w:t>Poprawa e</w:t>
      </w:r>
      <w:r w:rsidR="00691EA7">
        <w:t>fektywno</w:t>
      </w:r>
      <w:r w:rsidR="005A0EA7">
        <w:t xml:space="preserve">ści </w:t>
      </w:r>
      <w:r w:rsidR="00691EA7">
        <w:t>energetyc</w:t>
      </w:r>
      <w:r w:rsidR="005A0EA7">
        <w:t>znej</w:t>
      </w:r>
      <w:bookmarkEnd w:id="114"/>
      <w:bookmarkEnd w:id="115"/>
    </w:p>
    <w:p w14:paraId="6C2D9953" w14:textId="7ADDCA7C" w:rsidR="00E23B70" w:rsidRDefault="00E23B70" w:rsidP="007F22F4"/>
    <w:p w14:paraId="783F0275" w14:textId="77777777" w:rsidR="00E23B70" w:rsidRDefault="00E23B70" w:rsidP="007F22F4"/>
    <w:p w14:paraId="69E9057F" w14:textId="77777777" w:rsidR="00E23B70" w:rsidRDefault="00E23B70" w:rsidP="007F22F4"/>
    <w:p w14:paraId="1E907E73" w14:textId="77777777" w:rsidR="00E23B70" w:rsidRDefault="00E23B70" w:rsidP="007F22F4"/>
    <w:p w14:paraId="16DA99EA" w14:textId="70C6CE40" w:rsidR="00E23B70" w:rsidRDefault="00E23B70" w:rsidP="007F22F4"/>
    <w:p w14:paraId="107BC0F4" w14:textId="18F85BD4" w:rsidR="00E23B70" w:rsidRDefault="00E23B70" w:rsidP="007F22F4"/>
    <w:p w14:paraId="588BB4FE" w14:textId="4FAC58D3" w:rsidR="00E23B70" w:rsidRDefault="00E23B70" w:rsidP="007F22F4"/>
    <w:p w14:paraId="69099EDF" w14:textId="77777777" w:rsidR="00E23B70" w:rsidRDefault="00E23B70" w:rsidP="007F22F4"/>
    <w:p w14:paraId="5334FA95" w14:textId="77777777" w:rsidR="00E23B70" w:rsidRDefault="00E23B70" w:rsidP="007F22F4"/>
    <w:p w14:paraId="285E4CEC" w14:textId="128B0CBC" w:rsidR="00E23B70" w:rsidRDefault="00E23B70" w:rsidP="007F22F4"/>
    <w:p w14:paraId="2328376E" w14:textId="00110BC3" w:rsidR="00E23B70" w:rsidRDefault="00E23B70" w:rsidP="007F22F4"/>
    <w:p w14:paraId="04831091" w14:textId="7B743626" w:rsidR="009A2A0C" w:rsidRDefault="009B599C" w:rsidP="007F22F4">
      <w:r>
        <w:rPr>
          <w:noProof/>
        </w:rPr>
        <mc:AlternateContent>
          <mc:Choice Requires="wps">
            <w:drawing>
              <wp:anchor distT="0" distB="0" distL="114300" distR="114300" simplePos="0" relativeHeight="251617280" behindDoc="0" locked="0" layoutInCell="1" allowOverlap="1" wp14:anchorId="1AF90BD6" wp14:editId="10E883C1">
                <wp:simplePos x="0" y="0"/>
                <wp:positionH relativeFrom="margin">
                  <wp:posOffset>-612716</wp:posOffset>
                </wp:positionH>
                <wp:positionV relativeFrom="paragraph">
                  <wp:posOffset>157302</wp:posOffset>
                </wp:positionV>
                <wp:extent cx="6983730" cy="1658679"/>
                <wp:effectExtent l="0" t="0" r="7620" b="0"/>
                <wp:wrapNone/>
                <wp:docPr id="567072533" name="Prostokąt 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983730" cy="1658679"/>
                        </a:xfrm>
                        <a:prstGeom prst="rect">
                          <a:avLst/>
                        </a:prstGeom>
                        <a:solidFill>
                          <a:schemeClr val="accent5">
                            <a:lumMod val="40000"/>
                            <a:lumOff val="60000"/>
                            <a:alpha val="80000"/>
                          </a:schemeClr>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60030D74" w14:textId="500A3F99" w:rsidR="00E23B70" w:rsidRPr="005A0EA7" w:rsidRDefault="00924DDE" w:rsidP="00E23B70">
                            <w:pPr>
                              <w:spacing w:after="0"/>
                              <w:ind w:left="979"/>
                              <w:jc w:val="left"/>
                              <w:rPr>
                                <w:rFonts w:ascii="Bahnschrift" w:hAnsi="Bahnschrift"/>
                                <w:kern w:val="24"/>
                                <w:sz w:val="52"/>
                                <w:szCs w:val="52"/>
                                <w14:ligatures w14:val="none"/>
                              </w:rPr>
                            </w:pPr>
                            <w:r w:rsidRPr="005A0EA7">
                              <w:rPr>
                                <w:rFonts w:ascii="Bahnschrift" w:hAnsi="Bahnschrift"/>
                                <w:color w:val="000000" w:themeColor="text1"/>
                                <w:kern w:val="24"/>
                                <w:sz w:val="52"/>
                                <w:szCs w:val="52"/>
                              </w:rPr>
                              <w:t>W</w:t>
                            </w:r>
                            <w:r w:rsidR="00E23B70" w:rsidRPr="005A0EA7">
                              <w:rPr>
                                <w:rFonts w:ascii="Bahnschrift" w:hAnsi="Bahnschrift"/>
                                <w:color w:val="000000" w:themeColor="text1"/>
                                <w:kern w:val="24"/>
                                <w:sz w:val="52"/>
                                <w:szCs w:val="52"/>
                              </w:rPr>
                              <w:t>ymiar</w:t>
                            </w:r>
                            <w:r w:rsidRPr="005A0EA7">
                              <w:rPr>
                                <w:rFonts w:ascii="Bahnschrift" w:hAnsi="Bahnschrift"/>
                                <w:color w:val="000000" w:themeColor="text1"/>
                                <w:kern w:val="24"/>
                                <w:sz w:val="52"/>
                                <w:szCs w:val="52"/>
                              </w:rPr>
                              <w:t xml:space="preserve"> 2</w:t>
                            </w:r>
                            <w:r w:rsidR="00E23B70" w:rsidRPr="005A0EA7">
                              <w:rPr>
                                <w:rFonts w:ascii="Bahnschrift" w:hAnsi="Bahnschrift"/>
                                <w:color w:val="000000" w:themeColor="text1"/>
                                <w:kern w:val="24"/>
                                <w:sz w:val="52"/>
                                <w:szCs w:val="52"/>
                              </w:rPr>
                              <w:t xml:space="preserve">. </w:t>
                            </w:r>
                            <w:r w:rsidR="00E23B70" w:rsidRPr="005A0EA7">
                              <w:rPr>
                                <w:rFonts w:ascii="Bahnschrift" w:hAnsi="Bahnschrift"/>
                                <w:kern w:val="24"/>
                                <w:sz w:val="56"/>
                                <w:szCs w:val="56"/>
                              </w:rPr>
                              <w:br/>
                            </w:r>
                            <w:r w:rsidR="005A0EA7" w:rsidRPr="005A0EA7">
                              <w:rPr>
                                <w:rFonts w:ascii="Bahnschrift" w:hAnsi="Bahnschrift"/>
                                <w:color w:val="000000" w:themeColor="text1"/>
                                <w:kern w:val="24"/>
                                <w:sz w:val="52"/>
                                <w:szCs w:val="52"/>
                                <w14:ligatures w14:val="none"/>
                              </w:rPr>
                              <w:t>Poprawa e</w:t>
                            </w:r>
                            <w:r w:rsidR="00E23B70" w:rsidRPr="005A0EA7">
                              <w:rPr>
                                <w:rFonts w:ascii="Bahnschrift" w:hAnsi="Bahnschrift"/>
                                <w:color w:val="000000" w:themeColor="text1"/>
                                <w:kern w:val="24"/>
                                <w:sz w:val="52"/>
                                <w:szCs w:val="52"/>
                                <w14:ligatures w14:val="none"/>
                              </w:rPr>
                              <w:t>fektywnoś</w:t>
                            </w:r>
                            <w:r w:rsidR="005A0EA7" w:rsidRPr="005A0EA7">
                              <w:rPr>
                                <w:rFonts w:ascii="Bahnschrift" w:hAnsi="Bahnschrift"/>
                                <w:color w:val="000000" w:themeColor="text1"/>
                                <w:kern w:val="24"/>
                                <w:sz w:val="52"/>
                                <w:szCs w:val="52"/>
                                <w14:ligatures w14:val="none"/>
                              </w:rPr>
                              <w:t>ci</w:t>
                            </w:r>
                            <w:r w:rsidR="00E23B70" w:rsidRPr="005A0EA7">
                              <w:rPr>
                                <w:rFonts w:ascii="Bahnschrift" w:hAnsi="Bahnschrift"/>
                                <w:color w:val="000000" w:themeColor="text1"/>
                                <w:kern w:val="24"/>
                                <w:sz w:val="52"/>
                                <w:szCs w:val="52"/>
                                <w14:ligatures w14:val="none"/>
                              </w:rPr>
                              <w:t xml:space="preserve"> energetyczn</w:t>
                            </w:r>
                            <w:r w:rsidR="005A0EA7" w:rsidRPr="005A0EA7">
                              <w:rPr>
                                <w:rFonts w:ascii="Bahnschrift" w:hAnsi="Bahnschrift"/>
                                <w:color w:val="000000" w:themeColor="text1"/>
                                <w:kern w:val="24"/>
                                <w:sz w:val="52"/>
                                <w:szCs w:val="52"/>
                                <w14:ligatures w14:val="none"/>
                              </w:rPr>
                              <w:t>ej</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1AF90BD6" id="Prostokąt 55" o:spid="_x0000_s1093" style="position:absolute;left:0;text-align:left;margin-left:-48.25pt;margin-top:12.4pt;width:549.9pt;height:130.6pt;z-index:2516172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" fillcolor="#bdd6ee [1304]" stroked="f" strokeweight="1pt">
                <v:fill opacity="52428f"/>
                <v:textbox>
                  <w:txbxContent>
                    <w:p w14:paraId="60030D74" w14:textId="500A3F99" w:rsidR="00E23B70" w:rsidRPr="005A0EA7" w:rsidRDefault="00924DDE" w:rsidP="00E23B70">
                      <w:pPr>
                        <w:spacing w:after="0"/>
                        <w:ind w:left="979"/>
                        <w:jc w:val="left"/>
                        <w:rPr>
                          <w:rFonts w:ascii="Bahnschrift" w:hAnsi="Bahnschrift"/>
                          <w:kern w:val="24"/>
                          <w:sz w:val="52"/>
                          <w:szCs w:val="52"/>
                          <w14:ligatures w14:val="none"/>
                        </w:rPr>
                      </w:pPr>
                      <w:r w:rsidRPr="005A0EA7">
                        <w:rPr>
                          <w:rFonts w:ascii="Bahnschrift" w:hAnsi="Bahnschrift"/>
                          <w:color w:val="000000" w:themeColor="text1"/>
                          <w:kern w:val="24"/>
                          <w:sz w:val="52"/>
                          <w:szCs w:val="52"/>
                        </w:rPr>
                        <w:t>W</w:t>
                      </w:r>
                      <w:r w:rsidR="00E23B70" w:rsidRPr="005A0EA7">
                        <w:rPr>
                          <w:rFonts w:ascii="Bahnschrift" w:hAnsi="Bahnschrift"/>
                          <w:color w:val="000000" w:themeColor="text1"/>
                          <w:kern w:val="24"/>
                          <w:sz w:val="52"/>
                          <w:szCs w:val="52"/>
                        </w:rPr>
                        <w:t>ymiar</w:t>
                      </w:r>
                      <w:r w:rsidRPr="005A0EA7">
                        <w:rPr>
                          <w:rFonts w:ascii="Bahnschrift" w:hAnsi="Bahnschrift"/>
                          <w:color w:val="000000" w:themeColor="text1"/>
                          <w:kern w:val="24"/>
                          <w:sz w:val="52"/>
                          <w:szCs w:val="52"/>
                        </w:rPr>
                        <w:t xml:space="preserve"> 2</w:t>
                      </w:r>
                      <w:r w:rsidR="00E23B70" w:rsidRPr="005A0EA7">
                        <w:rPr>
                          <w:rFonts w:ascii="Bahnschrift" w:hAnsi="Bahnschrift"/>
                          <w:color w:val="000000" w:themeColor="text1"/>
                          <w:kern w:val="24"/>
                          <w:sz w:val="52"/>
                          <w:szCs w:val="52"/>
                        </w:rPr>
                        <w:t xml:space="preserve">. </w:t>
                      </w:r>
                      <w:r w:rsidR="00E23B70" w:rsidRPr="005A0EA7">
                        <w:rPr>
                          <w:rFonts w:ascii="Bahnschrift" w:hAnsi="Bahnschrift"/>
                          <w:kern w:val="24"/>
                          <w:sz w:val="56"/>
                          <w:szCs w:val="56"/>
                        </w:rPr>
                        <w:br/>
                      </w:r>
                      <w:r w:rsidR="005A0EA7" w:rsidRPr="005A0EA7">
                        <w:rPr>
                          <w:rFonts w:ascii="Bahnschrift" w:hAnsi="Bahnschrift"/>
                          <w:color w:val="000000" w:themeColor="text1"/>
                          <w:kern w:val="24"/>
                          <w:sz w:val="52"/>
                          <w:szCs w:val="52"/>
                          <w14:ligatures w14:val="none"/>
                        </w:rPr>
                        <w:t>Poprawa e</w:t>
                      </w:r>
                      <w:r w:rsidR="00E23B70" w:rsidRPr="005A0EA7">
                        <w:rPr>
                          <w:rFonts w:ascii="Bahnschrift" w:hAnsi="Bahnschrift"/>
                          <w:color w:val="000000" w:themeColor="text1"/>
                          <w:kern w:val="24"/>
                          <w:sz w:val="52"/>
                          <w:szCs w:val="52"/>
                          <w14:ligatures w14:val="none"/>
                        </w:rPr>
                        <w:t>fektywnoś</w:t>
                      </w:r>
                      <w:r w:rsidR="005A0EA7" w:rsidRPr="005A0EA7">
                        <w:rPr>
                          <w:rFonts w:ascii="Bahnschrift" w:hAnsi="Bahnschrift"/>
                          <w:color w:val="000000" w:themeColor="text1"/>
                          <w:kern w:val="24"/>
                          <w:sz w:val="52"/>
                          <w:szCs w:val="52"/>
                          <w14:ligatures w14:val="none"/>
                        </w:rPr>
                        <w:t>ci</w:t>
                      </w:r>
                      <w:r w:rsidR="00E23B70" w:rsidRPr="005A0EA7">
                        <w:rPr>
                          <w:rFonts w:ascii="Bahnschrift" w:hAnsi="Bahnschrift"/>
                          <w:color w:val="000000" w:themeColor="text1"/>
                          <w:kern w:val="24"/>
                          <w:sz w:val="52"/>
                          <w:szCs w:val="52"/>
                          <w14:ligatures w14:val="none"/>
                        </w:rPr>
                        <w:t xml:space="preserve"> energetyczn</w:t>
                      </w:r>
                      <w:r w:rsidR="005A0EA7" w:rsidRPr="005A0EA7">
                        <w:rPr>
                          <w:rFonts w:ascii="Bahnschrift" w:hAnsi="Bahnschrift"/>
                          <w:color w:val="000000" w:themeColor="text1"/>
                          <w:kern w:val="24"/>
                          <w:sz w:val="52"/>
                          <w:szCs w:val="52"/>
                          <w14:ligatures w14:val="none"/>
                        </w:rPr>
                        <w:t>ej</w:t>
                      </w:r>
                    </w:p>
                  </w:txbxContent>
                </v:textbox>
                <w10:wrap anchorx="margin"/>
              </v:rect>
            </w:pict>
          </mc:Fallback>
        </mc:AlternateContent>
      </w:r>
    </w:p>
    <w:p w14:paraId="1DAC1EB1" w14:textId="79DD5FBF" w:rsidR="00E23B70" w:rsidRDefault="00E23B70" w:rsidP="007F22F4"/>
    <w:p w14:paraId="0AB6EC24" w14:textId="386117EA" w:rsidR="00E23B70" w:rsidRDefault="00E23B70" w:rsidP="007F22F4"/>
    <w:p w14:paraId="2BC98A1E" w14:textId="3F66DBA4" w:rsidR="00E23B70" w:rsidRDefault="00E23B70" w:rsidP="007F22F4"/>
    <w:p w14:paraId="2629B063" w14:textId="0617937C" w:rsidR="00E23B70" w:rsidRDefault="00E23B70" w:rsidP="007F22F4"/>
    <w:p w14:paraId="1864B29F" w14:textId="34C79076" w:rsidR="00E23B70" w:rsidRDefault="00E23B70" w:rsidP="007F22F4"/>
    <w:p w14:paraId="6C652602" w14:textId="77777777" w:rsidR="009B599C" w:rsidRDefault="009B599C" w:rsidP="009B599C"/>
    <w:p w14:paraId="631C9364" w14:textId="3AADB752" w:rsidR="00C20B2E" w:rsidRDefault="00C20B2E" w:rsidP="009A2A0C">
      <w:pPr>
        <w:spacing w:before="480"/>
      </w:pPr>
      <w:r w:rsidRPr="00333A5C">
        <w:t xml:space="preserve">Poprawa efektywności energetycznej jest działaniem </w:t>
      </w:r>
      <w:r w:rsidR="0038159D" w:rsidRPr="00333A5C">
        <w:t xml:space="preserve">przynoszącym </w:t>
      </w:r>
      <w:r w:rsidR="0038159D">
        <w:t>korzyści</w:t>
      </w:r>
      <w:r w:rsidR="0038159D" w:rsidRPr="00333A5C">
        <w:t xml:space="preserve"> </w:t>
      </w:r>
      <w:r w:rsidR="0038159D">
        <w:t>w wielu obszarach</w:t>
      </w:r>
      <w:r w:rsidR="0038159D" w:rsidRPr="00333A5C">
        <w:t xml:space="preserve"> gospodarki</w:t>
      </w:r>
      <w:r w:rsidR="0038159D">
        <w:t xml:space="preserve"> i społeczeństwa</w:t>
      </w:r>
      <w:r w:rsidR="0038159D" w:rsidRPr="00333A5C">
        <w:t xml:space="preserve">. </w:t>
      </w:r>
      <w:r w:rsidR="0038159D" w:rsidRPr="004B4B69">
        <w:t xml:space="preserve">Efektywność energetyczna </w:t>
      </w:r>
      <w:r w:rsidR="0038159D">
        <w:t>to</w:t>
      </w:r>
      <w:r w:rsidR="0038159D" w:rsidRPr="004B4B69">
        <w:t xml:space="preserve"> nie tylko redukcja zużycia energii, ale również zwiększenie jej wydajności, co prowadzi do obniżenia kosztów operacyjnych, poprawy konkurencyjności gospodarczej oraz zmniejszenia negatywnego wpływu na środowisko</w:t>
      </w:r>
      <w:r w:rsidRPr="00333A5C">
        <w:t xml:space="preserve">. </w:t>
      </w:r>
    </w:p>
    <w:p w14:paraId="6DDDDC05" w14:textId="54C7EB63" w:rsidR="00BD2318" w:rsidRDefault="00BD2318" w:rsidP="00D30727">
      <w:r>
        <w:t>Stosowanie</w:t>
      </w:r>
      <w:r w:rsidR="0038159D">
        <w:t xml:space="preserve"> zasady </w:t>
      </w:r>
      <w:r w:rsidR="0038159D" w:rsidRPr="0038159D">
        <w:rPr>
          <w:b/>
          <w:bCs/>
        </w:rPr>
        <w:t>„</w:t>
      </w:r>
      <w:r w:rsidR="0038159D" w:rsidRPr="004B4B69">
        <w:rPr>
          <w:b/>
          <w:bCs/>
        </w:rPr>
        <w:t>efektywność energetyczna przede wszystkim"</w:t>
      </w:r>
      <w:r>
        <w:t xml:space="preserve"> – czyli p</w:t>
      </w:r>
      <w:r w:rsidR="0038159D" w:rsidRPr="004B4B69">
        <w:t>riorytetowe traktowanie działań mających na celu zmniejszenie zapotrzebowania na energię przed podejmowaniem decyzji o</w:t>
      </w:r>
      <w:r>
        <w:t> </w:t>
      </w:r>
      <w:r w:rsidR="0038159D" w:rsidRPr="004B4B69">
        <w:t>zwiększeniu podaży energii</w:t>
      </w:r>
      <w:r w:rsidR="0038159D">
        <w:t xml:space="preserve"> </w:t>
      </w:r>
      <w:r>
        <w:t xml:space="preserve">– pozwala na </w:t>
      </w:r>
      <w:r w:rsidRPr="004B4B69">
        <w:t>maksymalne wykorzystanie dostępnych zasobów energetycznych przy jednoczesnym minimalizowaniu strat energii na każdym etapie jej przetwarzania i</w:t>
      </w:r>
      <w:r>
        <w:t> </w:t>
      </w:r>
      <w:r w:rsidRPr="004B4B69">
        <w:t>użytkowania</w:t>
      </w:r>
      <w:r>
        <w:t>.</w:t>
      </w:r>
    </w:p>
    <w:p w14:paraId="4BEA678F" w14:textId="574C5F73" w:rsidR="00D92449" w:rsidRDefault="00BD2318" w:rsidP="00D30727">
      <w:r>
        <w:t xml:space="preserve">Redukcja potrzeb energetycznych wzmacnia także bezpieczeństwo energetyczne, a uwzględnianie </w:t>
      </w:r>
      <w:r w:rsidRPr="00F15918">
        <w:rPr>
          <w:b/>
          <w:bCs/>
        </w:rPr>
        <w:t>zasady „efektywność energetyczna przede wszystkim”</w:t>
      </w:r>
      <w:r>
        <w:t xml:space="preserve"> w planowaniu polityk i inwestycji powoduje, że.</w:t>
      </w:r>
      <w:r w:rsidR="002C36E7">
        <w:t> </w:t>
      </w:r>
      <w:r w:rsidR="00D30727">
        <w:t>efektywność energetyczna może być traktowana</w:t>
      </w:r>
      <w:r w:rsidR="00CE4B29">
        <w:t xml:space="preserve"> w niektórych przypadkach</w:t>
      </w:r>
      <w:r w:rsidR="00D30727">
        <w:t xml:space="preserve"> jak</w:t>
      </w:r>
      <w:r w:rsidR="00CE4B29">
        <w:t>o</w:t>
      </w:r>
      <w:r w:rsidR="00D30727">
        <w:t xml:space="preserve"> źródło energii</w:t>
      </w:r>
      <w:r w:rsidR="00546256">
        <w:t xml:space="preserve"> (wirtualnie)</w:t>
      </w:r>
      <w:r w:rsidR="00D30727">
        <w:t xml:space="preserve">. Korzyści płynące ze zmniejszonego zużycia energii powodują, że </w:t>
      </w:r>
      <w:r w:rsidR="00ED6AA4">
        <w:t xml:space="preserve">dążenie do wzrostu efektywności energetycznej </w:t>
      </w:r>
      <w:r w:rsidR="00122156">
        <w:t>określone</w:t>
      </w:r>
      <w:r w:rsidR="00ED6AA4">
        <w:t xml:space="preserve"> zostało </w:t>
      </w:r>
      <w:r w:rsidR="009A1852">
        <w:rPr>
          <w:b/>
          <w:bCs/>
        </w:rPr>
        <w:t>drugim</w:t>
      </w:r>
      <w:r w:rsidR="00122156" w:rsidRPr="00122156">
        <w:rPr>
          <w:b/>
          <w:bCs/>
        </w:rPr>
        <w:t> </w:t>
      </w:r>
      <w:r w:rsidR="00ED6AA4" w:rsidRPr="00122156">
        <w:rPr>
          <w:b/>
          <w:bCs/>
        </w:rPr>
        <w:t>wymiar</w:t>
      </w:r>
      <w:r w:rsidR="00122156">
        <w:rPr>
          <w:b/>
          <w:bCs/>
        </w:rPr>
        <w:t>em</w:t>
      </w:r>
      <w:r w:rsidR="00ED6AA4" w:rsidRPr="00122156">
        <w:rPr>
          <w:b/>
          <w:bCs/>
        </w:rPr>
        <w:t xml:space="preserve"> unii energetycznej</w:t>
      </w:r>
      <w:r w:rsidR="00ED6AA4">
        <w:t>.</w:t>
      </w:r>
    </w:p>
    <w:p w14:paraId="22A77FA8" w14:textId="25BC68BD" w:rsidR="007F22F4" w:rsidRDefault="00122156" w:rsidP="007F22F4">
      <w:r>
        <w:t xml:space="preserve">W tej części KPEiK </w:t>
      </w:r>
      <w:r w:rsidRPr="003772B3">
        <w:t xml:space="preserve">ujęto </w:t>
      </w:r>
      <w:r>
        <w:t xml:space="preserve">założenia i cele </w:t>
      </w:r>
      <w:r w:rsidRPr="003772B3">
        <w:t>związane z</w:t>
      </w:r>
      <w:r>
        <w:t xml:space="preserve"> osiągnięciem określonych poziomów zużycia energii w całej gospodarce, z uwzględnieniem wzorcowej roli administracji publicznej, a także określono cele w obszarze zużycia energii przez budynki (nowe i istniejące), gdyż odpowiadają one za największe ilości zużywanej energii w Europie. </w:t>
      </w:r>
    </w:p>
    <w:p w14:paraId="1AE1AFB6" w14:textId="5EA94131" w:rsidR="00DC3D34" w:rsidRPr="00043521" w:rsidRDefault="002B5CFB" w:rsidP="00404B36">
      <w:pPr>
        <w:pStyle w:val="Nagwek3"/>
        <w:rPr>
          <w:color w:val="4472C4" w:themeColor="accent1"/>
        </w:rPr>
      </w:pPr>
      <w:bookmarkStart w:id="116" w:name="_Toc159598303"/>
      <w:bookmarkStart w:id="117" w:name="_Toc179536954"/>
      <w:r w:rsidRPr="00043521">
        <w:rPr>
          <w:color w:val="4472C4" w:themeColor="accent1"/>
        </w:rPr>
        <w:lastRenderedPageBreak/>
        <w:t>Poprawa efektywności energetycznej w</w:t>
      </w:r>
      <w:r w:rsidR="008F7850" w:rsidRPr="00043521">
        <w:rPr>
          <w:color w:val="4472C4" w:themeColor="accent1"/>
        </w:rPr>
        <w:t> </w:t>
      </w:r>
      <w:r w:rsidRPr="00043521">
        <w:rPr>
          <w:color w:val="4472C4" w:themeColor="accent1"/>
        </w:rPr>
        <w:t>gospodarce</w:t>
      </w:r>
      <w:bookmarkEnd w:id="116"/>
      <w:bookmarkEnd w:id="117"/>
    </w:p>
    <w:p w14:paraId="5FADB13D" w14:textId="40D1B52D" w:rsidR="009714FB" w:rsidRDefault="00DE0CED" w:rsidP="009714FB">
      <w:r>
        <w:rPr>
          <w:noProof/>
        </w:rPr>
        <mc:AlternateContent>
          <mc:Choice Requires="wps">
            <w:drawing>
              <wp:anchor distT="0" distB="0" distL="114300" distR="114300" simplePos="0" relativeHeight="251645952" behindDoc="1" locked="0" layoutInCell="1" allowOverlap="1" wp14:anchorId="3AB3A361" wp14:editId="4D576196">
                <wp:simplePos x="0" y="0"/>
                <wp:positionH relativeFrom="margin">
                  <wp:align>right</wp:align>
                </wp:positionH>
                <wp:positionV relativeFrom="paragraph">
                  <wp:posOffset>2540</wp:posOffset>
                </wp:positionV>
                <wp:extent cx="2663825" cy="1045845"/>
                <wp:effectExtent l="19050" t="57150" r="117475" b="78105"/>
                <wp:wrapThrough wrapText="bothSides">
                  <wp:wrapPolygon edited="0">
                    <wp:start x="772" y="-1249"/>
                    <wp:lineTo x="-154" y="-832"/>
                    <wp:lineTo x="-154" y="19561"/>
                    <wp:lineTo x="618" y="22890"/>
                    <wp:lineTo x="21626" y="22890"/>
                    <wp:lineTo x="21780" y="22474"/>
                    <wp:lineTo x="22398" y="19561"/>
                    <wp:lineTo x="22398" y="2081"/>
                    <wp:lineTo x="22089" y="-832"/>
                    <wp:lineTo x="21626" y="-1249"/>
                    <wp:lineTo x="772" y="-1249"/>
                  </wp:wrapPolygon>
                </wp:wrapThrough>
                <wp:docPr id="1365260925" name="Prostokąt: zaokrąglone rogi 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3825" cy="1045845"/>
                        </a:xfrm>
                        <a:prstGeom prst="roundRect">
                          <a:avLst>
                            <a:gd name="adj" fmla="val 11857"/>
                          </a:avLst>
                        </a:prstGeom>
                        <a:solidFill>
                          <a:schemeClr val="bg1"/>
                        </a:solidFill>
                        <a:ln w="9525">
                          <a:solidFill>
                            <a:schemeClr val="accent5"/>
                          </a:solidFill>
                        </a:ln>
                        <a:effectLst>
                          <a:outerShdw blurRad="50800" dist="38100" algn="l"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txbx>
                        <w:txbxContent>
                          <w:p w14:paraId="4C8166F5" w14:textId="0E90D3D4" w:rsidR="00A35815" w:rsidRPr="00A35815" w:rsidRDefault="00A35815" w:rsidP="00D24C7B">
                            <w:pPr>
                              <w:pStyle w:val="Ramka"/>
                            </w:pPr>
                            <w:r w:rsidRPr="00A35815">
                              <w:rPr>
                                <w:i/>
                                <w:iCs/>
                              </w:rPr>
                              <w:t>W uproszczeniu</w:t>
                            </w:r>
                            <w:r>
                              <w:t xml:space="preserve"> – </w:t>
                            </w:r>
                            <w:r w:rsidRPr="00F5568A">
                              <w:rPr>
                                <w:b/>
                                <w:bCs/>
                              </w:rPr>
                              <w:t>energia pierwotna</w:t>
                            </w:r>
                            <w:r w:rsidRPr="00A35815">
                              <w:t xml:space="preserve"> to </w:t>
                            </w:r>
                            <w:r>
                              <w:t>energia surowców lub OZE, zaś</w:t>
                            </w:r>
                            <w:r w:rsidR="00F77EB7">
                              <w:t xml:space="preserve"> </w:t>
                            </w:r>
                            <w:r w:rsidR="00F77EB7" w:rsidRPr="00F77EB7">
                              <w:rPr>
                                <w:b/>
                                <w:bCs/>
                              </w:rPr>
                              <w:t>finalne zużycie energii</w:t>
                            </w:r>
                            <w:r w:rsidR="00F77EB7">
                              <w:t xml:space="preserve"> (lub</w:t>
                            </w:r>
                            <w:r>
                              <w:t xml:space="preserve"> </w:t>
                            </w:r>
                            <w:r w:rsidRPr="00F77EB7">
                              <w:t>energia finalna</w:t>
                            </w:r>
                            <w:r w:rsidR="00F77EB7">
                              <w:rPr>
                                <w:b/>
                                <w:bCs/>
                              </w:rPr>
                              <w:t>)</w:t>
                            </w:r>
                            <w:r>
                              <w:t xml:space="preserve"> to taka energia</w:t>
                            </w:r>
                            <w:r w:rsidR="00737C12">
                              <w:t xml:space="preserve">, która została dostarczona do </w:t>
                            </w:r>
                            <w:r w:rsidR="00F5568A">
                              <w:t xml:space="preserve">odbiorcy </w:t>
                            </w:r>
                            <w:r w:rsidR="00737C12">
                              <w:t>końcowego</w:t>
                            </w:r>
                            <w:r w:rsidR="00F5568A">
                              <w:t>, z </w:t>
                            </w:r>
                            <w:r w:rsidR="009A2A0C">
                              <w:t xml:space="preserve">wyłączeniem </w:t>
                            </w:r>
                            <w:r w:rsidR="00F5568A" w:rsidRPr="00F5568A">
                              <w:t>potrzeb przemian energetycznych</w:t>
                            </w:r>
                            <w:r w:rsidR="00F5568A">
                              <w:t xml:space="preserve"> i strat</w:t>
                            </w:r>
                            <w:r w:rsidR="00FA2C84">
                              <w:t>.</w:t>
                            </w:r>
                          </w:p>
                        </w:txbxContent>
                      </wps:txbx>
                      <wps:bodyPr rot="0" spcFirstLastPara="0" vertOverflow="overflow" horzOverflow="overflow" vert="horz" wrap="square" lIns="72000" tIns="90000" rIns="72000" bIns="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3AB3A361" id="Prostokąt: zaokrąglone rogi 54" o:spid="_x0000_s1094" style="position:absolute;left:0;text-align:left;margin-left:158.55pt;margin-top:.2pt;width:209.75pt;height:82.35pt;z-index:-25167052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arcsize="777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" fillcolor="white [3212]" strokecolor="#5b9bd5 [3208]">
                <v:stroke joinstyle="miter"/>
                <v:shadow on="t" color="black" opacity="26214f" origin="-.5" offset="3pt,0"/>
                <v:path arrowok="t"/>
                <v:textbox style="mso-fit-shape-to-text:t" inset="2mm,2.5mm,2mm,0">
                  <w:txbxContent>
                    <w:p w14:paraId="4C8166F5" w14:textId="0E90D3D4" w:rsidR="00A35815" w:rsidRPr="00A35815" w:rsidRDefault="00A35815" w:rsidP="00D24C7B">
                      <w:pPr>
                        <w:pStyle w:val="Ramka"/>
                      </w:pPr>
                      <w:r w:rsidRPr="00A35815">
                        <w:rPr>
                          <w:i/>
                          <w:iCs/>
                        </w:rPr>
                        <w:t>W uproszczeniu</w:t>
                      </w:r>
                      <w:r>
                        <w:t xml:space="preserve"> – </w:t>
                      </w:r>
                      <w:r w:rsidRPr="00F5568A">
                        <w:rPr>
                          <w:b/>
                          <w:bCs/>
                        </w:rPr>
                        <w:t>energia pierwotna</w:t>
                      </w:r>
                      <w:r w:rsidRPr="00A35815">
                        <w:t xml:space="preserve"> to </w:t>
                      </w:r>
                      <w:r>
                        <w:t>energia surowców lub OZE, zaś</w:t>
                      </w:r>
                      <w:r w:rsidR="00F77EB7">
                        <w:t xml:space="preserve"> </w:t>
                      </w:r>
                      <w:r w:rsidR="00F77EB7" w:rsidRPr="00F77EB7">
                        <w:rPr>
                          <w:b/>
                          <w:bCs/>
                        </w:rPr>
                        <w:t>finalne zużycie energii</w:t>
                      </w:r>
                      <w:r w:rsidR="00F77EB7">
                        <w:t xml:space="preserve"> (lub</w:t>
                      </w:r>
                      <w:r>
                        <w:t xml:space="preserve"> </w:t>
                      </w:r>
                      <w:r w:rsidRPr="00F77EB7">
                        <w:t>energia finalna</w:t>
                      </w:r>
                      <w:r w:rsidR="00F77EB7">
                        <w:rPr>
                          <w:b/>
                          <w:bCs/>
                        </w:rPr>
                        <w:t>)</w:t>
                      </w:r>
                      <w:r>
                        <w:t xml:space="preserve"> to taka energia</w:t>
                      </w:r>
                      <w:r w:rsidR="00737C12">
                        <w:t xml:space="preserve">, która została dostarczona do </w:t>
                      </w:r>
                      <w:r w:rsidR="00F5568A">
                        <w:t xml:space="preserve">odbiorcy </w:t>
                      </w:r>
                      <w:r w:rsidR="00737C12">
                        <w:t>końcowego</w:t>
                      </w:r>
                      <w:r w:rsidR="00F5568A">
                        <w:t>, z </w:t>
                      </w:r>
                      <w:r w:rsidR="009A2A0C">
                        <w:t xml:space="preserve">wyłączeniem </w:t>
                      </w:r>
                      <w:r w:rsidR="00F5568A" w:rsidRPr="00F5568A">
                        <w:t>potrzeb przemian energetycznych</w:t>
                      </w:r>
                      <w:r w:rsidR="00F5568A">
                        <w:t xml:space="preserve"> i strat</w:t>
                      </w:r>
                      <w:r w:rsidR="00FA2C84">
                        <w:t>.</w:t>
                      </w:r>
                    </w:p>
                  </w:txbxContent>
                </v:textbox>
                <w10:wrap type="through" anchorx="margin"/>
              </v:roundrect>
            </w:pict>
          </mc:Fallback>
        </mc:AlternateContent>
      </w:r>
      <w:r w:rsidR="009714FB">
        <w:t>W tej części wskazano</w:t>
      </w:r>
      <w:r w:rsidR="0067469F">
        <w:t xml:space="preserve"> cele ogólne, dotyczące całej gospodarki w zakresie wielkości zużycia energii pierwotnej</w:t>
      </w:r>
      <w:r w:rsidR="00A35815">
        <w:t xml:space="preserve"> </w:t>
      </w:r>
      <w:r w:rsidR="00F77EB7">
        <w:t xml:space="preserve">(ang. </w:t>
      </w:r>
      <w:r w:rsidR="00F77EB7" w:rsidRPr="00F77EB7">
        <w:rPr>
          <w:i/>
          <w:iCs/>
        </w:rPr>
        <w:t>primary energy consumption</w:t>
      </w:r>
      <w:r w:rsidR="00F77EB7">
        <w:t xml:space="preserve">, PEC) </w:t>
      </w:r>
      <w:r w:rsidR="00A35815">
        <w:t xml:space="preserve">oraz </w:t>
      </w:r>
      <w:r w:rsidR="0067469F">
        <w:t>finalnego zużycia energii</w:t>
      </w:r>
      <w:r w:rsidR="00F77EB7">
        <w:t xml:space="preserve"> (ang. </w:t>
      </w:r>
      <w:r w:rsidR="00F77EB7" w:rsidRPr="00F77EB7">
        <w:rPr>
          <w:i/>
          <w:iCs/>
        </w:rPr>
        <w:t>final energy consumption</w:t>
      </w:r>
      <w:r w:rsidR="00F77EB7">
        <w:t>, FEC)</w:t>
      </w:r>
      <w:r w:rsidR="0067469F">
        <w:t>, a</w:t>
      </w:r>
      <w:r w:rsidR="00122156">
        <w:t> </w:t>
      </w:r>
      <w:r w:rsidR="0067469F">
        <w:t>także oszczędności energii osiąganych w</w:t>
      </w:r>
      <w:r w:rsidR="00122156">
        <w:t> </w:t>
      </w:r>
      <w:r w:rsidR="0067469F">
        <w:t xml:space="preserve">każdym roku. </w:t>
      </w:r>
      <w:r w:rsidR="00D30727" w:rsidRPr="00CA7FC2">
        <w:t>Przedstawion</w:t>
      </w:r>
      <w:r w:rsidR="00D30727">
        <w:t>e zostały również zadania sektora publicznego w ramach pełnienia</w:t>
      </w:r>
      <w:r w:rsidR="00D30727" w:rsidRPr="00F36D02">
        <w:t xml:space="preserve"> wzorcow</w:t>
      </w:r>
      <w:r w:rsidR="00D30727">
        <w:t>ej</w:t>
      </w:r>
      <w:r w:rsidR="00D30727" w:rsidRPr="00F36D02">
        <w:t xml:space="preserve"> rol</w:t>
      </w:r>
      <w:r w:rsidR="00F15918">
        <w:t>i</w:t>
      </w:r>
      <w:r w:rsidR="00D30727" w:rsidRPr="00CA7FC2">
        <w:t xml:space="preserve"> </w:t>
      </w:r>
      <w:r w:rsidR="00D30727" w:rsidRPr="00F36D02">
        <w:t>administracji publicznej w </w:t>
      </w:r>
      <w:r w:rsidR="00D30727" w:rsidRPr="00CA7FC2">
        <w:t xml:space="preserve">obszarze </w:t>
      </w:r>
      <w:r w:rsidR="00D30727" w:rsidRPr="00F36D02">
        <w:t>popraw</w:t>
      </w:r>
      <w:r w:rsidR="00D30727" w:rsidRPr="00CA7FC2">
        <w:t>y</w:t>
      </w:r>
      <w:r w:rsidR="00D30727" w:rsidRPr="00F36D02">
        <w:t xml:space="preserve"> efektywności energetycznej</w:t>
      </w:r>
      <w:r w:rsidR="0067469F">
        <w:t>.</w:t>
      </w:r>
    </w:p>
    <w:p w14:paraId="1750EE90" w14:textId="27F69193" w:rsidR="00A10FDD" w:rsidRDefault="00A10FDD" w:rsidP="009714FB">
      <w:r w:rsidRPr="00CA7FC2">
        <w:t xml:space="preserve">Dyrektywa </w:t>
      </w:r>
      <w:r>
        <w:t xml:space="preserve">2023/1791 w sprawie efektywności energetycznej – tzw. dyrektywa EED </w:t>
      </w:r>
      <w:r w:rsidRPr="00CA7FC2">
        <w:t>ustanawia ramy środków mających na celu popraw</w:t>
      </w:r>
      <w:r>
        <w:t>ę</w:t>
      </w:r>
      <w:r w:rsidRPr="00CA7FC2">
        <w:t xml:space="preserve"> efektywności energetycznej w całej UE, aby zapewnić osiągnięcie unijnego celu w zakresie efektywności energetycznej na 2030</w:t>
      </w:r>
      <w:r>
        <w:t xml:space="preserve"> r. Unijny cel określono jako redukcję </w:t>
      </w:r>
      <w:r w:rsidRPr="00DD4455">
        <w:t>zużycia</w:t>
      </w:r>
      <w:r>
        <w:t xml:space="preserve"> energii</w:t>
      </w:r>
      <w:r w:rsidRPr="00DD4455">
        <w:t xml:space="preserve"> </w:t>
      </w:r>
      <w:r>
        <w:t xml:space="preserve">finalnej </w:t>
      </w:r>
      <w:r w:rsidRPr="00A10FDD">
        <w:rPr>
          <w:b/>
          <w:bCs/>
        </w:rPr>
        <w:t xml:space="preserve">o 11,7% </w:t>
      </w:r>
      <w:r w:rsidRPr="00817D26">
        <w:rPr>
          <w:b/>
          <w:bCs/>
        </w:rPr>
        <w:t>w odniesieniu do prognoz tzw. scenariusza referencyjnego PRIMES 2020</w:t>
      </w:r>
      <w:r>
        <w:rPr>
          <w:b/>
          <w:bCs/>
        </w:rPr>
        <w:t xml:space="preserve"> </w:t>
      </w:r>
      <w:r>
        <w:t>opracowanego przez Komisję Europejską</w:t>
      </w:r>
      <w:r>
        <w:rPr>
          <w:rStyle w:val="Odwoanieprzypisudolnego"/>
        </w:rPr>
        <w:footnoteReference w:id="54"/>
      </w:r>
      <w:r>
        <w:t xml:space="preserve">. Ponadto państwa członkowskie mają wspólnie zapewnić, aby zużycie </w:t>
      </w:r>
      <w:r w:rsidR="00474177">
        <w:t xml:space="preserve">w UE w 2030 r. </w:t>
      </w:r>
      <w:r>
        <w:t>energii</w:t>
      </w:r>
      <w:r w:rsidR="00A1196A">
        <w:t xml:space="preserve"> finalnej nie przekroczyło 763 Mtoe</w:t>
      </w:r>
      <w:r w:rsidR="00474177">
        <w:t>, a</w:t>
      </w:r>
      <w:r w:rsidR="00A1196A">
        <w:t xml:space="preserve"> w zakresie energii </w:t>
      </w:r>
      <w:r>
        <w:t xml:space="preserve">pierwotnej nie </w:t>
      </w:r>
      <w:r w:rsidR="00A1196A">
        <w:t>było większe niż</w:t>
      </w:r>
      <w:r>
        <w:t xml:space="preserve"> 992,5 Mtoe</w:t>
      </w:r>
      <w:r w:rsidR="00474177">
        <w:t>.</w:t>
      </w:r>
      <w:r>
        <w:t xml:space="preserve"> </w:t>
      </w:r>
      <w:r w:rsidR="00F4429F">
        <w:t xml:space="preserve">Każde państwo członkowskie wyznacza </w:t>
      </w:r>
      <w:r w:rsidR="00F4429F" w:rsidRPr="00F4429F">
        <w:rPr>
          <w:u w:val="single"/>
        </w:rPr>
        <w:t>orientacyjn</w:t>
      </w:r>
      <w:r w:rsidR="00A1196A">
        <w:rPr>
          <w:u w:val="single"/>
        </w:rPr>
        <w:t>e</w:t>
      </w:r>
      <w:r w:rsidR="00F4429F">
        <w:t xml:space="preserve"> krajow</w:t>
      </w:r>
      <w:r w:rsidR="00A1196A">
        <w:t>e</w:t>
      </w:r>
      <w:r w:rsidR="00F4429F">
        <w:t xml:space="preserve"> wkład</w:t>
      </w:r>
      <w:r w:rsidR="00A1196A">
        <w:t>y</w:t>
      </w:r>
      <w:r w:rsidR="00F4429F">
        <w:t xml:space="preserve"> w zakresie zużycia energii finalnej </w:t>
      </w:r>
      <w:r w:rsidR="00DE71B3">
        <w:t>oraz</w:t>
      </w:r>
      <w:r w:rsidR="00F4429F">
        <w:t xml:space="preserve"> energii pierwotnej</w:t>
      </w:r>
      <w:r w:rsidR="00F4429F">
        <w:rPr>
          <w:rStyle w:val="Odwoanieprzypisudolnego"/>
        </w:rPr>
        <w:footnoteReference w:id="55"/>
      </w:r>
      <w:r w:rsidR="00F4429F">
        <w:t>.</w:t>
      </w:r>
      <w:r w:rsidR="00DE71B3">
        <w:t xml:space="preserve"> </w:t>
      </w:r>
      <w:r w:rsidR="00474177">
        <w:t>O</w:t>
      </w:r>
      <w:r w:rsidR="00A1196A">
        <w:t xml:space="preserve">publikowana w grudniu 2023 r. </w:t>
      </w:r>
      <w:r w:rsidR="00474177">
        <w:t xml:space="preserve">ocena KE </w:t>
      </w:r>
      <w:r w:rsidR="00A1196A">
        <w:t xml:space="preserve">wskazuje, że wiele państw członkowskich stoi przed </w:t>
      </w:r>
      <w:r w:rsidR="00474177">
        <w:t xml:space="preserve">znacznymi </w:t>
      </w:r>
      <w:r w:rsidR="00A1196A">
        <w:t>wyzwaniami w zakresie sprostania poziom</w:t>
      </w:r>
      <w:r w:rsidR="007B6085">
        <w:t>owi</w:t>
      </w:r>
      <w:r w:rsidR="00A1196A">
        <w:t xml:space="preserve"> ambicji wkładów krajowych do realizacji </w:t>
      </w:r>
      <w:r w:rsidR="00C80842">
        <w:t>tych</w:t>
      </w:r>
      <w:r w:rsidR="00A1196A">
        <w:t xml:space="preserve"> celów</w:t>
      </w:r>
      <w:r w:rsidR="00DE71B3">
        <w:rPr>
          <w:rStyle w:val="Odwoanieprzypisudolnego"/>
        </w:rPr>
        <w:footnoteReference w:id="56"/>
      </w:r>
      <w:r w:rsidR="00DE71B3">
        <w:t>.</w:t>
      </w:r>
    </w:p>
    <w:p w14:paraId="460B9712" w14:textId="180FA337" w:rsidR="007D6B8F" w:rsidRDefault="00AE2526" w:rsidP="009714FB">
      <w:r>
        <w:t>Poniżej przedstawiono ścieżk</w:t>
      </w:r>
      <w:r w:rsidR="00DD6FAA">
        <w:t>i</w:t>
      </w:r>
      <w:r>
        <w:t xml:space="preserve"> zużycia energii pierwotnej i finalnej według scenariusza WEM oraz w scenariuszach PRIMES 2007 i PRIMES 2020</w:t>
      </w:r>
      <w:r w:rsidR="00D30727">
        <w:t xml:space="preserve"> dla Polski</w:t>
      </w:r>
      <w:r>
        <w:t xml:space="preserve"> (z korektą dla 2030 r. przekazaną prze</w:t>
      </w:r>
      <w:r w:rsidR="00DD6FAA">
        <w:t>z</w:t>
      </w:r>
      <w:r>
        <w:t xml:space="preserve"> Komisję Europejską w </w:t>
      </w:r>
      <w:r w:rsidR="00DD6FAA">
        <w:t>styczniu</w:t>
      </w:r>
      <w:r>
        <w:t xml:space="preserve"> 202</w:t>
      </w:r>
      <w:r w:rsidR="00DD6FAA">
        <w:t>4</w:t>
      </w:r>
      <w:r>
        <w:t xml:space="preserve"> r.)</w:t>
      </w:r>
      <w:r w:rsidR="00F4429F">
        <w:t xml:space="preserve"> oraz wartości wynikające dla Polski z formuły określonej w załączniku I do</w:t>
      </w:r>
      <w:r w:rsidR="009A2A0C">
        <w:t> </w:t>
      </w:r>
      <w:r w:rsidR="00F4429F">
        <w:t>dyrektywy EED.</w:t>
      </w:r>
      <w:r w:rsidR="00F15918">
        <w:t xml:space="preserve"> </w:t>
      </w:r>
    </w:p>
    <w:p w14:paraId="76A1D473" w14:textId="77777777" w:rsidR="007D6B8F" w:rsidRDefault="007D6B8F" w:rsidP="009714FB"/>
    <w:p w14:paraId="1F68EDB2" w14:textId="5FB7AEF2" w:rsidR="007D6B8F" w:rsidRDefault="007D6B8F" w:rsidP="009714FB">
      <w:r>
        <w:t xml:space="preserve">Jednocześnie podkreślić </w:t>
      </w:r>
      <w:r w:rsidR="00CE4B29">
        <w:t xml:space="preserve">należy </w:t>
      </w:r>
      <w:r>
        <w:t xml:space="preserve">znaczenie zasady </w:t>
      </w:r>
      <w:r w:rsidRPr="005A55CD">
        <w:rPr>
          <w:b/>
          <w:bCs/>
        </w:rPr>
        <w:t>„efektywność energetyczna przede wszystkim”</w:t>
      </w:r>
      <w:r>
        <w:t xml:space="preserve">, </w:t>
      </w:r>
      <w:r w:rsidR="005A55CD">
        <w:t>wprowadzonej</w:t>
      </w:r>
      <w:r>
        <w:t xml:space="preserve"> w rozporządzeniu UE 2018/1999</w:t>
      </w:r>
      <w:r w:rsidR="00B537B7">
        <w:t>,</w:t>
      </w:r>
      <w:r>
        <w:t xml:space="preserve"> </w:t>
      </w:r>
      <w:r w:rsidR="00B537B7">
        <w:t xml:space="preserve">zgodnie z którą </w:t>
      </w:r>
      <w:r w:rsidR="00B537B7" w:rsidRPr="00B537B7">
        <w:t>przed podjęciem decyzji dotyczących planowania, polityki i inwestycji należy przeanalizować, czy</w:t>
      </w:r>
      <w:r w:rsidR="00B537B7">
        <w:t xml:space="preserve"> </w:t>
      </w:r>
      <w:r w:rsidR="00AC2BBA">
        <w:t xml:space="preserve">cele zostaną osiągnięte w taki sposób, aby produkowane i wykorzystywane było tylko tyle energii, ile potrzeba. Jednocześnie zastosowane rozwiązania powinny być </w:t>
      </w:r>
      <w:r w:rsidR="001D0CAF" w:rsidRPr="00B537B7">
        <w:t>racjonalne pod względem technicznym, ekonomicznym i ekologicznym</w:t>
      </w:r>
      <w:r w:rsidR="00B25FD0">
        <w:t>. Zasadę należy stosować, uwzględniając podejście oparte na efektywności i integracji systemu, jak również brać pod uwagę perspektywę społeczną i zdrowotną</w:t>
      </w:r>
      <w:r w:rsidR="00B25FD0" w:rsidDel="00B25FD0">
        <w:t xml:space="preserve"> </w:t>
      </w:r>
      <w:r>
        <w:t>. W rezultacie zasada „efektywność energetyczna przede wszystkim” powinna przyczynić się do zwiększenia efektywności poszczególnych sektorów i</w:t>
      </w:r>
      <w:r w:rsidR="009A2A0C">
        <w:t xml:space="preserve"> </w:t>
      </w:r>
      <w:r>
        <w:t>całego systemu energetycznego.</w:t>
      </w:r>
    </w:p>
    <w:p w14:paraId="0EBD68D2" w14:textId="77777777" w:rsidR="00F15918" w:rsidRDefault="00F15918" w:rsidP="009714FB"/>
    <w:p w14:paraId="2188F8C5" w14:textId="11EE128A" w:rsidR="005A55CD" w:rsidRDefault="00A06854" w:rsidP="005A55CD">
      <w:pPr>
        <w:pStyle w:val="Legenda"/>
        <w:jc w:val="center"/>
        <w:rPr>
          <w:b/>
          <w:bCs/>
          <w:i w:val="0"/>
          <w:iCs w:val="0"/>
          <w:sz w:val="28"/>
          <w:szCs w:val="28"/>
        </w:rPr>
      </w:pPr>
      <w:r>
        <w:rPr>
          <w:noProof/>
        </w:rPr>
        <w:lastRenderedPageBreak/>
        <w:drawing>
          <wp:anchor distT="0" distB="0" distL="114300" distR="114300" simplePos="0" relativeHeight="251780096" behindDoc="0" locked="0" layoutInCell="1" allowOverlap="1" wp14:anchorId="18A10312" wp14:editId="346E42BB">
            <wp:simplePos x="0" y="0"/>
            <wp:positionH relativeFrom="margin">
              <wp:align>right</wp:align>
            </wp:positionH>
            <wp:positionV relativeFrom="paragraph">
              <wp:posOffset>306705</wp:posOffset>
            </wp:positionV>
            <wp:extent cx="5760720" cy="4705350"/>
            <wp:effectExtent l="0" t="0" r="0" b="0"/>
            <wp:wrapTopAndBottom/>
            <wp:docPr id="1849542102" name="Wykres 1">
              <a:extLst xmlns:a="http://schemas.openxmlformats.org/drawingml/2006/main">
                <a:ext uri="{FF2B5EF4-FFF2-40B4-BE49-F238E27FC236}">
                  <a16:creationId xmlns:a16="http://schemas.microsoft.com/office/drawing/2014/main" id="{E374219A-CE5C-9AE9-4648-D87CB6D04FE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14:sizeRelH relativeFrom="margin">
              <wp14:pctWidth>0</wp14:pctWidth>
            </wp14:sizeRelH>
            <wp14:sizeRelV relativeFrom="margin">
              <wp14:pctHeight>0</wp14:pctHeight>
            </wp14:sizeRelV>
          </wp:anchor>
        </w:drawing>
      </w:r>
      <w:r w:rsidR="005A55CD" w:rsidRPr="005A55CD">
        <w:rPr>
          <w:b/>
          <w:bCs/>
          <w:i w:val="0"/>
          <w:iCs w:val="0"/>
          <w:sz w:val="28"/>
          <w:szCs w:val="28"/>
        </w:rPr>
        <w:t>Zużycie energii pierwotnej</w:t>
      </w:r>
      <w:r w:rsidR="00BB4331">
        <w:rPr>
          <w:b/>
          <w:bCs/>
          <w:i w:val="0"/>
          <w:iCs w:val="0"/>
          <w:sz w:val="28"/>
          <w:szCs w:val="28"/>
        </w:rPr>
        <w:t xml:space="preserve"> (PEC)</w:t>
      </w:r>
      <w:r w:rsidR="005A55CD" w:rsidRPr="005A55CD">
        <w:rPr>
          <w:b/>
          <w:bCs/>
          <w:i w:val="0"/>
          <w:iCs w:val="0"/>
          <w:sz w:val="28"/>
          <w:szCs w:val="28"/>
        </w:rPr>
        <w:t xml:space="preserve"> i finalne zużycie energii </w:t>
      </w:r>
      <w:r w:rsidR="00BB4331">
        <w:rPr>
          <w:b/>
          <w:bCs/>
          <w:i w:val="0"/>
          <w:iCs w:val="0"/>
          <w:sz w:val="28"/>
          <w:szCs w:val="28"/>
        </w:rPr>
        <w:t xml:space="preserve">(FEC) </w:t>
      </w:r>
      <w:r w:rsidR="005A55CD" w:rsidRPr="005A55CD">
        <w:rPr>
          <w:b/>
          <w:bCs/>
          <w:i w:val="0"/>
          <w:iCs w:val="0"/>
          <w:sz w:val="28"/>
          <w:szCs w:val="28"/>
        </w:rPr>
        <w:t>do 2030 r.</w:t>
      </w:r>
    </w:p>
    <w:p w14:paraId="30699D07" w14:textId="494DF436" w:rsidR="00A06854" w:rsidRDefault="00A06854" w:rsidP="00A160DC">
      <w:bookmarkStart w:id="118" w:name="_Toc159598304"/>
    </w:p>
    <w:tbl>
      <w:tblPr>
        <w:tblpPr w:leftFromText="141" w:rightFromText="141" w:vertAnchor="text" w:horzAnchor="margin" w:tblpY="318"/>
        <w:tblW w:w="4105" w:type="dxa"/>
        <w:tblLayout w:type="fixed"/>
        <w:tblCellMar>
          <w:left w:w="70" w:type="dxa"/>
          <w:right w:w="70" w:type="dxa"/>
        </w:tblCellMar>
        <w:tblLook w:val="04A0" w:firstRow="1" w:lastRow="0" w:firstColumn="1" w:lastColumn="0" w:noHBand="0" w:noVBand="1"/>
      </w:tblPr>
      <w:tblGrid>
        <w:gridCol w:w="1985"/>
        <w:gridCol w:w="706"/>
        <w:gridCol w:w="707"/>
        <w:gridCol w:w="707"/>
      </w:tblGrid>
      <w:tr w:rsidR="00A06854" w:rsidRPr="00067A39" w14:paraId="0447E897" w14:textId="77777777" w:rsidTr="00EB5A04">
        <w:trPr>
          <w:trHeight w:val="283"/>
        </w:trPr>
        <w:tc>
          <w:tcPr>
            <w:tcW w:w="4105" w:type="dxa"/>
            <w:gridSpan w:val="4"/>
            <w:tcBorders>
              <w:top w:val="nil"/>
              <w:left w:val="nil"/>
            </w:tcBorders>
            <w:shd w:val="clear" w:color="auto" w:fill="auto"/>
            <w:noWrap/>
            <w:vAlign w:val="bottom"/>
          </w:tcPr>
          <w:p w14:paraId="1F3D0DD2" w14:textId="5E0034BA" w:rsidR="00A06854" w:rsidRPr="00A06854" w:rsidRDefault="00A06854" w:rsidP="00EB5A04">
            <w:pPr>
              <w:spacing w:after="120" w:line="240" w:lineRule="auto"/>
              <w:jc w:val="center"/>
              <w:rPr>
                <w:b/>
                <w:bCs/>
                <w:color w:val="44546A" w:themeColor="text2"/>
                <w:sz w:val="26"/>
                <w:szCs w:val="26"/>
              </w:rPr>
            </w:pPr>
            <w:r w:rsidRPr="00A06854">
              <w:rPr>
                <w:b/>
                <w:bCs/>
                <w:color w:val="44546A" w:themeColor="text2"/>
                <w:sz w:val="26"/>
                <w:szCs w:val="26"/>
              </w:rPr>
              <w:t>Zużycie energii pierwotnej [Mtoe]</w:t>
            </w:r>
          </w:p>
        </w:tc>
      </w:tr>
      <w:tr w:rsidR="00A06854" w:rsidRPr="00067A39" w14:paraId="4D8202D6" w14:textId="77777777" w:rsidTr="003169E3">
        <w:trPr>
          <w:trHeight w:val="283"/>
        </w:trPr>
        <w:tc>
          <w:tcPr>
            <w:tcW w:w="1985" w:type="dxa"/>
            <w:tcBorders>
              <w:left w:val="nil"/>
              <w:bottom w:val="single" w:sz="4" w:space="0" w:color="auto"/>
              <w:right w:val="single" w:sz="4" w:space="0" w:color="auto"/>
            </w:tcBorders>
            <w:shd w:val="clear" w:color="auto" w:fill="auto"/>
            <w:noWrap/>
            <w:vAlign w:val="center"/>
            <w:hideMark/>
          </w:tcPr>
          <w:p w14:paraId="55B29E47" w14:textId="77777777" w:rsidR="00A06854" w:rsidRPr="00067A39" w:rsidRDefault="00A06854" w:rsidP="00A06854">
            <w:pPr>
              <w:spacing w:after="0"/>
              <w:jc w:val="right"/>
              <w:rPr>
                <w:lang w:eastAsia="pl-PL"/>
              </w:rPr>
            </w:pPr>
          </w:p>
        </w:tc>
        <w:tc>
          <w:tcPr>
            <w:tcW w:w="706" w:type="dxa"/>
            <w:tcBorders>
              <w:top w:val="single" w:sz="4" w:space="0" w:color="auto"/>
              <w:left w:val="single" w:sz="4" w:space="0" w:color="auto"/>
              <w:bottom w:val="single" w:sz="4" w:space="0" w:color="auto"/>
              <w:right w:val="single" w:sz="4" w:space="0" w:color="auto"/>
            </w:tcBorders>
            <w:shd w:val="clear" w:color="auto" w:fill="C5E0B3" w:themeFill="accent6" w:themeFillTint="66"/>
            <w:noWrap/>
            <w:vAlign w:val="center"/>
            <w:hideMark/>
          </w:tcPr>
          <w:p w14:paraId="406EF730" w14:textId="77777777" w:rsidR="00A06854" w:rsidRPr="00067A39" w:rsidRDefault="00A06854" w:rsidP="00A06854">
            <w:pPr>
              <w:spacing w:after="0" w:line="240" w:lineRule="auto"/>
              <w:jc w:val="right"/>
              <w:rPr>
                <w:rFonts w:eastAsia="Times New Roman" w:cs="Times New Roman"/>
                <w:b/>
                <w:bCs/>
                <w:color w:val="000000"/>
                <w:kern w:val="0"/>
                <w:sz w:val="18"/>
                <w:szCs w:val="18"/>
                <w:lang w:eastAsia="pl-PL"/>
                <w14:ligatures w14:val="none"/>
              </w:rPr>
            </w:pPr>
            <w:r w:rsidRPr="00067A39">
              <w:rPr>
                <w:rFonts w:eastAsia="Times New Roman" w:cs="Times New Roman"/>
                <w:b/>
                <w:bCs/>
                <w:color w:val="000000"/>
                <w:kern w:val="0"/>
                <w:sz w:val="18"/>
                <w:szCs w:val="18"/>
                <w:lang w:eastAsia="pl-PL"/>
                <w14:ligatures w14:val="none"/>
              </w:rPr>
              <w:t>2020</w:t>
            </w:r>
          </w:p>
        </w:tc>
        <w:tc>
          <w:tcPr>
            <w:tcW w:w="707" w:type="dxa"/>
            <w:tcBorders>
              <w:top w:val="single" w:sz="4" w:space="0" w:color="auto"/>
              <w:left w:val="single" w:sz="4" w:space="0" w:color="auto"/>
              <w:bottom w:val="single" w:sz="4" w:space="0" w:color="auto"/>
              <w:right w:val="single" w:sz="4" w:space="0" w:color="auto"/>
            </w:tcBorders>
            <w:shd w:val="clear" w:color="auto" w:fill="C5E0B3" w:themeFill="accent6" w:themeFillTint="66"/>
            <w:noWrap/>
            <w:vAlign w:val="center"/>
            <w:hideMark/>
          </w:tcPr>
          <w:p w14:paraId="7C0DCDC4" w14:textId="77777777" w:rsidR="00A06854" w:rsidRPr="00067A39" w:rsidRDefault="00A06854" w:rsidP="00A06854">
            <w:pPr>
              <w:spacing w:after="0" w:line="240" w:lineRule="auto"/>
              <w:jc w:val="right"/>
              <w:rPr>
                <w:rFonts w:eastAsia="Times New Roman" w:cs="Times New Roman"/>
                <w:b/>
                <w:bCs/>
                <w:color w:val="000000"/>
                <w:kern w:val="0"/>
                <w:sz w:val="18"/>
                <w:szCs w:val="18"/>
                <w:lang w:eastAsia="pl-PL"/>
                <w14:ligatures w14:val="none"/>
              </w:rPr>
            </w:pPr>
            <w:r w:rsidRPr="00067A39">
              <w:rPr>
                <w:rFonts w:eastAsia="Times New Roman" w:cs="Times New Roman"/>
                <w:b/>
                <w:bCs/>
                <w:color w:val="000000"/>
                <w:kern w:val="0"/>
                <w:sz w:val="18"/>
                <w:szCs w:val="18"/>
                <w:lang w:eastAsia="pl-PL"/>
                <w14:ligatures w14:val="none"/>
              </w:rPr>
              <w:t>2030</w:t>
            </w:r>
          </w:p>
        </w:tc>
        <w:tc>
          <w:tcPr>
            <w:tcW w:w="707" w:type="dxa"/>
            <w:tcBorders>
              <w:top w:val="single" w:sz="4" w:space="0" w:color="auto"/>
              <w:left w:val="single" w:sz="4" w:space="0" w:color="auto"/>
              <w:bottom w:val="single" w:sz="4" w:space="0" w:color="auto"/>
              <w:right w:val="single" w:sz="4" w:space="0" w:color="auto"/>
            </w:tcBorders>
            <w:shd w:val="clear" w:color="auto" w:fill="C5E0B3" w:themeFill="accent6" w:themeFillTint="66"/>
            <w:noWrap/>
            <w:vAlign w:val="center"/>
            <w:hideMark/>
          </w:tcPr>
          <w:p w14:paraId="389BD688" w14:textId="77777777" w:rsidR="00A06854" w:rsidRPr="00067A39" w:rsidRDefault="00A06854" w:rsidP="00A06854">
            <w:pPr>
              <w:spacing w:after="0" w:line="240" w:lineRule="auto"/>
              <w:jc w:val="right"/>
              <w:rPr>
                <w:rFonts w:eastAsia="Times New Roman" w:cs="Times New Roman"/>
                <w:b/>
                <w:bCs/>
                <w:color w:val="000000"/>
                <w:kern w:val="0"/>
                <w:sz w:val="18"/>
                <w:szCs w:val="18"/>
                <w:lang w:eastAsia="pl-PL"/>
                <w14:ligatures w14:val="none"/>
              </w:rPr>
            </w:pPr>
            <w:r w:rsidRPr="00067A39">
              <w:rPr>
                <w:rFonts w:eastAsia="Times New Roman" w:cs="Times New Roman"/>
                <w:b/>
                <w:bCs/>
                <w:color w:val="000000"/>
                <w:kern w:val="0"/>
                <w:sz w:val="18"/>
                <w:szCs w:val="18"/>
                <w:lang w:eastAsia="pl-PL"/>
                <w14:ligatures w14:val="none"/>
              </w:rPr>
              <w:t>2040</w:t>
            </w:r>
          </w:p>
        </w:tc>
      </w:tr>
      <w:tr w:rsidR="00C35CE2" w:rsidRPr="00067A39" w14:paraId="2CAD6C6E" w14:textId="77777777" w:rsidTr="003169E3">
        <w:trPr>
          <w:trHeight w:val="352"/>
        </w:trPr>
        <w:tc>
          <w:tcPr>
            <w:tcW w:w="1985" w:type="dxa"/>
            <w:tcBorders>
              <w:top w:val="single" w:sz="4" w:space="0" w:color="auto"/>
              <w:left w:val="single" w:sz="4" w:space="0" w:color="auto"/>
              <w:right w:val="single" w:sz="4" w:space="0" w:color="auto"/>
            </w:tcBorders>
            <w:shd w:val="clear" w:color="auto" w:fill="auto"/>
            <w:noWrap/>
            <w:vAlign w:val="center"/>
            <w:hideMark/>
          </w:tcPr>
          <w:p w14:paraId="0FB3A702" w14:textId="77777777" w:rsidR="00C35CE2" w:rsidRPr="00067A39" w:rsidRDefault="00C35CE2" w:rsidP="00C35CE2">
            <w:pPr>
              <w:spacing w:after="0" w:line="240" w:lineRule="auto"/>
              <w:jc w:val="right"/>
              <w:rPr>
                <w:rFonts w:eastAsia="Times New Roman" w:cs="Times New Roman"/>
                <w:color w:val="000000"/>
                <w:kern w:val="0"/>
                <w:sz w:val="19"/>
                <w:szCs w:val="19"/>
                <w:lang w:eastAsia="pl-PL"/>
                <w14:ligatures w14:val="none"/>
              </w:rPr>
            </w:pPr>
            <w:r w:rsidRPr="00067A39">
              <w:rPr>
                <w:rFonts w:eastAsia="Times New Roman" w:cs="Times New Roman"/>
                <w:color w:val="000000"/>
                <w:kern w:val="0"/>
                <w:sz w:val="19"/>
                <w:szCs w:val="19"/>
                <w:lang w:eastAsia="pl-PL"/>
                <w14:ligatures w14:val="none"/>
              </w:rPr>
              <w:t>PRIMES 2007</w:t>
            </w:r>
          </w:p>
        </w:tc>
        <w:tc>
          <w:tcPr>
            <w:tcW w:w="706" w:type="dxa"/>
            <w:tcBorders>
              <w:top w:val="single" w:sz="4" w:space="0" w:color="auto"/>
              <w:left w:val="single" w:sz="4" w:space="0" w:color="auto"/>
              <w:right w:val="single" w:sz="4" w:space="0" w:color="auto"/>
            </w:tcBorders>
            <w:shd w:val="clear" w:color="auto" w:fill="auto"/>
            <w:noWrap/>
            <w:vAlign w:val="center"/>
          </w:tcPr>
          <w:p w14:paraId="7A1AB457" w14:textId="26938D20" w:rsidR="00C35CE2" w:rsidRPr="00067A39" w:rsidRDefault="00C35CE2" w:rsidP="00C35CE2">
            <w:pPr>
              <w:spacing w:after="0" w:line="240" w:lineRule="auto"/>
              <w:jc w:val="right"/>
              <w:rPr>
                <w:rFonts w:eastAsia="Times New Roman" w:cs="Times New Roman"/>
                <w:color w:val="000000"/>
                <w:kern w:val="0"/>
                <w:sz w:val="19"/>
                <w:szCs w:val="19"/>
                <w:lang w:eastAsia="pl-PL"/>
                <w14:ligatures w14:val="none"/>
              </w:rPr>
            </w:pPr>
            <w:r w:rsidRPr="00A06854">
              <w:rPr>
                <w:sz w:val="19"/>
                <w:szCs w:val="19"/>
              </w:rPr>
              <w:t>109,8</w:t>
            </w:r>
          </w:p>
        </w:tc>
        <w:tc>
          <w:tcPr>
            <w:tcW w:w="707" w:type="dxa"/>
            <w:tcBorders>
              <w:top w:val="single" w:sz="4" w:space="0" w:color="auto"/>
              <w:left w:val="single" w:sz="4" w:space="0" w:color="auto"/>
              <w:right w:val="single" w:sz="4" w:space="0" w:color="auto"/>
            </w:tcBorders>
            <w:shd w:val="clear" w:color="auto" w:fill="auto"/>
            <w:noWrap/>
            <w:vAlign w:val="center"/>
          </w:tcPr>
          <w:p w14:paraId="6D856BC8" w14:textId="0599C1B2" w:rsidR="00C35CE2" w:rsidRPr="00067A39" w:rsidRDefault="00C35CE2" w:rsidP="00C35CE2">
            <w:pPr>
              <w:spacing w:after="0" w:line="240" w:lineRule="auto"/>
              <w:jc w:val="right"/>
              <w:rPr>
                <w:rFonts w:eastAsia="Times New Roman" w:cs="Times New Roman"/>
                <w:color w:val="000000"/>
                <w:kern w:val="0"/>
                <w:sz w:val="19"/>
                <w:szCs w:val="19"/>
                <w:lang w:eastAsia="pl-PL"/>
                <w14:ligatures w14:val="none"/>
              </w:rPr>
            </w:pPr>
            <w:r w:rsidRPr="00A06854">
              <w:rPr>
                <w:sz w:val="19"/>
                <w:szCs w:val="19"/>
              </w:rPr>
              <w:t>118,6</w:t>
            </w:r>
          </w:p>
        </w:tc>
        <w:tc>
          <w:tcPr>
            <w:tcW w:w="707" w:type="dxa"/>
            <w:tcBorders>
              <w:top w:val="single" w:sz="4" w:space="0" w:color="auto"/>
              <w:left w:val="single" w:sz="4" w:space="0" w:color="auto"/>
              <w:right w:val="single" w:sz="4" w:space="0" w:color="auto"/>
            </w:tcBorders>
            <w:shd w:val="clear" w:color="auto" w:fill="auto"/>
            <w:noWrap/>
            <w:vAlign w:val="center"/>
          </w:tcPr>
          <w:p w14:paraId="3284D35D" w14:textId="76A87E8F" w:rsidR="00C35CE2" w:rsidRPr="00067A39" w:rsidRDefault="00C35CE2" w:rsidP="00C35CE2">
            <w:pPr>
              <w:spacing w:after="0" w:line="240" w:lineRule="auto"/>
              <w:jc w:val="right"/>
              <w:rPr>
                <w:rFonts w:eastAsia="Times New Roman" w:cs="Times New Roman"/>
                <w:color w:val="000000"/>
                <w:kern w:val="0"/>
                <w:sz w:val="19"/>
                <w:szCs w:val="19"/>
                <w:lang w:eastAsia="pl-PL"/>
                <w14:ligatures w14:val="none"/>
              </w:rPr>
            </w:pPr>
            <w:r w:rsidRPr="00A06854">
              <w:rPr>
                <w:sz w:val="19"/>
                <w:szCs w:val="19"/>
              </w:rPr>
              <w:t>119,8</w:t>
            </w:r>
            <w:r>
              <w:rPr>
                <w:sz w:val="19"/>
                <w:szCs w:val="19"/>
              </w:rPr>
              <w:t>*</w:t>
            </w:r>
          </w:p>
        </w:tc>
      </w:tr>
      <w:tr w:rsidR="00C35CE2" w:rsidRPr="00067A39" w14:paraId="6F04165E" w14:textId="77777777" w:rsidTr="003169E3">
        <w:trPr>
          <w:trHeight w:val="352"/>
        </w:trPr>
        <w:tc>
          <w:tcPr>
            <w:tcW w:w="1985" w:type="dxa"/>
            <w:tcBorders>
              <w:left w:val="single" w:sz="4" w:space="0" w:color="auto"/>
              <w:right w:val="single" w:sz="4" w:space="0" w:color="auto"/>
            </w:tcBorders>
            <w:shd w:val="clear" w:color="auto" w:fill="auto"/>
            <w:noWrap/>
            <w:vAlign w:val="center"/>
            <w:hideMark/>
          </w:tcPr>
          <w:p w14:paraId="1425830B" w14:textId="77777777" w:rsidR="00C35CE2" w:rsidRPr="00067A39" w:rsidRDefault="00C35CE2" w:rsidP="00C35CE2">
            <w:pPr>
              <w:spacing w:after="0" w:line="240" w:lineRule="auto"/>
              <w:jc w:val="right"/>
              <w:rPr>
                <w:rFonts w:eastAsia="Times New Roman" w:cs="Times New Roman"/>
                <w:color w:val="000000"/>
                <w:kern w:val="0"/>
                <w:sz w:val="19"/>
                <w:szCs w:val="19"/>
                <w:lang w:eastAsia="pl-PL"/>
                <w14:ligatures w14:val="none"/>
              </w:rPr>
            </w:pPr>
            <w:r w:rsidRPr="00067A39">
              <w:rPr>
                <w:rFonts w:eastAsia="Times New Roman" w:cs="Times New Roman"/>
                <w:color w:val="000000"/>
                <w:kern w:val="0"/>
                <w:sz w:val="19"/>
                <w:szCs w:val="19"/>
                <w:lang w:eastAsia="pl-PL"/>
                <w14:ligatures w14:val="none"/>
              </w:rPr>
              <w:t>PRIMES 2020</w:t>
            </w:r>
          </w:p>
        </w:tc>
        <w:tc>
          <w:tcPr>
            <w:tcW w:w="706" w:type="dxa"/>
            <w:tcBorders>
              <w:left w:val="single" w:sz="4" w:space="0" w:color="auto"/>
              <w:right w:val="single" w:sz="4" w:space="0" w:color="auto"/>
            </w:tcBorders>
            <w:shd w:val="clear" w:color="auto" w:fill="auto"/>
            <w:noWrap/>
            <w:vAlign w:val="center"/>
          </w:tcPr>
          <w:p w14:paraId="7E20F09E" w14:textId="390C3D4B" w:rsidR="00C35CE2" w:rsidRPr="00067A39" w:rsidRDefault="00C35CE2" w:rsidP="00C35CE2">
            <w:pPr>
              <w:spacing w:after="0" w:line="240" w:lineRule="auto"/>
              <w:jc w:val="right"/>
              <w:rPr>
                <w:rFonts w:eastAsia="Times New Roman" w:cs="Times New Roman"/>
                <w:color w:val="000000"/>
                <w:kern w:val="0"/>
                <w:sz w:val="19"/>
                <w:szCs w:val="19"/>
                <w:lang w:eastAsia="pl-PL"/>
                <w14:ligatures w14:val="none"/>
              </w:rPr>
            </w:pPr>
            <w:r w:rsidRPr="00A06854">
              <w:rPr>
                <w:sz w:val="19"/>
                <w:szCs w:val="19"/>
              </w:rPr>
              <w:t>85,7</w:t>
            </w:r>
          </w:p>
        </w:tc>
        <w:tc>
          <w:tcPr>
            <w:tcW w:w="707" w:type="dxa"/>
            <w:tcBorders>
              <w:left w:val="single" w:sz="4" w:space="0" w:color="auto"/>
              <w:right w:val="single" w:sz="4" w:space="0" w:color="auto"/>
            </w:tcBorders>
            <w:shd w:val="clear" w:color="auto" w:fill="auto"/>
            <w:noWrap/>
            <w:vAlign w:val="center"/>
          </w:tcPr>
          <w:p w14:paraId="50BBE35F" w14:textId="25983E24" w:rsidR="00C35CE2" w:rsidRPr="00067A39" w:rsidRDefault="00C35CE2" w:rsidP="00C35CE2">
            <w:pPr>
              <w:spacing w:after="0" w:line="240" w:lineRule="auto"/>
              <w:jc w:val="right"/>
              <w:rPr>
                <w:rFonts w:eastAsia="Times New Roman" w:cs="Times New Roman"/>
                <w:color w:val="000000"/>
                <w:kern w:val="0"/>
                <w:sz w:val="19"/>
                <w:szCs w:val="19"/>
                <w:lang w:eastAsia="pl-PL"/>
                <w14:ligatures w14:val="none"/>
              </w:rPr>
            </w:pPr>
            <w:r w:rsidRPr="00A06854">
              <w:rPr>
                <w:sz w:val="19"/>
                <w:szCs w:val="19"/>
              </w:rPr>
              <w:t>93,3</w:t>
            </w:r>
          </w:p>
        </w:tc>
        <w:tc>
          <w:tcPr>
            <w:tcW w:w="707" w:type="dxa"/>
            <w:tcBorders>
              <w:left w:val="single" w:sz="4" w:space="0" w:color="auto"/>
              <w:right w:val="single" w:sz="4" w:space="0" w:color="auto"/>
            </w:tcBorders>
            <w:shd w:val="clear" w:color="auto" w:fill="auto"/>
            <w:noWrap/>
            <w:vAlign w:val="center"/>
          </w:tcPr>
          <w:p w14:paraId="530E84A9" w14:textId="5C94A106" w:rsidR="00C35CE2" w:rsidRPr="00067A39" w:rsidRDefault="00C35CE2" w:rsidP="00C35CE2">
            <w:pPr>
              <w:spacing w:after="0" w:line="240" w:lineRule="auto"/>
              <w:jc w:val="right"/>
              <w:rPr>
                <w:rFonts w:eastAsia="Times New Roman" w:cs="Times New Roman"/>
                <w:color w:val="000000"/>
                <w:kern w:val="0"/>
                <w:sz w:val="19"/>
                <w:szCs w:val="19"/>
                <w:lang w:eastAsia="pl-PL"/>
                <w14:ligatures w14:val="none"/>
              </w:rPr>
            </w:pPr>
            <w:r w:rsidRPr="00A06854">
              <w:rPr>
                <w:sz w:val="19"/>
                <w:szCs w:val="19"/>
              </w:rPr>
              <w:t>81,0</w:t>
            </w:r>
          </w:p>
        </w:tc>
      </w:tr>
      <w:tr w:rsidR="00C35CE2" w:rsidRPr="00067A39" w14:paraId="00BF3453" w14:textId="77777777" w:rsidTr="003169E3">
        <w:trPr>
          <w:trHeight w:val="352"/>
        </w:trPr>
        <w:tc>
          <w:tcPr>
            <w:tcW w:w="1985" w:type="dxa"/>
            <w:tcBorders>
              <w:left w:val="single" w:sz="4" w:space="0" w:color="auto"/>
              <w:right w:val="single" w:sz="4" w:space="0" w:color="auto"/>
            </w:tcBorders>
            <w:shd w:val="clear" w:color="auto" w:fill="auto"/>
            <w:noWrap/>
            <w:vAlign w:val="center"/>
            <w:hideMark/>
          </w:tcPr>
          <w:p w14:paraId="0ADAFF39" w14:textId="77777777" w:rsidR="00C35CE2" w:rsidRPr="00067A39" w:rsidRDefault="00C35CE2" w:rsidP="00C35CE2">
            <w:pPr>
              <w:spacing w:after="0" w:line="240" w:lineRule="auto"/>
              <w:jc w:val="right"/>
              <w:rPr>
                <w:rFonts w:eastAsia="Times New Roman" w:cs="Times New Roman"/>
                <w:color w:val="000000"/>
                <w:kern w:val="0"/>
                <w:sz w:val="19"/>
                <w:szCs w:val="19"/>
                <w:lang w:eastAsia="pl-PL"/>
                <w14:ligatures w14:val="none"/>
              </w:rPr>
            </w:pPr>
            <w:r>
              <w:rPr>
                <w:rFonts w:eastAsia="Times New Roman" w:cs="Times New Roman"/>
                <w:color w:val="000000"/>
                <w:kern w:val="0"/>
                <w:sz w:val="19"/>
                <w:szCs w:val="19"/>
                <w:lang w:eastAsia="pl-PL"/>
                <w14:ligatures w14:val="none"/>
              </w:rPr>
              <w:t>Według</w:t>
            </w:r>
            <w:r w:rsidRPr="00067A39">
              <w:rPr>
                <w:rFonts w:eastAsia="Times New Roman" w:cs="Times New Roman"/>
                <w:color w:val="000000"/>
                <w:kern w:val="0"/>
                <w:sz w:val="19"/>
                <w:szCs w:val="19"/>
                <w:lang w:eastAsia="pl-PL"/>
                <w14:ligatures w14:val="none"/>
              </w:rPr>
              <w:t xml:space="preserve"> formuły EED</w:t>
            </w:r>
          </w:p>
        </w:tc>
        <w:tc>
          <w:tcPr>
            <w:tcW w:w="706" w:type="dxa"/>
            <w:tcBorders>
              <w:left w:val="single" w:sz="4" w:space="0" w:color="auto"/>
              <w:right w:val="single" w:sz="4" w:space="0" w:color="auto"/>
            </w:tcBorders>
            <w:shd w:val="clear" w:color="auto" w:fill="auto"/>
            <w:noWrap/>
            <w:vAlign w:val="center"/>
          </w:tcPr>
          <w:p w14:paraId="0E7DF6EA" w14:textId="4CF25AFD" w:rsidR="00C35CE2" w:rsidRPr="00067A39" w:rsidRDefault="00C35CE2" w:rsidP="00C35CE2">
            <w:pPr>
              <w:spacing w:after="0" w:line="240" w:lineRule="auto"/>
              <w:jc w:val="right"/>
              <w:rPr>
                <w:rFonts w:eastAsia="Times New Roman" w:cs="Times New Roman"/>
                <w:color w:val="000000"/>
                <w:kern w:val="0"/>
                <w:sz w:val="19"/>
                <w:szCs w:val="19"/>
                <w:lang w:eastAsia="pl-PL"/>
                <w14:ligatures w14:val="none"/>
              </w:rPr>
            </w:pPr>
            <w:r w:rsidRPr="00A06854">
              <w:rPr>
                <w:sz w:val="19"/>
                <w:szCs w:val="19"/>
              </w:rPr>
              <w:t>96,9</w:t>
            </w:r>
            <w:r>
              <w:rPr>
                <w:sz w:val="19"/>
                <w:szCs w:val="19"/>
              </w:rPr>
              <w:t>*</w:t>
            </w:r>
            <w:r w:rsidRPr="00A06854">
              <w:rPr>
                <w:sz w:val="19"/>
                <w:szCs w:val="19"/>
              </w:rPr>
              <w:t>*</w:t>
            </w:r>
          </w:p>
        </w:tc>
        <w:tc>
          <w:tcPr>
            <w:tcW w:w="707" w:type="dxa"/>
            <w:tcBorders>
              <w:left w:val="single" w:sz="4" w:space="0" w:color="auto"/>
              <w:right w:val="single" w:sz="4" w:space="0" w:color="auto"/>
            </w:tcBorders>
            <w:shd w:val="clear" w:color="auto" w:fill="auto"/>
            <w:noWrap/>
            <w:vAlign w:val="center"/>
          </w:tcPr>
          <w:p w14:paraId="1176343F" w14:textId="089986C3" w:rsidR="00C35CE2" w:rsidRPr="00067A39" w:rsidRDefault="00C35CE2" w:rsidP="00C35CE2">
            <w:pPr>
              <w:spacing w:after="0" w:line="240" w:lineRule="auto"/>
              <w:jc w:val="right"/>
              <w:rPr>
                <w:rFonts w:eastAsia="Times New Roman" w:cs="Times New Roman"/>
                <w:color w:val="000000"/>
                <w:kern w:val="0"/>
                <w:sz w:val="19"/>
                <w:szCs w:val="19"/>
                <w:lang w:eastAsia="pl-PL"/>
                <w14:ligatures w14:val="none"/>
              </w:rPr>
            </w:pPr>
            <w:r w:rsidRPr="00A06854">
              <w:rPr>
                <w:sz w:val="19"/>
                <w:szCs w:val="19"/>
              </w:rPr>
              <w:t>79,9</w:t>
            </w:r>
          </w:p>
        </w:tc>
        <w:tc>
          <w:tcPr>
            <w:tcW w:w="707" w:type="dxa"/>
            <w:tcBorders>
              <w:left w:val="single" w:sz="4" w:space="0" w:color="auto"/>
              <w:right w:val="single" w:sz="4" w:space="0" w:color="auto"/>
            </w:tcBorders>
            <w:shd w:val="clear" w:color="auto" w:fill="auto"/>
            <w:noWrap/>
            <w:vAlign w:val="center"/>
          </w:tcPr>
          <w:p w14:paraId="7EBF0211" w14:textId="02A1EB10" w:rsidR="00C35CE2" w:rsidRPr="00067A39" w:rsidRDefault="00C35CE2" w:rsidP="00C35CE2">
            <w:pPr>
              <w:spacing w:after="0" w:line="240" w:lineRule="auto"/>
              <w:jc w:val="right"/>
              <w:rPr>
                <w:rFonts w:eastAsia="Times New Roman" w:cs="Times New Roman"/>
                <w:color w:val="000000"/>
                <w:kern w:val="0"/>
                <w:sz w:val="19"/>
                <w:szCs w:val="19"/>
                <w:lang w:eastAsia="pl-PL"/>
                <w14:ligatures w14:val="none"/>
              </w:rPr>
            </w:pPr>
            <w:r>
              <w:rPr>
                <w:rFonts w:eastAsia="Times New Roman" w:cs="Times New Roman"/>
                <w:color w:val="000000"/>
                <w:kern w:val="0"/>
                <w:sz w:val="19"/>
                <w:szCs w:val="19"/>
                <w:lang w:eastAsia="pl-PL"/>
                <w14:ligatures w14:val="none"/>
              </w:rPr>
              <w:t>–</w:t>
            </w:r>
          </w:p>
        </w:tc>
      </w:tr>
      <w:tr w:rsidR="00C35CE2" w:rsidRPr="00067A39" w14:paraId="4A1F545D" w14:textId="77777777" w:rsidTr="003169E3">
        <w:trPr>
          <w:trHeight w:val="352"/>
        </w:trPr>
        <w:tc>
          <w:tcPr>
            <w:tcW w:w="1985" w:type="dxa"/>
            <w:tcBorders>
              <w:left w:val="single" w:sz="4" w:space="0" w:color="auto"/>
              <w:bottom w:val="single" w:sz="4" w:space="0" w:color="auto"/>
              <w:right w:val="single" w:sz="4" w:space="0" w:color="auto"/>
            </w:tcBorders>
            <w:shd w:val="clear" w:color="auto" w:fill="auto"/>
            <w:noWrap/>
            <w:vAlign w:val="center"/>
            <w:hideMark/>
          </w:tcPr>
          <w:p w14:paraId="4247083A" w14:textId="77777777" w:rsidR="00C35CE2" w:rsidRPr="00067A39" w:rsidRDefault="00C35CE2" w:rsidP="00C35CE2">
            <w:pPr>
              <w:spacing w:after="0" w:line="240" w:lineRule="auto"/>
              <w:jc w:val="right"/>
              <w:rPr>
                <w:rFonts w:eastAsia="Times New Roman" w:cs="Times New Roman"/>
                <w:color w:val="000000"/>
                <w:kern w:val="0"/>
                <w:sz w:val="19"/>
                <w:szCs w:val="19"/>
                <w:lang w:eastAsia="pl-PL"/>
                <w14:ligatures w14:val="none"/>
              </w:rPr>
            </w:pPr>
            <w:r w:rsidRPr="00067A39">
              <w:rPr>
                <w:rFonts w:eastAsia="Times New Roman" w:cs="Times New Roman"/>
                <w:color w:val="000000"/>
                <w:kern w:val="0"/>
                <w:sz w:val="19"/>
                <w:szCs w:val="19"/>
                <w:lang w:eastAsia="pl-PL"/>
                <w14:ligatures w14:val="none"/>
              </w:rPr>
              <w:t>Prognoza KPEiK</w:t>
            </w:r>
          </w:p>
        </w:tc>
        <w:tc>
          <w:tcPr>
            <w:tcW w:w="706" w:type="dxa"/>
            <w:tcBorders>
              <w:left w:val="single" w:sz="4" w:space="0" w:color="auto"/>
              <w:bottom w:val="single" w:sz="4" w:space="0" w:color="auto"/>
              <w:right w:val="single" w:sz="4" w:space="0" w:color="auto"/>
            </w:tcBorders>
            <w:shd w:val="clear" w:color="auto" w:fill="auto"/>
            <w:noWrap/>
            <w:vAlign w:val="center"/>
          </w:tcPr>
          <w:p w14:paraId="3A137C21" w14:textId="04D39B12" w:rsidR="00C35CE2" w:rsidRPr="00067A39" w:rsidRDefault="00C35CE2" w:rsidP="00C35CE2">
            <w:pPr>
              <w:spacing w:after="0" w:line="240" w:lineRule="auto"/>
              <w:jc w:val="right"/>
              <w:rPr>
                <w:rFonts w:eastAsia="Times New Roman" w:cs="Times New Roman"/>
                <w:color w:val="000000"/>
                <w:kern w:val="0"/>
                <w:sz w:val="19"/>
                <w:szCs w:val="19"/>
                <w:lang w:eastAsia="pl-PL"/>
                <w14:ligatures w14:val="none"/>
              </w:rPr>
            </w:pPr>
            <w:r w:rsidRPr="00A06854">
              <w:rPr>
                <w:sz w:val="19"/>
                <w:szCs w:val="19"/>
              </w:rPr>
              <w:t>96,9</w:t>
            </w:r>
            <w:r>
              <w:rPr>
                <w:sz w:val="19"/>
                <w:szCs w:val="19"/>
              </w:rPr>
              <w:t>*</w:t>
            </w:r>
            <w:r w:rsidRPr="00A06854">
              <w:rPr>
                <w:sz w:val="19"/>
                <w:szCs w:val="19"/>
              </w:rPr>
              <w:t>*</w:t>
            </w:r>
          </w:p>
        </w:tc>
        <w:tc>
          <w:tcPr>
            <w:tcW w:w="707" w:type="dxa"/>
            <w:tcBorders>
              <w:left w:val="single" w:sz="4" w:space="0" w:color="auto"/>
              <w:bottom w:val="single" w:sz="4" w:space="0" w:color="auto"/>
              <w:right w:val="single" w:sz="4" w:space="0" w:color="auto"/>
            </w:tcBorders>
            <w:shd w:val="clear" w:color="auto" w:fill="auto"/>
            <w:noWrap/>
            <w:vAlign w:val="center"/>
          </w:tcPr>
          <w:p w14:paraId="188DC1E0" w14:textId="44F0A5CE" w:rsidR="00C35CE2" w:rsidRPr="00067A39" w:rsidRDefault="00C35CE2" w:rsidP="00C35CE2">
            <w:pPr>
              <w:spacing w:after="0" w:line="240" w:lineRule="auto"/>
              <w:jc w:val="right"/>
              <w:rPr>
                <w:rFonts w:eastAsia="Times New Roman" w:cs="Times New Roman"/>
                <w:color w:val="000000"/>
                <w:kern w:val="0"/>
                <w:sz w:val="19"/>
                <w:szCs w:val="19"/>
                <w:lang w:eastAsia="pl-PL"/>
                <w14:ligatures w14:val="none"/>
              </w:rPr>
            </w:pPr>
            <w:r w:rsidRPr="00A06854">
              <w:rPr>
                <w:sz w:val="19"/>
                <w:szCs w:val="19"/>
              </w:rPr>
              <w:t>80,6</w:t>
            </w:r>
          </w:p>
        </w:tc>
        <w:tc>
          <w:tcPr>
            <w:tcW w:w="707" w:type="dxa"/>
            <w:tcBorders>
              <w:left w:val="single" w:sz="4" w:space="0" w:color="auto"/>
              <w:bottom w:val="single" w:sz="4" w:space="0" w:color="auto"/>
              <w:right w:val="single" w:sz="4" w:space="0" w:color="auto"/>
            </w:tcBorders>
            <w:shd w:val="clear" w:color="auto" w:fill="auto"/>
            <w:noWrap/>
            <w:vAlign w:val="center"/>
          </w:tcPr>
          <w:p w14:paraId="11537795" w14:textId="5F15A660" w:rsidR="00C35CE2" w:rsidRPr="00067A39" w:rsidRDefault="00C35CE2" w:rsidP="00C35CE2">
            <w:pPr>
              <w:spacing w:after="0" w:line="240" w:lineRule="auto"/>
              <w:jc w:val="right"/>
              <w:rPr>
                <w:rFonts w:eastAsia="Times New Roman" w:cs="Times New Roman"/>
                <w:color w:val="000000"/>
                <w:kern w:val="0"/>
                <w:sz w:val="19"/>
                <w:szCs w:val="19"/>
                <w:lang w:eastAsia="pl-PL"/>
                <w14:ligatures w14:val="none"/>
              </w:rPr>
            </w:pPr>
            <w:r w:rsidRPr="00A06854">
              <w:rPr>
                <w:sz w:val="19"/>
                <w:szCs w:val="19"/>
              </w:rPr>
              <w:t>75,4</w:t>
            </w:r>
          </w:p>
        </w:tc>
      </w:tr>
      <w:tr w:rsidR="00FF57E5" w:rsidRPr="00067A39" w14:paraId="6C39E0AE" w14:textId="77777777" w:rsidTr="00123662">
        <w:trPr>
          <w:trHeight w:val="352"/>
        </w:trPr>
        <w:tc>
          <w:tcPr>
            <w:tcW w:w="4105" w:type="dxa"/>
            <w:gridSpan w:val="4"/>
            <w:tcBorders>
              <w:top w:val="single" w:sz="4" w:space="0" w:color="auto"/>
            </w:tcBorders>
            <w:shd w:val="clear" w:color="auto" w:fill="auto"/>
            <w:noWrap/>
            <w:vAlign w:val="center"/>
          </w:tcPr>
          <w:p w14:paraId="6C614FA8" w14:textId="27B259C5" w:rsidR="00FF57E5" w:rsidRPr="0062270D" w:rsidRDefault="00FF57E5" w:rsidP="00FF57E5">
            <w:pPr>
              <w:spacing w:after="0" w:line="240" w:lineRule="auto"/>
              <w:jc w:val="center"/>
              <w:rPr>
                <w:i/>
                <w:iCs/>
                <w:sz w:val="18"/>
                <w:szCs w:val="18"/>
              </w:rPr>
            </w:pPr>
            <w:r w:rsidRPr="00FF57E5">
              <w:rPr>
                <w:i/>
                <w:iCs/>
                <w:sz w:val="18"/>
                <w:szCs w:val="18"/>
              </w:rPr>
              <w:t>*</w:t>
            </w:r>
            <w:r>
              <w:rPr>
                <w:i/>
                <w:iCs/>
                <w:sz w:val="18"/>
                <w:szCs w:val="18"/>
              </w:rPr>
              <w:t xml:space="preserve"> w</w:t>
            </w:r>
            <w:r w:rsidRPr="00FF57E5">
              <w:rPr>
                <w:i/>
                <w:iCs/>
                <w:sz w:val="18"/>
                <w:szCs w:val="18"/>
              </w:rPr>
              <w:t xml:space="preserve">artość </w:t>
            </w:r>
            <w:r>
              <w:rPr>
                <w:i/>
                <w:iCs/>
                <w:sz w:val="18"/>
                <w:szCs w:val="18"/>
              </w:rPr>
              <w:t>ekstrapolowana   **</w:t>
            </w:r>
            <w:r w:rsidRPr="0062270D">
              <w:rPr>
                <w:i/>
                <w:iCs/>
                <w:sz w:val="18"/>
                <w:szCs w:val="18"/>
              </w:rPr>
              <w:t>dane historyczne</w:t>
            </w:r>
          </w:p>
        </w:tc>
      </w:tr>
    </w:tbl>
    <w:p w14:paraId="46515CAD" w14:textId="77777777" w:rsidR="00A06854" w:rsidRDefault="00A06854" w:rsidP="00A06854"/>
    <w:tbl>
      <w:tblPr>
        <w:tblpPr w:leftFromText="141" w:rightFromText="141" w:vertAnchor="text" w:horzAnchor="page" w:tblpX="5809" w:tblpY="-107"/>
        <w:tblW w:w="4105" w:type="dxa"/>
        <w:tblLayout w:type="fixed"/>
        <w:tblCellMar>
          <w:left w:w="70" w:type="dxa"/>
          <w:right w:w="70" w:type="dxa"/>
        </w:tblCellMar>
        <w:tblLook w:val="04A0" w:firstRow="1" w:lastRow="0" w:firstColumn="1" w:lastColumn="0" w:noHBand="0" w:noVBand="1"/>
      </w:tblPr>
      <w:tblGrid>
        <w:gridCol w:w="1985"/>
        <w:gridCol w:w="706"/>
        <w:gridCol w:w="707"/>
        <w:gridCol w:w="707"/>
      </w:tblGrid>
      <w:tr w:rsidR="00A06854" w:rsidRPr="00067A39" w14:paraId="37C5C3ED" w14:textId="77777777" w:rsidTr="004818E0">
        <w:trPr>
          <w:trHeight w:val="283"/>
        </w:trPr>
        <w:tc>
          <w:tcPr>
            <w:tcW w:w="4105" w:type="dxa"/>
            <w:gridSpan w:val="4"/>
            <w:tcBorders>
              <w:top w:val="nil"/>
              <w:left w:val="nil"/>
            </w:tcBorders>
            <w:shd w:val="clear" w:color="auto" w:fill="auto"/>
            <w:noWrap/>
            <w:vAlign w:val="center"/>
          </w:tcPr>
          <w:p w14:paraId="2F61033B" w14:textId="77777777" w:rsidR="00A06854" w:rsidRPr="00A06854" w:rsidRDefault="00A06854" w:rsidP="004818E0">
            <w:pPr>
              <w:spacing w:after="120" w:line="240" w:lineRule="auto"/>
              <w:jc w:val="center"/>
              <w:rPr>
                <w:b/>
                <w:bCs/>
                <w:color w:val="44546A" w:themeColor="text2"/>
                <w:sz w:val="26"/>
                <w:szCs w:val="26"/>
              </w:rPr>
            </w:pPr>
            <w:r w:rsidRPr="00A06854">
              <w:rPr>
                <w:b/>
                <w:bCs/>
                <w:color w:val="44546A" w:themeColor="text2"/>
                <w:sz w:val="26"/>
                <w:szCs w:val="26"/>
              </w:rPr>
              <w:t>Finalne zużycie energii [Mtoe]</w:t>
            </w:r>
          </w:p>
        </w:tc>
      </w:tr>
      <w:tr w:rsidR="00A06854" w:rsidRPr="00067A39" w14:paraId="3CF85CFA" w14:textId="77777777" w:rsidTr="003169E3">
        <w:trPr>
          <w:trHeight w:val="283"/>
        </w:trPr>
        <w:tc>
          <w:tcPr>
            <w:tcW w:w="1985" w:type="dxa"/>
            <w:tcBorders>
              <w:left w:val="nil"/>
              <w:bottom w:val="single" w:sz="4" w:space="0" w:color="auto"/>
              <w:right w:val="single" w:sz="4" w:space="0" w:color="auto"/>
            </w:tcBorders>
            <w:shd w:val="clear" w:color="auto" w:fill="auto"/>
            <w:noWrap/>
            <w:vAlign w:val="center"/>
            <w:hideMark/>
          </w:tcPr>
          <w:p w14:paraId="38FA3E9A" w14:textId="77777777" w:rsidR="00A06854" w:rsidRPr="00067A39" w:rsidRDefault="00A06854" w:rsidP="004818E0">
            <w:pPr>
              <w:spacing w:after="0"/>
              <w:jc w:val="right"/>
              <w:rPr>
                <w:lang w:eastAsia="pl-PL"/>
              </w:rPr>
            </w:pPr>
          </w:p>
        </w:tc>
        <w:tc>
          <w:tcPr>
            <w:tcW w:w="706" w:type="dxa"/>
            <w:tcBorders>
              <w:top w:val="single" w:sz="4" w:space="0" w:color="auto"/>
              <w:left w:val="single" w:sz="4" w:space="0" w:color="auto"/>
              <w:bottom w:val="single" w:sz="4" w:space="0" w:color="auto"/>
              <w:right w:val="single" w:sz="4" w:space="0" w:color="auto"/>
            </w:tcBorders>
            <w:shd w:val="clear" w:color="auto" w:fill="C5E0B3" w:themeFill="accent6" w:themeFillTint="66"/>
            <w:noWrap/>
            <w:vAlign w:val="center"/>
            <w:hideMark/>
          </w:tcPr>
          <w:p w14:paraId="73407C2C" w14:textId="77777777" w:rsidR="00A06854" w:rsidRPr="00067A39" w:rsidRDefault="00A06854" w:rsidP="004818E0">
            <w:pPr>
              <w:spacing w:after="0" w:line="240" w:lineRule="auto"/>
              <w:jc w:val="right"/>
              <w:rPr>
                <w:rFonts w:eastAsia="Times New Roman" w:cs="Times New Roman"/>
                <w:b/>
                <w:bCs/>
                <w:color w:val="000000"/>
                <w:kern w:val="0"/>
                <w:sz w:val="18"/>
                <w:szCs w:val="18"/>
                <w:lang w:eastAsia="pl-PL"/>
                <w14:ligatures w14:val="none"/>
              </w:rPr>
            </w:pPr>
            <w:r w:rsidRPr="00067A39">
              <w:rPr>
                <w:rFonts w:eastAsia="Times New Roman" w:cs="Times New Roman"/>
                <w:b/>
                <w:bCs/>
                <w:color w:val="000000"/>
                <w:kern w:val="0"/>
                <w:sz w:val="18"/>
                <w:szCs w:val="18"/>
                <w:lang w:eastAsia="pl-PL"/>
                <w14:ligatures w14:val="none"/>
              </w:rPr>
              <w:t>2020</w:t>
            </w:r>
          </w:p>
        </w:tc>
        <w:tc>
          <w:tcPr>
            <w:tcW w:w="707" w:type="dxa"/>
            <w:tcBorders>
              <w:top w:val="single" w:sz="4" w:space="0" w:color="auto"/>
              <w:left w:val="single" w:sz="4" w:space="0" w:color="auto"/>
              <w:bottom w:val="single" w:sz="4" w:space="0" w:color="auto"/>
              <w:right w:val="single" w:sz="4" w:space="0" w:color="auto"/>
            </w:tcBorders>
            <w:shd w:val="clear" w:color="auto" w:fill="C5E0B3" w:themeFill="accent6" w:themeFillTint="66"/>
            <w:noWrap/>
            <w:vAlign w:val="center"/>
            <w:hideMark/>
          </w:tcPr>
          <w:p w14:paraId="0BE8A936" w14:textId="77777777" w:rsidR="00A06854" w:rsidRPr="00067A39" w:rsidRDefault="00A06854" w:rsidP="004818E0">
            <w:pPr>
              <w:spacing w:after="0" w:line="240" w:lineRule="auto"/>
              <w:jc w:val="right"/>
              <w:rPr>
                <w:rFonts w:eastAsia="Times New Roman" w:cs="Times New Roman"/>
                <w:b/>
                <w:bCs/>
                <w:color w:val="000000"/>
                <w:kern w:val="0"/>
                <w:sz w:val="18"/>
                <w:szCs w:val="18"/>
                <w:lang w:eastAsia="pl-PL"/>
                <w14:ligatures w14:val="none"/>
              </w:rPr>
            </w:pPr>
            <w:r w:rsidRPr="00067A39">
              <w:rPr>
                <w:rFonts w:eastAsia="Times New Roman" w:cs="Times New Roman"/>
                <w:b/>
                <w:bCs/>
                <w:color w:val="000000"/>
                <w:kern w:val="0"/>
                <w:sz w:val="18"/>
                <w:szCs w:val="18"/>
                <w:lang w:eastAsia="pl-PL"/>
                <w14:ligatures w14:val="none"/>
              </w:rPr>
              <w:t>2030</w:t>
            </w:r>
          </w:p>
        </w:tc>
        <w:tc>
          <w:tcPr>
            <w:tcW w:w="707" w:type="dxa"/>
            <w:tcBorders>
              <w:top w:val="single" w:sz="4" w:space="0" w:color="auto"/>
              <w:left w:val="single" w:sz="4" w:space="0" w:color="auto"/>
              <w:bottom w:val="single" w:sz="4" w:space="0" w:color="auto"/>
              <w:right w:val="single" w:sz="4" w:space="0" w:color="auto"/>
            </w:tcBorders>
            <w:shd w:val="clear" w:color="auto" w:fill="C5E0B3" w:themeFill="accent6" w:themeFillTint="66"/>
            <w:noWrap/>
            <w:vAlign w:val="center"/>
            <w:hideMark/>
          </w:tcPr>
          <w:p w14:paraId="77B02E97" w14:textId="77777777" w:rsidR="00A06854" w:rsidRPr="00067A39" w:rsidRDefault="00A06854" w:rsidP="004818E0">
            <w:pPr>
              <w:spacing w:after="0" w:line="240" w:lineRule="auto"/>
              <w:jc w:val="right"/>
              <w:rPr>
                <w:rFonts w:eastAsia="Times New Roman" w:cs="Times New Roman"/>
                <w:b/>
                <w:bCs/>
                <w:color w:val="000000"/>
                <w:kern w:val="0"/>
                <w:sz w:val="18"/>
                <w:szCs w:val="18"/>
                <w:lang w:eastAsia="pl-PL"/>
                <w14:ligatures w14:val="none"/>
              </w:rPr>
            </w:pPr>
            <w:r w:rsidRPr="00067A39">
              <w:rPr>
                <w:rFonts w:eastAsia="Times New Roman" w:cs="Times New Roman"/>
                <w:b/>
                <w:bCs/>
                <w:color w:val="000000"/>
                <w:kern w:val="0"/>
                <w:sz w:val="18"/>
                <w:szCs w:val="18"/>
                <w:lang w:eastAsia="pl-PL"/>
                <w14:ligatures w14:val="none"/>
              </w:rPr>
              <w:t>2040</w:t>
            </w:r>
          </w:p>
        </w:tc>
      </w:tr>
      <w:tr w:rsidR="00C35CE2" w:rsidRPr="00067A39" w14:paraId="0F35E63E" w14:textId="77777777" w:rsidTr="003169E3">
        <w:trPr>
          <w:trHeight w:val="352"/>
        </w:trPr>
        <w:tc>
          <w:tcPr>
            <w:tcW w:w="1985" w:type="dxa"/>
            <w:tcBorders>
              <w:top w:val="single" w:sz="4" w:space="0" w:color="auto"/>
              <w:left w:val="single" w:sz="4" w:space="0" w:color="auto"/>
              <w:right w:val="single" w:sz="4" w:space="0" w:color="auto"/>
            </w:tcBorders>
            <w:shd w:val="clear" w:color="auto" w:fill="auto"/>
            <w:noWrap/>
            <w:vAlign w:val="center"/>
            <w:hideMark/>
          </w:tcPr>
          <w:p w14:paraId="1F13C20E" w14:textId="77777777" w:rsidR="00C35CE2" w:rsidRPr="00067A39" w:rsidRDefault="00C35CE2" w:rsidP="00C35CE2">
            <w:pPr>
              <w:spacing w:after="0" w:line="240" w:lineRule="auto"/>
              <w:jc w:val="right"/>
              <w:rPr>
                <w:rFonts w:eastAsia="Times New Roman" w:cs="Times New Roman"/>
                <w:color w:val="000000"/>
                <w:kern w:val="0"/>
                <w:sz w:val="19"/>
                <w:szCs w:val="19"/>
                <w:lang w:eastAsia="pl-PL"/>
                <w14:ligatures w14:val="none"/>
              </w:rPr>
            </w:pPr>
            <w:r w:rsidRPr="00067A39">
              <w:rPr>
                <w:rFonts w:eastAsia="Times New Roman" w:cs="Times New Roman"/>
                <w:color w:val="000000"/>
                <w:kern w:val="0"/>
                <w:sz w:val="19"/>
                <w:szCs w:val="19"/>
                <w:lang w:eastAsia="pl-PL"/>
                <w14:ligatures w14:val="none"/>
              </w:rPr>
              <w:t>PRIMES 2007</w:t>
            </w:r>
          </w:p>
        </w:tc>
        <w:tc>
          <w:tcPr>
            <w:tcW w:w="706" w:type="dxa"/>
            <w:tcBorders>
              <w:top w:val="single" w:sz="4" w:space="0" w:color="auto"/>
              <w:left w:val="single" w:sz="4" w:space="0" w:color="auto"/>
              <w:right w:val="single" w:sz="4" w:space="0" w:color="auto"/>
            </w:tcBorders>
            <w:shd w:val="clear" w:color="auto" w:fill="auto"/>
            <w:noWrap/>
            <w:vAlign w:val="center"/>
          </w:tcPr>
          <w:p w14:paraId="540867C1" w14:textId="143AF0A9" w:rsidR="00C35CE2" w:rsidRPr="00067A39" w:rsidRDefault="00C35CE2" w:rsidP="00C35CE2">
            <w:pPr>
              <w:spacing w:after="0" w:line="240" w:lineRule="auto"/>
              <w:jc w:val="right"/>
              <w:rPr>
                <w:rFonts w:eastAsia="Times New Roman" w:cs="Times New Roman"/>
                <w:color w:val="000000"/>
                <w:kern w:val="0"/>
                <w:sz w:val="19"/>
                <w:szCs w:val="19"/>
                <w:lang w:eastAsia="pl-PL"/>
                <w14:ligatures w14:val="none"/>
              </w:rPr>
            </w:pPr>
            <w:r w:rsidRPr="004818E0">
              <w:rPr>
                <w:sz w:val="19"/>
                <w:szCs w:val="19"/>
              </w:rPr>
              <w:t>77,4</w:t>
            </w:r>
          </w:p>
        </w:tc>
        <w:tc>
          <w:tcPr>
            <w:tcW w:w="707" w:type="dxa"/>
            <w:tcBorders>
              <w:top w:val="single" w:sz="4" w:space="0" w:color="auto"/>
              <w:left w:val="single" w:sz="4" w:space="0" w:color="auto"/>
              <w:right w:val="single" w:sz="4" w:space="0" w:color="auto"/>
            </w:tcBorders>
            <w:shd w:val="clear" w:color="auto" w:fill="auto"/>
            <w:noWrap/>
            <w:vAlign w:val="center"/>
          </w:tcPr>
          <w:p w14:paraId="61813AB1" w14:textId="342F48DB" w:rsidR="00C35CE2" w:rsidRPr="00067A39" w:rsidRDefault="00C35CE2" w:rsidP="00C35CE2">
            <w:pPr>
              <w:spacing w:after="0" w:line="240" w:lineRule="auto"/>
              <w:jc w:val="right"/>
              <w:rPr>
                <w:rFonts w:eastAsia="Times New Roman" w:cs="Times New Roman"/>
                <w:color w:val="000000"/>
                <w:kern w:val="0"/>
                <w:sz w:val="19"/>
                <w:szCs w:val="19"/>
                <w:lang w:eastAsia="pl-PL"/>
                <w14:ligatures w14:val="none"/>
              </w:rPr>
            </w:pPr>
            <w:r w:rsidRPr="004818E0">
              <w:rPr>
                <w:sz w:val="19"/>
                <w:szCs w:val="19"/>
              </w:rPr>
              <w:t>85,5</w:t>
            </w:r>
          </w:p>
        </w:tc>
        <w:tc>
          <w:tcPr>
            <w:tcW w:w="707" w:type="dxa"/>
            <w:tcBorders>
              <w:top w:val="single" w:sz="4" w:space="0" w:color="auto"/>
              <w:left w:val="single" w:sz="4" w:space="0" w:color="auto"/>
              <w:right w:val="single" w:sz="4" w:space="0" w:color="auto"/>
            </w:tcBorders>
            <w:shd w:val="clear" w:color="auto" w:fill="auto"/>
            <w:noWrap/>
            <w:vAlign w:val="center"/>
          </w:tcPr>
          <w:p w14:paraId="35B58180" w14:textId="150ABBA6" w:rsidR="00C35CE2" w:rsidRPr="00067A39" w:rsidRDefault="00C35CE2" w:rsidP="00C35CE2">
            <w:pPr>
              <w:spacing w:after="0" w:line="240" w:lineRule="auto"/>
              <w:jc w:val="right"/>
              <w:rPr>
                <w:rFonts w:eastAsia="Times New Roman" w:cs="Times New Roman"/>
                <w:color w:val="000000"/>
                <w:kern w:val="0"/>
                <w:sz w:val="19"/>
                <w:szCs w:val="19"/>
                <w:lang w:eastAsia="pl-PL"/>
                <w14:ligatures w14:val="none"/>
              </w:rPr>
            </w:pPr>
            <w:r w:rsidRPr="004818E0">
              <w:rPr>
                <w:sz w:val="19"/>
                <w:szCs w:val="19"/>
              </w:rPr>
              <w:t>86,8*</w:t>
            </w:r>
          </w:p>
        </w:tc>
      </w:tr>
      <w:tr w:rsidR="00C35CE2" w:rsidRPr="00067A39" w14:paraId="639A4D7F" w14:textId="77777777" w:rsidTr="003169E3">
        <w:trPr>
          <w:trHeight w:val="352"/>
        </w:trPr>
        <w:tc>
          <w:tcPr>
            <w:tcW w:w="1985" w:type="dxa"/>
            <w:tcBorders>
              <w:left w:val="single" w:sz="4" w:space="0" w:color="auto"/>
              <w:right w:val="single" w:sz="4" w:space="0" w:color="auto"/>
            </w:tcBorders>
            <w:shd w:val="clear" w:color="auto" w:fill="auto"/>
            <w:noWrap/>
            <w:vAlign w:val="center"/>
            <w:hideMark/>
          </w:tcPr>
          <w:p w14:paraId="21CE8ABA" w14:textId="77777777" w:rsidR="00C35CE2" w:rsidRPr="00067A39" w:rsidRDefault="00C35CE2" w:rsidP="00C35CE2">
            <w:pPr>
              <w:spacing w:after="0" w:line="240" w:lineRule="auto"/>
              <w:jc w:val="right"/>
              <w:rPr>
                <w:rFonts w:eastAsia="Times New Roman" w:cs="Times New Roman"/>
                <w:color w:val="000000"/>
                <w:kern w:val="0"/>
                <w:sz w:val="19"/>
                <w:szCs w:val="19"/>
                <w:lang w:eastAsia="pl-PL"/>
                <w14:ligatures w14:val="none"/>
              </w:rPr>
            </w:pPr>
            <w:r w:rsidRPr="00067A39">
              <w:rPr>
                <w:rFonts w:eastAsia="Times New Roman" w:cs="Times New Roman"/>
                <w:color w:val="000000"/>
                <w:kern w:val="0"/>
                <w:sz w:val="19"/>
                <w:szCs w:val="19"/>
                <w:lang w:eastAsia="pl-PL"/>
                <w14:ligatures w14:val="none"/>
              </w:rPr>
              <w:t>PRIMES 2020</w:t>
            </w:r>
          </w:p>
        </w:tc>
        <w:tc>
          <w:tcPr>
            <w:tcW w:w="706" w:type="dxa"/>
            <w:tcBorders>
              <w:left w:val="single" w:sz="4" w:space="0" w:color="auto"/>
              <w:right w:val="single" w:sz="4" w:space="0" w:color="auto"/>
            </w:tcBorders>
            <w:shd w:val="clear" w:color="auto" w:fill="auto"/>
            <w:noWrap/>
            <w:vAlign w:val="center"/>
          </w:tcPr>
          <w:p w14:paraId="0BACCFE0" w14:textId="57CD8AB9" w:rsidR="00C35CE2" w:rsidRPr="00067A39" w:rsidRDefault="00C35CE2" w:rsidP="00C35CE2">
            <w:pPr>
              <w:spacing w:after="0" w:line="240" w:lineRule="auto"/>
              <w:jc w:val="right"/>
              <w:rPr>
                <w:rFonts w:eastAsia="Times New Roman" w:cs="Times New Roman"/>
                <w:color w:val="000000"/>
                <w:kern w:val="0"/>
                <w:sz w:val="19"/>
                <w:szCs w:val="19"/>
                <w:lang w:eastAsia="pl-PL"/>
                <w14:ligatures w14:val="none"/>
              </w:rPr>
            </w:pPr>
            <w:r w:rsidRPr="004818E0">
              <w:rPr>
                <w:sz w:val="19"/>
                <w:szCs w:val="19"/>
              </w:rPr>
              <w:t>62,7</w:t>
            </w:r>
          </w:p>
        </w:tc>
        <w:tc>
          <w:tcPr>
            <w:tcW w:w="707" w:type="dxa"/>
            <w:tcBorders>
              <w:left w:val="single" w:sz="4" w:space="0" w:color="auto"/>
              <w:right w:val="single" w:sz="4" w:space="0" w:color="auto"/>
            </w:tcBorders>
            <w:shd w:val="clear" w:color="auto" w:fill="auto"/>
            <w:noWrap/>
            <w:vAlign w:val="center"/>
          </w:tcPr>
          <w:p w14:paraId="7FAF70BB" w14:textId="034FB6A0" w:rsidR="00C35CE2" w:rsidRPr="00067A39" w:rsidRDefault="00C35CE2" w:rsidP="00C35CE2">
            <w:pPr>
              <w:spacing w:after="0" w:line="240" w:lineRule="auto"/>
              <w:jc w:val="right"/>
              <w:rPr>
                <w:rFonts w:eastAsia="Times New Roman" w:cs="Times New Roman"/>
                <w:color w:val="000000"/>
                <w:kern w:val="0"/>
                <w:sz w:val="19"/>
                <w:szCs w:val="19"/>
                <w:lang w:eastAsia="pl-PL"/>
                <w14:ligatures w14:val="none"/>
              </w:rPr>
            </w:pPr>
            <w:r w:rsidRPr="004818E0">
              <w:rPr>
                <w:sz w:val="19"/>
                <w:szCs w:val="19"/>
              </w:rPr>
              <w:t>67,2</w:t>
            </w:r>
          </w:p>
        </w:tc>
        <w:tc>
          <w:tcPr>
            <w:tcW w:w="707" w:type="dxa"/>
            <w:tcBorders>
              <w:left w:val="single" w:sz="4" w:space="0" w:color="auto"/>
              <w:right w:val="single" w:sz="4" w:space="0" w:color="auto"/>
            </w:tcBorders>
            <w:shd w:val="clear" w:color="auto" w:fill="auto"/>
            <w:noWrap/>
            <w:vAlign w:val="center"/>
          </w:tcPr>
          <w:p w14:paraId="0884A428" w14:textId="241DBC51" w:rsidR="00C35CE2" w:rsidRPr="00067A39" w:rsidRDefault="00C35CE2" w:rsidP="00C35CE2">
            <w:pPr>
              <w:spacing w:after="0" w:line="240" w:lineRule="auto"/>
              <w:jc w:val="right"/>
              <w:rPr>
                <w:rFonts w:eastAsia="Times New Roman" w:cs="Times New Roman"/>
                <w:color w:val="000000"/>
                <w:kern w:val="0"/>
                <w:sz w:val="19"/>
                <w:szCs w:val="19"/>
                <w:lang w:eastAsia="pl-PL"/>
                <w14:ligatures w14:val="none"/>
              </w:rPr>
            </w:pPr>
            <w:r w:rsidRPr="004818E0">
              <w:rPr>
                <w:sz w:val="19"/>
                <w:szCs w:val="19"/>
              </w:rPr>
              <w:t>64,8</w:t>
            </w:r>
          </w:p>
        </w:tc>
      </w:tr>
      <w:tr w:rsidR="00C35CE2" w:rsidRPr="00067A39" w14:paraId="3DE65F80" w14:textId="77777777" w:rsidTr="003169E3">
        <w:trPr>
          <w:trHeight w:val="352"/>
        </w:trPr>
        <w:tc>
          <w:tcPr>
            <w:tcW w:w="1985" w:type="dxa"/>
            <w:tcBorders>
              <w:left w:val="single" w:sz="4" w:space="0" w:color="auto"/>
              <w:right w:val="single" w:sz="4" w:space="0" w:color="auto"/>
            </w:tcBorders>
            <w:shd w:val="clear" w:color="auto" w:fill="auto"/>
            <w:noWrap/>
            <w:vAlign w:val="center"/>
            <w:hideMark/>
          </w:tcPr>
          <w:p w14:paraId="319BFF78" w14:textId="77777777" w:rsidR="00C35CE2" w:rsidRPr="00067A39" w:rsidRDefault="00C35CE2" w:rsidP="00C35CE2">
            <w:pPr>
              <w:spacing w:after="0" w:line="240" w:lineRule="auto"/>
              <w:jc w:val="right"/>
              <w:rPr>
                <w:rFonts w:eastAsia="Times New Roman" w:cs="Times New Roman"/>
                <w:color w:val="000000"/>
                <w:kern w:val="0"/>
                <w:sz w:val="19"/>
                <w:szCs w:val="19"/>
                <w:lang w:eastAsia="pl-PL"/>
                <w14:ligatures w14:val="none"/>
              </w:rPr>
            </w:pPr>
            <w:r>
              <w:rPr>
                <w:rFonts w:eastAsia="Times New Roman" w:cs="Times New Roman"/>
                <w:color w:val="000000"/>
                <w:kern w:val="0"/>
                <w:sz w:val="19"/>
                <w:szCs w:val="19"/>
                <w:lang w:eastAsia="pl-PL"/>
                <w14:ligatures w14:val="none"/>
              </w:rPr>
              <w:t>Według</w:t>
            </w:r>
            <w:r w:rsidRPr="00067A39">
              <w:rPr>
                <w:rFonts w:eastAsia="Times New Roman" w:cs="Times New Roman"/>
                <w:color w:val="000000"/>
                <w:kern w:val="0"/>
                <w:sz w:val="19"/>
                <w:szCs w:val="19"/>
                <w:lang w:eastAsia="pl-PL"/>
                <w14:ligatures w14:val="none"/>
              </w:rPr>
              <w:t xml:space="preserve"> formuły EED</w:t>
            </w:r>
          </w:p>
        </w:tc>
        <w:tc>
          <w:tcPr>
            <w:tcW w:w="706" w:type="dxa"/>
            <w:tcBorders>
              <w:left w:val="single" w:sz="4" w:space="0" w:color="auto"/>
              <w:right w:val="single" w:sz="4" w:space="0" w:color="auto"/>
            </w:tcBorders>
            <w:shd w:val="clear" w:color="auto" w:fill="auto"/>
            <w:noWrap/>
            <w:vAlign w:val="center"/>
          </w:tcPr>
          <w:p w14:paraId="48A45B83" w14:textId="4D8D9DA4" w:rsidR="00C35CE2" w:rsidRPr="00067A39" w:rsidRDefault="00C35CE2" w:rsidP="00C35CE2">
            <w:pPr>
              <w:spacing w:after="0" w:line="240" w:lineRule="auto"/>
              <w:jc w:val="right"/>
              <w:rPr>
                <w:rFonts w:eastAsia="Times New Roman" w:cs="Times New Roman"/>
                <w:color w:val="000000"/>
                <w:kern w:val="0"/>
                <w:sz w:val="19"/>
                <w:szCs w:val="19"/>
                <w:lang w:eastAsia="pl-PL"/>
                <w14:ligatures w14:val="none"/>
              </w:rPr>
            </w:pPr>
            <w:r w:rsidRPr="004818E0">
              <w:rPr>
                <w:sz w:val="19"/>
                <w:szCs w:val="19"/>
              </w:rPr>
              <w:t>71,1**</w:t>
            </w:r>
          </w:p>
        </w:tc>
        <w:tc>
          <w:tcPr>
            <w:tcW w:w="707" w:type="dxa"/>
            <w:tcBorders>
              <w:left w:val="single" w:sz="4" w:space="0" w:color="auto"/>
              <w:right w:val="single" w:sz="4" w:space="0" w:color="auto"/>
            </w:tcBorders>
            <w:shd w:val="clear" w:color="auto" w:fill="auto"/>
            <w:noWrap/>
            <w:vAlign w:val="center"/>
          </w:tcPr>
          <w:p w14:paraId="64577DEA" w14:textId="4CE58E52" w:rsidR="00C35CE2" w:rsidRPr="00067A39" w:rsidRDefault="00C35CE2" w:rsidP="00C35CE2">
            <w:pPr>
              <w:spacing w:after="0" w:line="240" w:lineRule="auto"/>
              <w:jc w:val="right"/>
              <w:rPr>
                <w:rFonts w:eastAsia="Times New Roman" w:cs="Times New Roman"/>
                <w:color w:val="000000"/>
                <w:kern w:val="0"/>
                <w:sz w:val="19"/>
                <w:szCs w:val="19"/>
                <w:lang w:eastAsia="pl-PL"/>
                <w14:ligatures w14:val="none"/>
              </w:rPr>
            </w:pPr>
            <w:r w:rsidRPr="004818E0">
              <w:rPr>
                <w:sz w:val="19"/>
                <w:szCs w:val="19"/>
              </w:rPr>
              <w:t>58,5</w:t>
            </w:r>
          </w:p>
        </w:tc>
        <w:tc>
          <w:tcPr>
            <w:tcW w:w="707" w:type="dxa"/>
            <w:tcBorders>
              <w:left w:val="single" w:sz="4" w:space="0" w:color="auto"/>
              <w:right w:val="single" w:sz="4" w:space="0" w:color="auto"/>
            </w:tcBorders>
            <w:shd w:val="clear" w:color="auto" w:fill="auto"/>
            <w:noWrap/>
            <w:vAlign w:val="center"/>
          </w:tcPr>
          <w:p w14:paraId="0B86653C" w14:textId="4E95F5DB" w:rsidR="00C35CE2" w:rsidRPr="00067A39" w:rsidRDefault="00B739CC" w:rsidP="00C35CE2">
            <w:pPr>
              <w:spacing w:after="0" w:line="240" w:lineRule="auto"/>
              <w:jc w:val="right"/>
              <w:rPr>
                <w:rFonts w:eastAsia="Times New Roman" w:cs="Times New Roman"/>
                <w:color w:val="000000"/>
                <w:kern w:val="0"/>
                <w:sz w:val="19"/>
                <w:szCs w:val="19"/>
                <w:lang w:eastAsia="pl-PL"/>
                <w14:ligatures w14:val="none"/>
              </w:rPr>
            </w:pPr>
            <w:r>
              <w:rPr>
                <w:sz w:val="19"/>
                <w:szCs w:val="19"/>
              </w:rPr>
              <w:t>–</w:t>
            </w:r>
          </w:p>
        </w:tc>
      </w:tr>
      <w:tr w:rsidR="00C35CE2" w:rsidRPr="00067A39" w14:paraId="769CAC45" w14:textId="77777777" w:rsidTr="003169E3">
        <w:trPr>
          <w:trHeight w:val="352"/>
        </w:trPr>
        <w:tc>
          <w:tcPr>
            <w:tcW w:w="1985" w:type="dxa"/>
            <w:tcBorders>
              <w:left w:val="single" w:sz="4" w:space="0" w:color="auto"/>
              <w:bottom w:val="single" w:sz="4" w:space="0" w:color="auto"/>
              <w:right w:val="single" w:sz="4" w:space="0" w:color="auto"/>
            </w:tcBorders>
            <w:shd w:val="clear" w:color="auto" w:fill="auto"/>
            <w:noWrap/>
            <w:vAlign w:val="center"/>
            <w:hideMark/>
          </w:tcPr>
          <w:p w14:paraId="49EA8DE3" w14:textId="77777777" w:rsidR="00C35CE2" w:rsidRPr="00067A39" w:rsidRDefault="00C35CE2" w:rsidP="00C35CE2">
            <w:pPr>
              <w:spacing w:after="0" w:line="240" w:lineRule="auto"/>
              <w:jc w:val="right"/>
              <w:rPr>
                <w:rFonts w:eastAsia="Times New Roman" w:cs="Times New Roman"/>
                <w:color w:val="000000"/>
                <w:kern w:val="0"/>
                <w:sz w:val="19"/>
                <w:szCs w:val="19"/>
                <w:lang w:eastAsia="pl-PL"/>
                <w14:ligatures w14:val="none"/>
              </w:rPr>
            </w:pPr>
            <w:r w:rsidRPr="00067A39">
              <w:rPr>
                <w:rFonts w:eastAsia="Times New Roman" w:cs="Times New Roman"/>
                <w:color w:val="000000"/>
                <w:kern w:val="0"/>
                <w:sz w:val="19"/>
                <w:szCs w:val="19"/>
                <w:lang w:eastAsia="pl-PL"/>
                <w14:ligatures w14:val="none"/>
              </w:rPr>
              <w:t>Prognoza KPEiK</w:t>
            </w:r>
          </w:p>
        </w:tc>
        <w:tc>
          <w:tcPr>
            <w:tcW w:w="706" w:type="dxa"/>
            <w:tcBorders>
              <w:left w:val="single" w:sz="4" w:space="0" w:color="auto"/>
              <w:bottom w:val="single" w:sz="4" w:space="0" w:color="auto"/>
              <w:right w:val="single" w:sz="4" w:space="0" w:color="auto"/>
            </w:tcBorders>
            <w:shd w:val="clear" w:color="auto" w:fill="auto"/>
            <w:noWrap/>
            <w:vAlign w:val="center"/>
          </w:tcPr>
          <w:p w14:paraId="465215E1" w14:textId="78FE7901" w:rsidR="00C35CE2" w:rsidRPr="00067A39" w:rsidRDefault="00C35CE2" w:rsidP="00C35CE2">
            <w:pPr>
              <w:spacing w:after="0" w:line="240" w:lineRule="auto"/>
              <w:jc w:val="right"/>
              <w:rPr>
                <w:rFonts w:eastAsia="Times New Roman" w:cs="Times New Roman"/>
                <w:color w:val="000000"/>
                <w:kern w:val="0"/>
                <w:sz w:val="19"/>
                <w:szCs w:val="19"/>
                <w:lang w:eastAsia="pl-PL"/>
                <w14:ligatures w14:val="none"/>
              </w:rPr>
            </w:pPr>
            <w:r w:rsidRPr="004818E0">
              <w:rPr>
                <w:sz w:val="19"/>
                <w:szCs w:val="19"/>
              </w:rPr>
              <w:t>71,1**</w:t>
            </w:r>
          </w:p>
        </w:tc>
        <w:tc>
          <w:tcPr>
            <w:tcW w:w="707" w:type="dxa"/>
            <w:tcBorders>
              <w:left w:val="single" w:sz="4" w:space="0" w:color="auto"/>
              <w:bottom w:val="single" w:sz="4" w:space="0" w:color="auto"/>
              <w:right w:val="single" w:sz="4" w:space="0" w:color="auto"/>
            </w:tcBorders>
            <w:shd w:val="clear" w:color="auto" w:fill="auto"/>
            <w:noWrap/>
            <w:vAlign w:val="center"/>
          </w:tcPr>
          <w:p w14:paraId="561E3F77" w14:textId="5575145F" w:rsidR="00C35CE2" w:rsidRPr="00067A39" w:rsidRDefault="00C35CE2" w:rsidP="00C35CE2">
            <w:pPr>
              <w:spacing w:after="0" w:line="240" w:lineRule="auto"/>
              <w:jc w:val="right"/>
              <w:rPr>
                <w:rFonts w:eastAsia="Times New Roman" w:cs="Times New Roman"/>
                <w:color w:val="000000"/>
                <w:kern w:val="0"/>
                <w:sz w:val="19"/>
                <w:szCs w:val="19"/>
                <w:lang w:eastAsia="pl-PL"/>
                <w14:ligatures w14:val="none"/>
              </w:rPr>
            </w:pPr>
            <w:r w:rsidRPr="004818E0">
              <w:rPr>
                <w:sz w:val="19"/>
                <w:szCs w:val="19"/>
              </w:rPr>
              <w:t>64,1</w:t>
            </w:r>
          </w:p>
        </w:tc>
        <w:tc>
          <w:tcPr>
            <w:tcW w:w="707" w:type="dxa"/>
            <w:tcBorders>
              <w:left w:val="single" w:sz="4" w:space="0" w:color="auto"/>
              <w:bottom w:val="single" w:sz="4" w:space="0" w:color="auto"/>
              <w:right w:val="single" w:sz="4" w:space="0" w:color="auto"/>
            </w:tcBorders>
            <w:shd w:val="clear" w:color="auto" w:fill="auto"/>
            <w:noWrap/>
            <w:vAlign w:val="center"/>
          </w:tcPr>
          <w:p w14:paraId="61759331" w14:textId="079B67D7" w:rsidR="00C35CE2" w:rsidRPr="00067A39" w:rsidRDefault="00C35CE2" w:rsidP="00C35CE2">
            <w:pPr>
              <w:spacing w:after="0" w:line="240" w:lineRule="auto"/>
              <w:jc w:val="right"/>
              <w:rPr>
                <w:rFonts w:eastAsia="Times New Roman" w:cs="Times New Roman"/>
                <w:color w:val="000000"/>
                <w:kern w:val="0"/>
                <w:sz w:val="19"/>
                <w:szCs w:val="19"/>
                <w:lang w:eastAsia="pl-PL"/>
                <w14:ligatures w14:val="none"/>
              </w:rPr>
            </w:pPr>
            <w:r w:rsidRPr="004818E0">
              <w:rPr>
                <w:sz w:val="19"/>
                <w:szCs w:val="19"/>
              </w:rPr>
              <w:t>56,3</w:t>
            </w:r>
          </w:p>
        </w:tc>
      </w:tr>
      <w:tr w:rsidR="00C35CE2" w:rsidRPr="00067A39" w14:paraId="5DC26C00" w14:textId="77777777" w:rsidTr="004818E0">
        <w:trPr>
          <w:trHeight w:val="352"/>
        </w:trPr>
        <w:tc>
          <w:tcPr>
            <w:tcW w:w="4105" w:type="dxa"/>
            <w:gridSpan w:val="4"/>
            <w:tcBorders>
              <w:top w:val="single" w:sz="4" w:space="0" w:color="auto"/>
            </w:tcBorders>
            <w:shd w:val="clear" w:color="auto" w:fill="auto"/>
            <w:noWrap/>
            <w:vAlign w:val="center"/>
          </w:tcPr>
          <w:p w14:paraId="05E5D8FF" w14:textId="002F523B" w:rsidR="00C35CE2" w:rsidRPr="0062270D" w:rsidRDefault="00C35CE2" w:rsidP="00C35CE2">
            <w:pPr>
              <w:spacing w:after="0" w:line="240" w:lineRule="auto"/>
              <w:jc w:val="center"/>
              <w:rPr>
                <w:i/>
                <w:iCs/>
                <w:sz w:val="18"/>
                <w:szCs w:val="18"/>
              </w:rPr>
            </w:pPr>
            <w:r w:rsidRPr="00FF57E5">
              <w:rPr>
                <w:i/>
                <w:iCs/>
                <w:sz w:val="18"/>
                <w:szCs w:val="18"/>
              </w:rPr>
              <w:t>*</w:t>
            </w:r>
            <w:r>
              <w:rPr>
                <w:i/>
                <w:iCs/>
                <w:sz w:val="18"/>
                <w:szCs w:val="18"/>
              </w:rPr>
              <w:t xml:space="preserve"> w</w:t>
            </w:r>
            <w:r w:rsidRPr="00FF57E5">
              <w:rPr>
                <w:i/>
                <w:iCs/>
                <w:sz w:val="18"/>
                <w:szCs w:val="18"/>
              </w:rPr>
              <w:t xml:space="preserve">artość </w:t>
            </w:r>
            <w:r>
              <w:rPr>
                <w:i/>
                <w:iCs/>
                <w:sz w:val="18"/>
                <w:szCs w:val="18"/>
              </w:rPr>
              <w:t>ekstrapolowana   **</w:t>
            </w:r>
            <w:r w:rsidRPr="0062270D">
              <w:rPr>
                <w:i/>
                <w:iCs/>
                <w:sz w:val="18"/>
                <w:szCs w:val="18"/>
              </w:rPr>
              <w:t>dane historyczne</w:t>
            </w:r>
          </w:p>
        </w:tc>
      </w:tr>
    </w:tbl>
    <w:p w14:paraId="6BFF7D41" w14:textId="77777777" w:rsidR="00A06854" w:rsidRDefault="00A06854" w:rsidP="00A06854"/>
    <w:p w14:paraId="4472F9ED" w14:textId="77777777" w:rsidR="00A06854" w:rsidRDefault="00A06854" w:rsidP="00A06854"/>
    <w:p w14:paraId="11322CC9" w14:textId="77777777" w:rsidR="00A06854" w:rsidRDefault="00A06854" w:rsidP="00A06854"/>
    <w:p w14:paraId="188FC5CC" w14:textId="77777777" w:rsidR="00A06854" w:rsidRDefault="00A06854" w:rsidP="00A06854"/>
    <w:p w14:paraId="7075BDE2" w14:textId="4A078C25" w:rsidR="00A06854" w:rsidRDefault="00A06854" w:rsidP="00A06854"/>
    <w:p w14:paraId="1EB77B37" w14:textId="77777777" w:rsidR="00C35CE2" w:rsidRDefault="00C35CE2" w:rsidP="00C35CE2"/>
    <w:p w14:paraId="2646AADF" w14:textId="77777777" w:rsidR="00C35CE2" w:rsidRDefault="00C35CE2" w:rsidP="00C35CE2"/>
    <w:p w14:paraId="10384144" w14:textId="03FC5D8C" w:rsidR="00C35CE2" w:rsidRDefault="00C35CE2" w:rsidP="00C35CE2">
      <w:r>
        <w:br w:type="page"/>
      </w:r>
    </w:p>
    <w:p w14:paraId="533BB46A" w14:textId="07107DD1" w:rsidR="00A160DC" w:rsidRPr="00043521" w:rsidRDefault="00A160DC" w:rsidP="00A160DC">
      <w:pPr>
        <w:pStyle w:val="Nagwek4"/>
        <w:rPr>
          <w:color w:val="4472C4" w:themeColor="accent1"/>
        </w:rPr>
      </w:pPr>
      <w:bookmarkStart w:id="119" w:name="_Toc179536955"/>
      <w:r>
        <w:rPr>
          <w:color w:val="4472C4" w:themeColor="accent1"/>
        </w:rPr>
        <w:lastRenderedPageBreak/>
        <w:t xml:space="preserve">Wkład Polski </w:t>
      </w:r>
      <w:r w:rsidRPr="00043521">
        <w:rPr>
          <w:color w:val="4472C4" w:themeColor="accent1"/>
        </w:rPr>
        <w:t>w zakresie zużycia energii pierwotnej</w:t>
      </w:r>
      <w:bookmarkEnd w:id="119"/>
    </w:p>
    <w:p w14:paraId="34851FD3" w14:textId="62921E11" w:rsidR="00A160DC" w:rsidRDefault="00A160DC" w:rsidP="00A160DC">
      <w:r>
        <w:rPr>
          <w:noProof/>
        </w:rPr>
        <mc:AlternateContent>
          <mc:Choice Requires="wps">
            <w:drawing>
              <wp:anchor distT="0" distB="0" distL="114300" distR="114300" simplePos="0" relativeHeight="251784192" behindDoc="1" locked="0" layoutInCell="1" allowOverlap="1" wp14:anchorId="701A28F9" wp14:editId="36A2BA04">
                <wp:simplePos x="0" y="0"/>
                <wp:positionH relativeFrom="margin">
                  <wp:align>right</wp:align>
                </wp:positionH>
                <wp:positionV relativeFrom="paragraph">
                  <wp:posOffset>64770</wp:posOffset>
                </wp:positionV>
                <wp:extent cx="2842260" cy="1341755"/>
                <wp:effectExtent l="19050" t="57150" r="91440" b="66040"/>
                <wp:wrapSquare wrapText="bothSides"/>
                <wp:docPr id="1513567069" name="Prostokąt: zaokrąglone rogi 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842260" cy="1341755"/>
                        </a:xfrm>
                        <a:prstGeom prst="roundRect">
                          <a:avLst>
                            <a:gd name="adj" fmla="val 11857"/>
                          </a:avLst>
                        </a:prstGeom>
                        <a:solidFill>
                          <a:schemeClr val="bg1"/>
                        </a:solidFill>
                        <a:ln w="9525">
                          <a:solidFill>
                            <a:schemeClr val="accent5"/>
                          </a:solidFill>
                        </a:ln>
                        <a:effectLst>
                          <a:outerShdw blurRad="50800" dist="38100" algn="l"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txbx>
                        <w:txbxContent>
                          <w:p w14:paraId="02640BCB" w14:textId="2B46FDAE" w:rsidR="00A160DC" w:rsidRPr="004E21CF" w:rsidRDefault="00A160DC" w:rsidP="00A160DC">
                            <w:pPr>
                              <w:pStyle w:val="Ramka"/>
                            </w:pPr>
                            <w:r w:rsidRPr="00ED5C0A">
                              <w:t>Energia pierwotna</w:t>
                            </w:r>
                            <w:r>
                              <w:t xml:space="preserve"> to energia z</w:t>
                            </w:r>
                            <w:r w:rsidRPr="00D24C7B">
                              <w:t>awart</w:t>
                            </w:r>
                            <w:r>
                              <w:t>a</w:t>
                            </w:r>
                            <w:r w:rsidRPr="00D24C7B">
                              <w:t xml:space="preserve"> w</w:t>
                            </w:r>
                            <w:r>
                              <w:t> </w:t>
                            </w:r>
                            <w:r w:rsidRPr="00D24C7B">
                              <w:t>pierwotnych nośnikach energii</w:t>
                            </w:r>
                            <w:r>
                              <w:t xml:space="preserve"> – w</w:t>
                            </w:r>
                            <w:r w:rsidRPr="00D24C7B">
                              <w:t xml:space="preserve"> węglu, ropie naftowej, gazie ziemnym oraz</w:t>
                            </w:r>
                            <w:r>
                              <w:t xml:space="preserve"> energia</w:t>
                            </w:r>
                            <w:r w:rsidRPr="00D24C7B">
                              <w:t xml:space="preserve"> pozyskiwan</w:t>
                            </w:r>
                            <w:r>
                              <w:t>a</w:t>
                            </w:r>
                            <w:r w:rsidRPr="00D24C7B">
                              <w:t xml:space="preserve"> bezpośrednio ze środowiska</w:t>
                            </w:r>
                            <w:r>
                              <w:t xml:space="preserve"> – </w:t>
                            </w:r>
                            <w:r w:rsidRPr="00D24C7B">
                              <w:t>energ</w:t>
                            </w:r>
                            <w:r>
                              <w:t>ia</w:t>
                            </w:r>
                            <w:r w:rsidRPr="00D24C7B">
                              <w:t xml:space="preserve"> wody, wiatru, słonecz</w:t>
                            </w:r>
                            <w:r w:rsidR="007B6085">
                              <w:t>na</w:t>
                            </w:r>
                            <w:r w:rsidRPr="00D24C7B">
                              <w:t>, geotermaln</w:t>
                            </w:r>
                            <w:r w:rsidR="007B6085">
                              <w:t>a</w:t>
                            </w:r>
                            <w:r w:rsidRPr="00D24C7B">
                              <w:t xml:space="preserve"> wykorzystywan</w:t>
                            </w:r>
                            <w:r w:rsidR="007B6085">
                              <w:t>a</w:t>
                            </w:r>
                            <w:r w:rsidRPr="00D24C7B">
                              <w:t xml:space="preserve"> do wytwarzania energii elektrycznej, ciepła lub chłodu</w:t>
                            </w:r>
                            <w:r>
                              <w:t xml:space="preserve"> oraz</w:t>
                            </w:r>
                            <w:r w:rsidRPr="00D24C7B">
                              <w:t xml:space="preserve"> biomas</w:t>
                            </w:r>
                            <w:r w:rsidR="007B6085">
                              <w:t>a</w:t>
                            </w:r>
                          </w:p>
                        </w:txbxContent>
                      </wps:txbx>
                      <wps:bodyPr rot="0" spcFirstLastPara="0" vertOverflow="overflow" horzOverflow="overflow" vert="horz" wrap="square" lIns="72000" tIns="90000" rIns="72000" bIns="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701A28F9" id="Prostokąt: zaokrąglone rogi 53" o:spid="_x0000_s1095" style="position:absolute;left:0;text-align:left;margin-left:172.6pt;margin-top:5.1pt;width:223.8pt;height:105.65pt;z-index:-25153228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arcsize="777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" fillcolor="white [3212]" strokecolor="#5b9bd5 [3208]">
                <v:stroke joinstyle="miter"/>
                <v:shadow on="t" color="black" opacity="26214f" origin="-.5" offset="3pt,0"/>
                <v:path arrowok="t"/>
                <v:textbox style="mso-fit-shape-to-text:t" inset="2mm,2.5mm,2mm,0">
                  <w:txbxContent>
                    <w:p w14:paraId="02640BCB" w14:textId="2B46FDAE" w:rsidR="00A160DC" w:rsidRPr="004E21CF" w:rsidRDefault="00A160DC" w:rsidP="00A160DC">
                      <w:pPr>
                        <w:pStyle w:val="Ramka"/>
                      </w:pPr>
                      <w:r w:rsidRPr="00ED5C0A">
                        <w:t>Energia pierwotna</w:t>
                      </w:r>
                      <w:r>
                        <w:t xml:space="preserve"> to energia z</w:t>
                      </w:r>
                      <w:r w:rsidRPr="00D24C7B">
                        <w:t>awart</w:t>
                      </w:r>
                      <w:r>
                        <w:t>a</w:t>
                      </w:r>
                      <w:r w:rsidRPr="00D24C7B">
                        <w:t xml:space="preserve"> w</w:t>
                      </w:r>
                      <w:r>
                        <w:t> </w:t>
                      </w:r>
                      <w:r w:rsidRPr="00D24C7B">
                        <w:t>pierwotnych nośnikach energii</w:t>
                      </w:r>
                      <w:r>
                        <w:t xml:space="preserve"> – w</w:t>
                      </w:r>
                      <w:r w:rsidRPr="00D24C7B">
                        <w:t xml:space="preserve"> węglu, ropie naftowej, gazie ziemnym oraz</w:t>
                      </w:r>
                      <w:r>
                        <w:t xml:space="preserve"> energia</w:t>
                      </w:r>
                      <w:r w:rsidRPr="00D24C7B">
                        <w:t xml:space="preserve"> pozyskiwan</w:t>
                      </w:r>
                      <w:r>
                        <w:t>a</w:t>
                      </w:r>
                      <w:r w:rsidRPr="00D24C7B">
                        <w:t xml:space="preserve"> bezpośrednio ze środowiska</w:t>
                      </w:r>
                      <w:r>
                        <w:t xml:space="preserve"> – </w:t>
                      </w:r>
                      <w:r w:rsidRPr="00D24C7B">
                        <w:t>energ</w:t>
                      </w:r>
                      <w:r>
                        <w:t>ia</w:t>
                      </w:r>
                      <w:r w:rsidRPr="00D24C7B">
                        <w:t xml:space="preserve"> wody, wiatru, słonecz</w:t>
                      </w:r>
                      <w:r w:rsidR="007B6085">
                        <w:t>na</w:t>
                      </w:r>
                      <w:r w:rsidRPr="00D24C7B">
                        <w:t>, geotermaln</w:t>
                      </w:r>
                      <w:r w:rsidR="007B6085">
                        <w:t>a</w:t>
                      </w:r>
                      <w:r w:rsidRPr="00D24C7B">
                        <w:t xml:space="preserve"> wykorzystywan</w:t>
                      </w:r>
                      <w:r w:rsidR="007B6085">
                        <w:t>a</w:t>
                      </w:r>
                      <w:r w:rsidRPr="00D24C7B">
                        <w:t xml:space="preserve"> do wytwarzania energii elektrycznej, ciepła lub chłodu</w:t>
                      </w:r>
                      <w:r>
                        <w:t xml:space="preserve"> oraz</w:t>
                      </w:r>
                      <w:r w:rsidRPr="00D24C7B">
                        <w:t xml:space="preserve"> biomas</w:t>
                      </w:r>
                      <w:r w:rsidR="007B6085">
                        <w:t>a</w:t>
                      </w:r>
                    </w:p>
                  </w:txbxContent>
                </v:textbox>
                <w10:wrap type="square" anchorx="margin"/>
              </v:roundrect>
            </w:pict>
          </mc:Fallback>
        </mc:AlternateContent>
      </w:r>
      <w:r>
        <w:t>Dyrektywa EED wskazuje, że p</w:t>
      </w:r>
      <w:r w:rsidRPr="00817D26">
        <w:t xml:space="preserve">aństwa członkowskie </w:t>
      </w:r>
      <w:r>
        <w:t xml:space="preserve">UE </w:t>
      </w:r>
      <w:r w:rsidRPr="00817D26">
        <w:t xml:space="preserve">wspólnie </w:t>
      </w:r>
      <w:r>
        <w:t>mają przyczynić się do osiągnięcia orientacyjnego celu, by zużycie energii pierwotnej w Unii nie przekraczało 992,5 Mtoe w 2030 r.</w:t>
      </w:r>
      <w:r w:rsidRPr="003E6B85">
        <w:rPr>
          <w:rStyle w:val="Odwoanieprzypisudolnego"/>
        </w:rPr>
        <w:t xml:space="preserve"> </w:t>
      </w:r>
      <w:r>
        <w:rPr>
          <w:rStyle w:val="Odwoanieprzypisudolnego"/>
        </w:rPr>
        <w:footnoteReference w:id="57"/>
      </w:r>
    </w:p>
    <w:p w14:paraId="7222A8E8" w14:textId="5B2802D8" w:rsidR="00A160DC" w:rsidRDefault="00A160DC" w:rsidP="00A160DC">
      <w:r>
        <w:t xml:space="preserve">Krajowe wkłady do realizacji celu UE powinny być określone na podstawie jednej z metodyk określonych w dyrektywie EED, w tym na podstawie formuły z załącznika I do EED, która uwzględnia dotychczasowe działania w zakresie poprawy efektywności energetycznej, PKB na mieszkańca, energochłonność i potencjał opłacalnej oszczędności energii. </w:t>
      </w:r>
      <w:r w:rsidRPr="00C728BB">
        <w:rPr>
          <w:b/>
          <w:bCs/>
        </w:rPr>
        <w:t xml:space="preserve">Dla Polski </w:t>
      </w:r>
      <w:r w:rsidRPr="00FE4AD2">
        <w:rPr>
          <w:b/>
          <w:bCs/>
        </w:rPr>
        <w:t xml:space="preserve">orientacyjny </w:t>
      </w:r>
      <w:r>
        <w:rPr>
          <w:b/>
          <w:bCs/>
        </w:rPr>
        <w:t>wkład krajowy</w:t>
      </w:r>
      <w:r w:rsidRPr="00FE4AD2">
        <w:rPr>
          <w:b/>
          <w:bCs/>
        </w:rPr>
        <w:t xml:space="preserve"> </w:t>
      </w:r>
      <w:r>
        <w:rPr>
          <w:b/>
          <w:bCs/>
        </w:rPr>
        <w:t xml:space="preserve">powinien wynosić </w:t>
      </w:r>
      <w:r w:rsidRPr="00FE4AD2">
        <w:rPr>
          <w:b/>
          <w:bCs/>
        </w:rPr>
        <w:t xml:space="preserve">ograniczenie zużycia energii pierwotnej o </w:t>
      </w:r>
      <w:r>
        <w:rPr>
          <w:b/>
          <w:bCs/>
        </w:rPr>
        <w:t>14,4</w:t>
      </w:r>
      <w:r w:rsidRPr="00FE4AD2">
        <w:rPr>
          <w:b/>
          <w:bCs/>
        </w:rPr>
        <w:t>% w porównaniu do prognozy w scenariuszu PRIMES 2020</w:t>
      </w:r>
      <w:r>
        <w:rPr>
          <w:b/>
          <w:bCs/>
        </w:rPr>
        <w:t>.</w:t>
      </w:r>
      <w:r>
        <w:t xml:space="preserve"> </w:t>
      </w:r>
    </w:p>
    <w:p w14:paraId="36B6C285" w14:textId="039711D6" w:rsidR="00A160DC" w:rsidRDefault="00A160DC" w:rsidP="00A160DC">
      <w:r>
        <w:t xml:space="preserve">W KPEiK z 2019 r. cel Polski w tym zakresie wynosił </w:t>
      </w:r>
      <w:r w:rsidR="006B1B29">
        <w:t>-</w:t>
      </w:r>
      <w:r>
        <w:t xml:space="preserve">23% w stosunku do PRIMES 2007 (-27,3 Mtoe). Aktualny poziom oczekiwany dla Polski na podstawie formuły z EED wynosi w odniesieniu do PRIMES 2007 aż </w:t>
      </w:r>
      <w:r w:rsidR="006B1B29">
        <w:t>-</w:t>
      </w:r>
      <w:r>
        <w:t>32%. W wartościach bezwzględnych oznacza to, że zużycie energii pierwotnej powinno być w 2030 r. niższe niż w 2020 r., w którym nastąpiło spowolnienie gospodarcze wywołane pandemią COVID–19.</w:t>
      </w:r>
    </w:p>
    <w:p w14:paraId="1C513412" w14:textId="2D88CDC1" w:rsidR="00A160DC" w:rsidRDefault="00A160DC" w:rsidP="00A160DC">
      <w:r>
        <w:t xml:space="preserve">Szczegółowe analizy przeprowadzone na potrzeby aKPEIK, w tym prognozy aktywności gospodarczej, wskazały, że osiągnięcie celu wymagałoby ograniczenia wzrostu gospodarczego lub bardzo intensywnych działań związanych z poprawą wydajności procesów, zastępowaniem paliw kopalnych, których skala nie jest możliwa do osiągnięcia w tak krótkiej pespektywie. </w:t>
      </w:r>
    </w:p>
    <w:p w14:paraId="77C4DA1F" w14:textId="0FD7E676" w:rsidR="00A160DC" w:rsidRDefault="00A160DC" w:rsidP="00C35CE2">
      <w:pPr>
        <w:pStyle w:val="Cele"/>
        <w:pBdr>
          <w:left w:val="single" w:sz="24" w:space="0" w:color="F2F2F2" w:themeColor="background1" w:themeShade="F2"/>
        </w:pBdr>
      </w:pPr>
      <w:r>
        <w:rPr>
          <w:rStyle w:val="CeleZnak"/>
          <w:b/>
        </w:rPr>
        <w:t xml:space="preserve">Polska będzie dążyć do osiągnięcia w 2030 r. redukcji zużycia </w:t>
      </w:r>
      <w:r w:rsidRPr="00CE432B">
        <w:rPr>
          <w:rStyle w:val="CeleZnak"/>
          <w:b/>
          <w:u w:val="single"/>
        </w:rPr>
        <w:t>energii pierwotnej</w:t>
      </w:r>
      <w:r>
        <w:rPr>
          <w:rStyle w:val="CeleZnak"/>
          <w:b/>
        </w:rPr>
        <w:t xml:space="preserve"> na poziomie 14,4% (</w:t>
      </w:r>
      <w:r>
        <w:rPr>
          <w:rStyle w:val="CeleZnak"/>
          <w:b/>
        </w:rPr>
        <w:noBreakHyphen/>
        <w:t>13,4 Mtoe) w </w:t>
      </w:r>
      <w:r w:rsidRPr="00AE2526">
        <w:rPr>
          <w:rStyle w:val="CeleZnak"/>
          <w:b/>
        </w:rPr>
        <w:t xml:space="preserve">porównaniu </w:t>
      </w:r>
      <w:r>
        <w:rPr>
          <w:rStyle w:val="CeleZnak"/>
          <w:b/>
        </w:rPr>
        <w:t xml:space="preserve">do prognoz </w:t>
      </w:r>
      <w:r w:rsidRPr="00AE2526">
        <w:rPr>
          <w:rStyle w:val="CeleZnak"/>
          <w:b/>
        </w:rPr>
        <w:t>PRIMES2020</w:t>
      </w:r>
      <w:r>
        <w:rPr>
          <w:rStyle w:val="CeleZnak"/>
          <w:b/>
        </w:rPr>
        <w:t>, wynikającym z</w:t>
      </w:r>
      <w:r w:rsidR="008F4DD0">
        <w:rPr>
          <w:rStyle w:val="CeleZnak"/>
          <w:b/>
        </w:rPr>
        <w:t> </w:t>
      </w:r>
      <w:r>
        <w:rPr>
          <w:rStyle w:val="CeleZnak"/>
          <w:b/>
        </w:rPr>
        <w:t>formuły określonej w dyrektywie EED, tj. zredukowanie zużycia do poziomu 79,9</w:t>
      </w:r>
      <w:r w:rsidR="008F4DD0">
        <w:rPr>
          <w:rStyle w:val="CeleZnak"/>
          <w:b/>
        </w:rPr>
        <w:t> </w:t>
      </w:r>
      <w:r>
        <w:rPr>
          <w:rStyle w:val="CeleZnak"/>
          <w:b/>
        </w:rPr>
        <w:t xml:space="preserve">Mtoe – jako wkład orientacyjny do celu UE. </w:t>
      </w:r>
      <w:r>
        <w:rPr>
          <w:rStyle w:val="CeleZnak"/>
          <w:b/>
        </w:rPr>
        <w:br/>
      </w:r>
      <w:r>
        <w:rPr>
          <w:rStyle w:val="CeleZnak"/>
          <w:bCs/>
        </w:rPr>
        <w:t>P</w:t>
      </w:r>
      <w:r w:rsidRPr="009D513F">
        <w:rPr>
          <w:rStyle w:val="CeleZnak"/>
          <w:bCs/>
        </w:rPr>
        <w:t>rognozy wskazują</w:t>
      </w:r>
      <w:r w:rsidR="008F4DD0">
        <w:rPr>
          <w:rStyle w:val="CeleZnak"/>
          <w:bCs/>
        </w:rPr>
        <w:t>, że zużycie energii pierwotnej wyniesie 80,6 Mtoe w 2030 r., co oznacza redukcję o 13,6</w:t>
      </w:r>
      <w:r w:rsidR="008F4DD0" w:rsidRPr="009D513F">
        <w:rPr>
          <w:rStyle w:val="CeleZnak"/>
          <w:bCs/>
        </w:rPr>
        <w:t>%</w:t>
      </w:r>
      <w:r w:rsidR="008F4DD0">
        <w:rPr>
          <w:rStyle w:val="CeleZnak"/>
          <w:bCs/>
        </w:rPr>
        <w:t xml:space="preserve"> </w:t>
      </w:r>
      <w:r w:rsidR="008F4DD0" w:rsidRPr="009D513F">
        <w:rPr>
          <w:rStyle w:val="CeleZnak"/>
          <w:bCs/>
        </w:rPr>
        <w:t>(-</w:t>
      </w:r>
      <w:r w:rsidR="00AB6D7E">
        <w:rPr>
          <w:rStyle w:val="CeleZnak"/>
          <w:bCs/>
        </w:rPr>
        <w:t>12,7</w:t>
      </w:r>
      <w:r w:rsidR="008F4DD0">
        <w:rPr>
          <w:rStyle w:val="CeleZnak"/>
          <w:bCs/>
        </w:rPr>
        <w:t> </w:t>
      </w:r>
      <w:r w:rsidR="008F4DD0" w:rsidRPr="009D513F">
        <w:rPr>
          <w:rStyle w:val="CeleZnak"/>
          <w:bCs/>
        </w:rPr>
        <w:t>Mtoe)</w:t>
      </w:r>
      <w:r w:rsidR="008F4DD0">
        <w:rPr>
          <w:rStyle w:val="CeleZnak"/>
          <w:bCs/>
        </w:rPr>
        <w:t xml:space="preserve"> w stosunku do PRIMES 2020</w:t>
      </w:r>
      <w:r w:rsidR="00B739CC">
        <w:rPr>
          <w:rStyle w:val="Odwoanieprzypisudolnego"/>
          <w:bCs/>
          <w:shd w:val="clear" w:color="auto" w:fill="D9D9D9" w:themeFill="background1" w:themeFillShade="D9"/>
        </w:rPr>
        <w:footnoteReference w:id="58"/>
      </w:r>
      <w:r w:rsidRPr="009D513F">
        <w:rPr>
          <w:rStyle w:val="CeleZnak"/>
          <w:bCs/>
        </w:rPr>
        <w:t>.</w:t>
      </w:r>
      <w:r>
        <w:rPr>
          <w:rStyle w:val="CeleZnak"/>
          <w:b/>
        </w:rPr>
        <w:t xml:space="preserve"> </w:t>
      </w:r>
    </w:p>
    <w:p w14:paraId="6CEEA38A" w14:textId="6D034A84" w:rsidR="00A160DC" w:rsidRDefault="00885E7D" w:rsidP="00A160DC">
      <w:pPr>
        <w:spacing w:after="240"/>
      </w:pPr>
      <w:r>
        <w:t>Poniżej przedstawiono dane historyczna oraz orientacyjną trajektorię według formuły EED, a na rysunku zestawiono prognozę KPEiK z orientacyjną trajektorię według formuły EED</w:t>
      </w:r>
      <w:r w:rsidR="00A160DC">
        <w:t>.</w:t>
      </w:r>
    </w:p>
    <w:p w14:paraId="379B42D6" w14:textId="34744E5A" w:rsidR="00A160DC" w:rsidRPr="005A55CD" w:rsidRDefault="00A160DC" w:rsidP="004E542E">
      <w:pPr>
        <w:pStyle w:val="Legenda"/>
        <w:keepNext/>
        <w:jc w:val="left"/>
        <w:rPr>
          <w:b/>
          <w:bCs/>
          <w:sz w:val="20"/>
          <w:szCs w:val="20"/>
        </w:rPr>
      </w:pPr>
      <w:r>
        <w:rPr>
          <w:b/>
          <w:bCs/>
          <w:sz w:val="20"/>
          <w:szCs w:val="20"/>
        </w:rPr>
        <w:t xml:space="preserve">Historyczne </w:t>
      </w:r>
      <w:r w:rsidRPr="005A55CD">
        <w:rPr>
          <w:b/>
          <w:bCs/>
          <w:sz w:val="20"/>
          <w:szCs w:val="20"/>
        </w:rPr>
        <w:t xml:space="preserve">zużycie energii </w:t>
      </w:r>
      <w:r>
        <w:rPr>
          <w:b/>
          <w:bCs/>
          <w:sz w:val="20"/>
          <w:szCs w:val="20"/>
        </w:rPr>
        <w:t>pierwotnej</w:t>
      </w:r>
      <w:r w:rsidRPr="005A55CD">
        <w:rPr>
          <w:b/>
          <w:bCs/>
          <w:sz w:val="20"/>
          <w:szCs w:val="20"/>
        </w:rPr>
        <w:t xml:space="preserve"> w latach 2012-2021 </w:t>
      </w:r>
      <w:r>
        <w:rPr>
          <w:b/>
          <w:bCs/>
          <w:sz w:val="20"/>
          <w:szCs w:val="20"/>
        </w:rPr>
        <w:t>[</w:t>
      </w:r>
      <w:r w:rsidRPr="005A55CD">
        <w:rPr>
          <w:b/>
          <w:bCs/>
          <w:sz w:val="20"/>
          <w:szCs w:val="20"/>
        </w:rPr>
        <w:t>kto</w:t>
      </w:r>
      <w:r>
        <w:rPr>
          <w:b/>
          <w:bCs/>
          <w:sz w:val="20"/>
          <w:szCs w:val="20"/>
        </w:rPr>
        <w:t>e], uwzględnione przy wyznaczaniu orientacyjnej trajektorii wkładu krajowego</w:t>
      </w:r>
    </w:p>
    <w:tbl>
      <w:tblPr>
        <w:tblStyle w:val="Tabela-Siatka"/>
        <w:tblW w:w="9209" w:type="dxa"/>
        <w:tblLook w:val="04A0" w:firstRow="1" w:lastRow="0" w:firstColumn="1" w:lastColumn="0" w:noHBand="0" w:noVBand="1"/>
      </w:tblPr>
      <w:tblGrid>
        <w:gridCol w:w="906"/>
        <w:gridCol w:w="906"/>
        <w:gridCol w:w="906"/>
        <w:gridCol w:w="906"/>
        <w:gridCol w:w="906"/>
        <w:gridCol w:w="906"/>
        <w:gridCol w:w="906"/>
        <w:gridCol w:w="906"/>
        <w:gridCol w:w="907"/>
        <w:gridCol w:w="1054"/>
      </w:tblGrid>
      <w:tr w:rsidR="00A160DC" w:rsidRPr="009307B2" w14:paraId="10556D65" w14:textId="77777777" w:rsidTr="00686ABB">
        <w:trPr>
          <w:trHeight w:val="244"/>
        </w:trPr>
        <w:tc>
          <w:tcPr>
            <w:tcW w:w="906" w:type="dxa"/>
            <w:shd w:val="clear" w:color="auto" w:fill="BDD6EE" w:themeFill="accent5" w:themeFillTint="66"/>
            <w:vAlign w:val="center"/>
          </w:tcPr>
          <w:p w14:paraId="5A5FE056" w14:textId="77777777" w:rsidR="00A160DC" w:rsidRPr="00292793" w:rsidRDefault="00A160DC" w:rsidP="00686ABB">
            <w:pPr>
              <w:jc w:val="center"/>
              <w:rPr>
                <w:b/>
                <w:bCs/>
                <w:sz w:val="18"/>
                <w:szCs w:val="20"/>
              </w:rPr>
            </w:pPr>
            <w:r w:rsidRPr="00292793">
              <w:rPr>
                <w:b/>
                <w:bCs/>
                <w:sz w:val="18"/>
                <w:szCs w:val="20"/>
              </w:rPr>
              <w:t>2012</w:t>
            </w:r>
          </w:p>
        </w:tc>
        <w:tc>
          <w:tcPr>
            <w:tcW w:w="906" w:type="dxa"/>
            <w:shd w:val="clear" w:color="auto" w:fill="BDD6EE" w:themeFill="accent5" w:themeFillTint="66"/>
            <w:vAlign w:val="center"/>
          </w:tcPr>
          <w:p w14:paraId="2B2E1FDB" w14:textId="77777777" w:rsidR="00A160DC" w:rsidRPr="00292793" w:rsidRDefault="00A160DC" w:rsidP="00686ABB">
            <w:pPr>
              <w:jc w:val="center"/>
              <w:rPr>
                <w:b/>
                <w:bCs/>
                <w:sz w:val="18"/>
                <w:szCs w:val="20"/>
              </w:rPr>
            </w:pPr>
            <w:r w:rsidRPr="00292793">
              <w:rPr>
                <w:b/>
                <w:bCs/>
                <w:sz w:val="18"/>
                <w:szCs w:val="20"/>
              </w:rPr>
              <w:t>2013</w:t>
            </w:r>
          </w:p>
        </w:tc>
        <w:tc>
          <w:tcPr>
            <w:tcW w:w="906" w:type="dxa"/>
            <w:shd w:val="clear" w:color="auto" w:fill="BDD6EE" w:themeFill="accent5" w:themeFillTint="66"/>
            <w:vAlign w:val="center"/>
          </w:tcPr>
          <w:p w14:paraId="2388DB85" w14:textId="77777777" w:rsidR="00A160DC" w:rsidRPr="00292793" w:rsidRDefault="00A160DC" w:rsidP="00686ABB">
            <w:pPr>
              <w:jc w:val="center"/>
              <w:rPr>
                <w:b/>
                <w:bCs/>
                <w:sz w:val="18"/>
                <w:szCs w:val="20"/>
              </w:rPr>
            </w:pPr>
            <w:r w:rsidRPr="00292793">
              <w:rPr>
                <w:b/>
                <w:bCs/>
                <w:sz w:val="18"/>
                <w:szCs w:val="20"/>
              </w:rPr>
              <w:t>2014</w:t>
            </w:r>
          </w:p>
        </w:tc>
        <w:tc>
          <w:tcPr>
            <w:tcW w:w="906" w:type="dxa"/>
            <w:shd w:val="clear" w:color="auto" w:fill="BDD6EE" w:themeFill="accent5" w:themeFillTint="66"/>
            <w:vAlign w:val="center"/>
          </w:tcPr>
          <w:p w14:paraId="545A3151" w14:textId="77777777" w:rsidR="00A160DC" w:rsidRPr="00292793" w:rsidRDefault="00A160DC" w:rsidP="00686ABB">
            <w:pPr>
              <w:jc w:val="center"/>
              <w:rPr>
                <w:b/>
                <w:bCs/>
                <w:sz w:val="18"/>
                <w:szCs w:val="20"/>
              </w:rPr>
            </w:pPr>
            <w:r w:rsidRPr="00292793">
              <w:rPr>
                <w:b/>
                <w:bCs/>
                <w:sz w:val="18"/>
                <w:szCs w:val="20"/>
              </w:rPr>
              <w:t>2015</w:t>
            </w:r>
          </w:p>
        </w:tc>
        <w:tc>
          <w:tcPr>
            <w:tcW w:w="906" w:type="dxa"/>
            <w:shd w:val="clear" w:color="auto" w:fill="BDD6EE" w:themeFill="accent5" w:themeFillTint="66"/>
            <w:vAlign w:val="center"/>
          </w:tcPr>
          <w:p w14:paraId="2322CC84" w14:textId="77777777" w:rsidR="00A160DC" w:rsidRPr="00292793" w:rsidRDefault="00A160DC" w:rsidP="00686ABB">
            <w:pPr>
              <w:jc w:val="center"/>
              <w:rPr>
                <w:b/>
                <w:bCs/>
                <w:sz w:val="18"/>
                <w:szCs w:val="20"/>
              </w:rPr>
            </w:pPr>
            <w:r w:rsidRPr="00292793">
              <w:rPr>
                <w:b/>
                <w:bCs/>
                <w:sz w:val="18"/>
                <w:szCs w:val="20"/>
              </w:rPr>
              <w:t>2016</w:t>
            </w:r>
          </w:p>
        </w:tc>
        <w:tc>
          <w:tcPr>
            <w:tcW w:w="906" w:type="dxa"/>
            <w:shd w:val="clear" w:color="auto" w:fill="BDD6EE" w:themeFill="accent5" w:themeFillTint="66"/>
            <w:vAlign w:val="center"/>
          </w:tcPr>
          <w:p w14:paraId="090CA080" w14:textId="77777777" w:rsidR="00A160DC" w:rsidRPr="00292793" w:rsidRDefault="00A160DC" w:rsidP="00686ABB">
            <w:pPr>
              <w:jc w:val="center"/>
              <w:rPr>
                <w:b/>
                <w:bCs/>
                <w:sz w:val="18"/>
                <w:szCs w:val="20"/>
              </w:rPr>
            </w:pPr>
            <w:r w:rsidRPr="00292793">
              <w:rPr>
                <w:b/>
                <w:bCs/>
                <w:sz w:val="18"/>
                <w:szCs w:val="20"/>
              </w:rPr>
              <w:t>2017</w:t>
            </w:r>
          </w:p>
        </w:tc>
        <w:tc>
          <w:tcPr>
            <w:tcW w:w="906" w:type="dxa"/>
            <w:shd w:val="clear" w:color="auto" w:fill="BDD6EE" w:themeFill="accent5" w:themeFillTint="66"/>
            <w:vAlign w:val="center"/>
          </w:tcPr>
          <w:p w14:paraId="4475F8FC" w14:textId="77777777" w:rsidR="00A160DC" w:rsidRPr="00292793" w:rsidRDefault="00A160DC" w:rsidP="00686ABB">
            <w:pPr>
              <w:jc w:val="center"/>
              <w:rPr>
                <w:b/>
                <w:bCs/>
                <w:sz w:val="18"/>
                <w:szCs w:val="20"/>
              </w:rPr>
            </w:pPr>
            <w:r w:rsidRPr="00292793">
              <w:rPr>
                <w:b/>
                <w:bCs/>
                <w:sz w:val="18"/>
                <w:szCs w:val="20"/>
              </w:rPr>
              <w:t>2018</w:t>
            </w:r>
          </w:p>
        </w:tc>
        <w:tc>
          <w:tcPr>
            <w:tcW w:w="906" w:type="dxa"/>
            <w:shd w:val="clear" w:color="auto" w:fill="BDD6EE" w:themeFill="accent5" w:themeFillTint="66"/>
            <w:vAlign w:val="center"/>
          </w:tcPr>
          <w:p w14:paraId="7CDDB502" w14:textId="77777777" w:rsidR="00A160DC" w:rsidRPr="00292793" w:rsidRDefault="00A160DC" w:rsidP="00686ABB">
            <w:pPr>
              <w:jc w:val="center"/>
              <w:rPr>
                <w:b/>
                <w:bCs/>
                <w:sz w:val="18"/>
                <w:szCs w:val="20"/>
              </w:rPr>
            </w:pPr>
            <w:r w:rsidRPr="00292793">
              <w:rPr>
                <w:b/>
                <w:bCs/>
                <w:sz w:val="18"/>
                <w:szCs w:val="20"/>
              </w:rPr>
              <w:t>2019</w:t>
            </w:r>
          </w:p>
        </w:tc>
        <w:tc>
          <w:tcPr>
            <w:tcW w:w="907" w:type="dxa"/>
            <w:shd w:val="clear" w:color="auto" w:fill="BDD6EE" w:themeFill="accent5" w:themeFillTint="66"/>
            <w:vAlign w:val="center"/>
          </w:tcPr>
          <w:p w14:paraId="60760948" w14:textId="77777777" w:rsidR="00A160DC" w:rsidRPr="00292793" w:rsidRDefault="00A160DC" w:rsidP="00686ABB">
            <w:pPr>
              <w:jc w:val="center"/>
              <w:rPr>
                <w:b/>
                <w:bCs/>
                <w:sz w:val="18"/>
                <w:szCs w:val="20"/>
              </w:rPr>
            </w:pPr>
            <w:r w:rsidRPr="00292793">
              <w:rPr>
                <w:b/>
                <w:bCs/>
                <w:sz w:val="18"/>
                <w:szCs w:val="20"/>
              </w:rPr>
              <w:t>2020</w:t>
            </w:r>
          </w:p>
        </w:tc>
        <w:tc>
          <w:tcPr>
            <w:tcW w:w="1054" w:type="dxa"/>
            <w:shd w:val="clear" w:color="auto" w:fill="BDD6EE" w:themeFill="accent5" w:themeFillTint="66"/>
            <w:vAlign w:val="center"/>
          </w:tcPr>
          <w:p w14:paraId="2B4EFD3A" w14:textId="77777777" w:rsidR="00A160DC" w:rsidRPr="00292793" w:rsidRDefault="00A160DC" w:rsidP="00686ABB">
            <w:pPr>
              <w:jc w:val="center"/>
              <w:rPr>
                <w:b/>
                <w:bCs/>
                <w:sz w:val="18"/>
                <w:szCs w:val="20"/>
              </w:rPr>
            </w:pPr>
            <w:r w:rsidRPr="00292793">
              <w:rPr>
                <w:b/>
                <w:bCs/>
                <w:sz w:val="18"/>
                <w:szCs w:val="20"/>
              </w:rPr>
              <w:t>2021</w:t>
            </w:r>
          </w:p>
        </w:tc>
      </w:tr>
      <w:tr w:rsidR="00A160DC" w:rsidRPr="009307B2" w14:paraId="3AE5EC93" w14:textId="77777777" w:rsidTr="004E542E">
        <w:trPr>
          <w:trHeight w:val="274"/>
        </w:trPr>
        <w:tc>
          <w:tcPr>
            <w:tcW w:w="906" w:type="dxa"/>
            <w:vAlign w:val="center"/>
          </w:tcPr>
          <w:p w14:paraId="38526E92" w14:textId="77777777" w:rsidR="00A160DC" w:rsidRPr="00BD4DED" w:rsidRDefault="00A160DC" w:rsidP="00686ABB">
            <w:pPr>
              <w:jc w:val="center"/>
              <w:rPr>
                <w:sz w:val="18"/>
                <w:szCs w:val="18"/>
              </w:rPr>
            </w:pPr>
            <w:r w:rsidRPr="00BD4DED">
              <w:rPr>
                <w:sz w:val="18"/>
                <w:szCs w:val="18"/>
              </w:rPr>
              <w:t>92 797</w:t>
            </w:r>
          </w:p>
        </w:tc>
        <w:tc>
          <w:tcPr>
            <w:tcW w:w="906" w:type="dxa"/>
            <w:vAlign w:val="center"/>
          </w:tcPr>
          <w:p w14:paraId="4D689754" w14:textId="77777777" w:rsidR="00A160DC" w:rsidRPr="00BD4DED" w:rsidRDefault="00A160DC" w:rsidP="00686ABB">
            <w:pPr>
              <w:jc w:val="center"/>
              <w:rPr>
                <w:sz w:val="18"/>
                <w:szCs w:val="18"/>
              </w:rPr>
            </w:pPr>
            <w:r w:rsidRPr="00BD4DED">
              <w:rPr>
                <w:sz w:val="18"/>
                <w:szCs w:val="18"/>
              </w:rPr>
              <w:t>93 402</w:t>
            </w:r>
          </w:p>
        </w:tc>
        <w:tc>
          <w:tcPr>
            <w:tcW w:w="906" w:type="dxa"/>
            <w:vAlign w:val="center"/>
          </w:tcPr>
          <w:p w14:paraId="40824583" w14:textId="77777777" w:rsidR="00A160DC" w:rsidRPr="00BD4DED" w:rsidRDefault="00A160DC" w:rsidP="00686ABB">
            <w:pPr>
              <w:jc w:val="center"/>
              <w:rPr>
                <w:sz w:val="18"/>
                <w:szCs w:val="18"/>
              </w:rPr>
            </w:pPr>
            <w:r w:rsidRPr="00BD4DED">
              <w:rPr>
                <w:sz w:val="18"/>
                <w:szCs w:val="18"/>
              </w:rPr>
              <w:t>89 494</w:t>
            </w:r>
          </w:p>
        </w:tc>
        <w:tc>
          <w:tcPr>
            <w:tcW w:w="906" w:type="dxa"/>
            <w:vAlign w:val="center"/>
          </w:tcPr>
          <w:p w14:paraId="60B17DD1" w14:textId="77777777" w:rsidR="00A160DC" w:rsidRPr="00BD4DED" w:rsidRDefault="00A160DC" w:rsidP="00686ABB">
            <w:pPr>
              <w:jc w:val="center"/>
              <w:rPr>
                <w:sz w:val="18"/>
                <w:szCs w:val="18"/>
              </w:rPr>
            </w:pPr>
            <w:r w:rsidRPr="00BD4DED">
              <w:rPr>
                <w:sz w:val="18"/>
                <w:szCs w:val="18"/>
              </w:rPr>
              <w:t>90 054</w:t>
            </w:r>
          </w:p>
        </w:tc>
        <w:tc>
          <w:tcPr>
            <w:tcW w:w="906" w:type="dxa"/>
            <w:vAlign w:val="center"/>
          </w:tcPr>
          <w:p w14:paraId="1434A2DB" w14:textId="77777777" w:rsidR="00A160DC" w:rsidRPr="00BD4DED" w:rsidRDefault="00A160DC" w:rsidP="00686ABB">
            <w:pPr>
              <w:jc w:val="center"/>
              <w:rPr>
                <w:sz w:val="18"/>
                <w:szCs w:val="18"/>
              </w:rPr>
            </w:pPr>
            <w:r w:rsidRPr="00BD4DED">
              <w:rPr>
                <w:sz w:val="18"/>
                <w:szCs w:val="18"/>
              </w:rPr>
              <w:t>94 832</w:t>
            </w:r>
          </w:p>
        </w:tc>
        <w:tc>
          <w:tcPr>
            <w:tcW w:w="906" w:type="dxa"/>
            <w:vAlign w:val="center"/>
          </w:tcPr>
          <w:p w14:paraId="42585C90" w14:textId="77777777" w:rsidR="00A160DC" w:rsidRPr="00BD4DED" w:rsidRDefault="00A160DC" w:rsidP="00686ABB">
            <w:pPr>
              <w:jc w:val="center"/>
              <w:rPr>
                <w:sz w:val="18"/>
                <w:szCs w:val="18"/>
              </w:rPr>
            </w:pPr>
            <w:r w:rsidRPr="00BD4DED">
              <w:rPr>
                <w:sz w:val="18"/>
                <w:szCs w:val="18"/>
              </w:rPr>
              <w:t>99 076</w:t>
            </w:r>
          </w:p>
        </w:tc>
        <w:tc>
          <w:tcPr>
            <w:tcW w:w="906" w:type="dxa"/>
            <w:vAlign w:val="center"/>
          </w:tcPr>
          <w:p w14:paraId="52E3D235" w14:textId="77777777" w:rsidR="00A160DC" w:rsidRPr="00BD4DED" w:rsidRDefault="00A160DC" w:rsidP="00686ABB">
            <w:pPr>
              <w:jc w:val="center"/>
              <w:rPr>
                <w:sz w:val="18"/>
                <w:szCs w:val="18"/>
              </w:rPr>
            </w:pPr>
            <w:r w:rsidRPr="00BD4DED">
              <w:rPr>
                <w:sz w:val="18"/>
                <w:szCs w:val="18"/>
              </w:rPr>
              <w:t>104 059</w:t>
            </w:r>
          </w:p>
        </w:tc>
        <w:tc>
          <w:tcPr>
            <w:tcW w:w="906" w:type="dxa"/>
            <w:vAlign w:val="center"/>
          </w:tcPr>
          <w:p w14:paraId="0904298D" w14:textId="77777777" w:rsidR="00A160DC" w:rsidRPr="00BD4DED" w:rsidRDefault="00A160DC" w:rsidP="00686ABB">
            <w:pPr>
              <w:jc w:val="center"/>
              <w:rPr>
                <w:sz w:val="18"/>
                <w:szCs w:val="18"/>
              </w:rPr>
            </w:pPr>
            <w:r w:rsidRPr="00BD4DED">
              <w:rPr>
                <w:sz w:val="18"/>
                <w:szCs w:val="18"/>
              </w:rPr>
              <w:t>100 195</w:t>
            </w:r>
          </w:p>
        </w:tc>
        <w:tc>
          <w:tcPr>
            <w:tcW w:w="907" w:type="dxa"/>
            <w:vAlign w:val="center"/>
          </w:tcPr>
          <w:p w14:paraId="7FBAC815" w14:textId="77777777" w:rsidR="00A160DC" w:rsidRPr="00BD4DED" w:rsidRDefault="00A160DC" w:rsidP="00686ABB">
            <w:pPr>
              <w:jc w:val="center"/>
              <w:rPr>
                <w:sz w:val="18"/>
                <w:szCs w:val="18"/>
              </w:rPr>
            </w:pPr>
            <w:r w:rsidRPr="00BD4DED">
              <w:rPr>
                <w:sz w:val="18"/>
                <w:szCs w:val="18"/>
              </w:rPr>
              <w:t>96 859</w:t>
            </w:r>
          </w:p>
        </w:tc>
        <w:tc>
          <w:tcPr>
            <w:tcW w:w="1054" w:type="dxa"/>
            <w:vAlign w:val="center"/>
          </w:tcPr>
          <w:p w14:paraId="3B9AC0DF" w14:textId="77777777" w:rsidR="00A160DC" w:rsidRPr="00BD4DED" w:rsidRDefault="00A160DC" w:rsidP="00686ABB">
            <w:pPr>
              <w:jc w:val="center"/>
              <w:rPr>
                <w:sz w:val="18"/>
                <w:szCs w:val="18"/>
              </w:rPr>
            </w:pPr>
            <w:r w:rsidRPr="00BD4DED">
              <w:rPr>
                <w:sz w:val="18"/>
                <w:szCs w:val="18"/>
              </w:rPr>
              <w:t>103 950</w:t>
            </w:r>
          </w:p>
        </w:tc>
      </w:tr>
    </w:tbl>
    <w:p w14:paraId="21B19AC5" w14:textId="77777777" w:rsidR="00A160DC" w:rsidRPr="00736B55" w:rsidRDefault="00A160DC" w:rsidP="00A160DC">
      <w:pPr>
        <w:pStyle w:val="Legenda"/>
        <w:keepNext/>
        <w:spacing w:after="240" w:line="276" w:lineRule="auto"/>
        <w:rPr>
          <w:rStyle w:val="rynqvb"/>
          <w:b/>
          <w:bCs/>
          <w:kern w:val="0"/>
          <w14:ligatures w14:val="none"/>
        </w:rPr>
      </w:pPr>
      <w:r w:rsidRPr="00736B55">
        <w:rPr>
          <w:rStyle w:val="rynqvb"/>
          <w:b/>
          <w:bCs/>
          <w:kern w:val="0"/>
          <w14:ligatures w14:val="none"/>
        </w:rPr>
        <w:t>Źródło: EUROSTAT</w:t>
      </w:r>
    </w:p>
    <w:p w14:paraId="358B4977" w14:textId="77777777" w:rsidR="00A160DC" w:rsidRPr="005A55CD" w:rsidRDefault="00A160DC" w:rsidP="00A160DC">
      <w:pPr>
        <w:pStyle w:val="Legenda"/>
        <w:keepNext/>
        <w:rPr>
          <w:b/>
          <w:bCs/>
          <w:sz w:val="20"/>
          <w:szCs w:val="20"/>
        </w:rPr>
      </w:pPr>
      <w:r w:rsidRPr="005E0D7B">
        <w:rPr>
          <w:b/>
          <w:bCs/>
          <w:sz w:val="20"/>
          <w:szCs w:val="20"/>
        </w:rPr>
        <w:t>Orientacyjna trajektoria realizacji wkładu krajowego w zakresie energii pierwotnej (wg formuły)</w:t>
      </w:r>
      <w:r>
        <w:rPr>
          <w:b/>
          <w:bCs/>
          <w:sz w:val="20"/>
          <w:szCs w:val="20"/>
        </w:rPr>
        <w:t xml:space="preserve"> </w:t>
      </w:r>
      <w:r w:rsidRPr="005A55CD">
        <w:rPr>
          <w:b/>
          <w:bCs/>
          <w:sz w:val="20"/>
          <w:szCs w:val="20"/>
        </w:rPr>
        <w:t xml:space="preserve">w latach 2022-2030 </w:t>
      </w:r>
      <w:r>
        <w:rPr>
          <w:b/>
          <w:bCs/>
          <w:sz w:val="20"/>
          <w:szCs w:val="20"/>
        </w:rPr>
        <w:t>[ktoe]</w:t>
      </w:r>
    </w:p>
    <w:tbl>
      <w:tblPr>
        <w:tblStyle w:val="Tabela-Siatka"/>
        <w:tblW w:w="0" w:type="auto"/>
        <w:tblLook w:val="04A0" w:firstRow="1" w:lastRow="0" w:firstColumn="1" w:lastColumn="0" w:noHBand="0" w:noVBand="1"/>
      </w:tblPr>
      <w:tblGrid>
        <w:gridCol w:w="913"/>
        <w:gridCol w:w="913"/>
        <w:gridCol w:w="913"/>
        <w:gridCol w:w="913"/>
        <w:gridCol w:w="913"/>
        <w:gridCol w:w="913"/>
        <w:gridCol w:w="913"/>
        <w:gridCol w:w="913"/>
        <w:gridCol w:w="913"/>
      </w:tblGrid>
      <w:tr w:rsidR="00A160DC" w:rsidRPr="009307B2" w14:paraId="6B9FD530" w14:textId="77777777" w:rsidTr="00686ABB">
        <w:trPr>
          <w:trHeight w:val="271"/>
        </w:trPr>
        <w:tc>
          <w:tcPr>
            <w:tcW w:w="913" w:type="dxa"/>
            <w:shd w:val="clear" w:color="auto" w:fill="9CC2E5" w:themeFill="accent5" w:themeFillTint="99"/>
            <w:vAlign w:val="center"/>
          </w:tcPr>
          <w:p w14:paraId="3B8E222A" w14:textId="77777777" w:rsidR="00A160DC" w:rsidRPr="005A55CD" w:rsidRDefault="00A160DC" w:rsidP="00686ABB">
            <w:pPr>
              <w:jc w:val="center"/>
              <w:rPr>
                <w:b/>
                <w:bCs/>
                <w:sz w:val="18"/>
                <w:szCs w:val="20"/>
              </w:rPr>
            </w:pPr>
            <w:r w:rsidRPr="005A55CD">
              <w:rPr>
                <w:rFonts w:cs="Calibri"/>
                <w:b/>
                <w:bCs/>
                <w:color w:val="000000"/>
                <w:sz w:val="18"/>
                <w:szCs w:val="20"/>
                <w:lang w:eastAsia="pl-PL"/>
              </w:rPr>
              <w:t>2022</w:t>
            </w:r>
          </w:p>
        </w:tc>
        <w:tc>
          <w:tcPr>
            <w:tcW w:w="913" w:type="dxa"/>
            <w:shd w:val="clear" w:color="auto" w:fill="9CC2E5" w:themeFill="accent5" w:themeFillTint="99"/>
            <w:vAlign w:val="center"/>
          </w:tcPr>
          <w:p w14:paraId="56C1671E" w14:textId="77777777" w:rsidR="00A160DC" w:rsidRPr="005A55CD" w:rsidRDefault="00A160DC" w:rsidP="00686ABB">
            <w:pPr>
              <w:jc w:val="center"/>
              <w:rPr>
                <w:b/>
                <w:bCs/>
                <w:sz w:val="18"/>
                <w:szCs w:val="20"/>
              </w:rPr>
            </w:pPr>
            <w:r w:rsidRPr="005A55CD">
              <w:rPr>
                <w:rFonts w:cs="Calibri"/>
                <w:b/>
                <w:bCs/>
                <w:color w:val="000000"/>
                <w:sz w:val="18"/>
                <w:szCs w:val="20"/>
                <w:lang w:eastAsia="pl-PL"/>
              </w:rPr>
              <w:t>2023</w:t>
            </w:r>
          </w:p>
        </w:tc>
        <w:tc>
          <w:tcPr>
            <w:tcW w:w="913" w:type="dxa"/>
            <w:shd w:val="clear" w:color="auto" w:fill="9CC2E5" w:themeFill="accent5" w:themeFillTint="99"/>
            <w:vAlign w:val="center"/>
          </w:tcPr>
          <w:p w14:paraId="549DDD23" w14:textId="77777777" w:rsidR="00A160DC" w:rsidRPr="005A55CD" w:rsidRDefault="00A160DC" w:rsidP="00686ABB">
            <w:pPr>
              <w:jc w:val="center"/>
              <w:rPr>
                <w:b/>
                <w:bCs/>
                <w:sz w:val="18"/>
                <w:szCs w:val="20"/>
              </w:rPr>
            </w:pPr>
            <w:r w:rsidRPr="005A55CD">
              <w:rPr>
                <w:rFonts w:cs="Calibri"/>
                <w:b/>
                <w:bCs/>
                <w:color w:val="000000"/>
                <w:sz w:val="18"/>
                <w:szCs w:val="20"/>
                <w:lang w:eastAsia="pl-PL"/>
              </w:rPr>
              <w:t>2024</w:t>
            </w:r>
          </w:p>
        </w:tc>
        <w:tc>
          <w:tcPr>
            <w:tcW w:w="913" w:type="dxa"/>
            <w:shd w:val="clear" w:color="auto" w:fill="9CC2E5" w:themeFill="accent5" w:themeFillTint="99"/>
            <w:vAlign w:val="center"/>
          </w:tcPr>
          <w:p w14:paraId="47396F7E" w14:textId="77777777" w:rsidR="00A160DC" w:rsidRPr="005A55CD" w:rsidRDefault="00A160DC" w:rsidP="00686ABB">
            <w:pPr>
              <w:jc w:val="center"/>
              <w:rPr>
                <w:b/>
                <w:bCs/>
                <w:sz w:val="18"/>
                <w:szCs w:val="20"/>
              </w:rPr>
            </w:pPr>
            <w:r w:rsidRPr="005A55CD">
              <w:rPr>
                <w:rFonts w:cs="Calibri"/>
                <w:b/>
                <w:bCs/>
                <w:color w:val="000000"/>
                <w:sz w:val="18"/>
                <w:szCs w:val="20"/>
                <w:lang w:eastAsia="pl-PL"/>
              </w:rPr>
              <w:t>2025</w:t>
            </w:r>
          </w:p>
        </w:tc>
        <w:tc>
          <w:tcPr>
            <w:tcW w:w="913" w:type="dxa"/>
            <w:shd w:val="clear" w:color="auto" w:fill="9CC2E5" w:themeFill="accent5" w:themeFillTint="99"/>
            <w:vAlign w:val="center"/>
          </w:tcPr>
          <w:p w14:paraId="0176FE35" w14:textId="77777777" w:rsidR="00A160DC" w:rsidRPr="005A55CD" w:rsidRDefault="00A160DC" w:rsidP="00686ABB">
            <w:pPr>
              <w:jc w:val="center"/>
              <w:rPr>
                <w:b/>
                <w:bCs/>
                <w:sz w:val="18"/>
                <w:szCs w:val="20"/>
              </w:rPr>
            </w:pPr>
            <w:r w:rsidRPr="005A55CD">
              <w:rPr>
                <w:rFonts w:cs="Calibri"/>
                <w:b/>
                <w:bCs/>
                <w:color w:val="000000"/>
                <w:sz w:val="18"/>
                <w:szCs w:val="20"/>
                <w:lang w:eastAsia="pl-PL"/>
              </w:rPr>
              <w:t>2026</w:t>
            </w:r>
          </w:p>
        </w:tc>
        <w:tc>
          <w:tcPr>
            <w:tcW w:w="913" w:type="dxa"/>
            <w:shd w:val="clear" w:color="auto" w:fill="9CC2E5" w:themeFill="accent5" w:themeFillTint="99"/>
            <w:vAlign w:val="center"/>
          </w:tcPr>
          <w:p w14:paraId="4D02EB07" w14:textId="77777777" w:rsidR="00A160DC" w:rsidRPr="005A55CD" w:rsidRDefault="00A160DC" w:rsidP="00686ABB">
            <w:pPr>
              <w:jc w:val="center"/>
              <w:rPr>
                <w:b/>
                <w:bCs/>
                <w:sz w:val="18"/>
                <w:szCs w:val="20"/>
              </w:rPr>
            </w:pPr>
            <w:r w:rsidRPr="005A55CD">
              <w:rPr>
                <w:rFonts w:cs="Calibri"/>
                <w:b/>
                <w:bCs/>
                <w:color w:val="000000"/>
                <w:sz w:val="18"/>
                <w:szCs w:val="20"/>
                <w:lang w:eastAsia="pl-PL"/>
              </w:rPr>
              <w:t>2027</w:t>
            </w:r>
          </w:p>
        </w:tc>
        <w:tc>
          <w:tcPr>
            <w:tcW w:w="913" w:type="dxa"/>
            <w:shd w:val="clear" w:color="auto" w:fill="9CC2E5" w:themeFill="accent5" w:themeFillTint="99"/>
            <w:vAlign w:val="center"/>
          </w:tcPr>
          <w:p w14:paraId="03FF5918" w14:textId="77777777" w:rsidR="00A160DC" w:rsidRPr="005A55CD" w:rsidRDefault="00A160DC" w:rsidP="00686ABB">
            <w:pPr>
              <w:jc w:val="center"/>
              <w:rPr>
                <w:b/>
                <w:bCs/>
                <w:sz w:val="18"/>
                <w:szCs w:val="20"/>
              </w:rPr>
            </w:pPr>
            <w:r w:rsidRPr="005A55CD">
              <w:rPr>
                <w:rFonts w:cs="Calibri"/>
                <w:b/>
                <w:bCs/>
                <w:color w:val="000000"/>
                <w:sz w:val="18"/>
                <w:szCs w:val="20"/>
                <w:lang w:eastAsia="pl-PL"/>
              </w:rPr>
              <w:t>2028</w:t>
            </w:r>
          </w:p>
        </w:tc>
        <w:tc>
          <w:tcPr>
            <w:tcW w:w="913" w:type="dxa"/>
            <w:shd w:val="clear" w:color="auto" w:fill="9CC2E5" w:themeFill="accent5" w:themeFillTint="99"/>
            <w:vAlign w:val="center"/>
          </w:tcPr>
          <w:p w14:paraId="76099BB9" w14:textId="77777777" w:rsidR="00A160DC" w:rsidRPr="005A55CD" w:rsidRDefault="00A160DC" w:rsidP="00686ABB">
            <w:pPr>
              <w:jc w:val="center"/>
              <w:rPr>
                <w:b/>
                <w:bCs/>
                <w:sz w:val="18"/>
                <w:szCs w:val="20"/>
              </w:rPr>
            </w:pPr>
            <w:r w:rsidRPr="005A55CD">
              <w:rPr>
                <w:rFonts w:cs="Calibri"/>
                <w:b/>
                <w:bCs/>
                <w:color w:val="000000"/>
                <w:sz w:val="18"/>
                <w:szCs w:val="20"/>
                <w:lang w:eastAsia="pl-PL"/>
              </w:rPr>
              <w:t>2029</w:t>
            </w:r>
          </w:p>
        </w:tc>
        <w:tc>
          <w:tcPr>
            <w:tcW w:w="913" w:type="dxa"/>
            <w:shd w:val="clear" w:color="auto" w:fill="9CC2E5" w:themeFill="accent5" w:themeFillTint="99"/>
            <w:vAlign w:val="center"/>
          </w:tcPr>
          <w:p w14:paraId="69A7F646" w14:textId="77777777" w:rsidR="00A160DC" w:rsidRPr="005A55CD" w:rsidRDefault="00A160DC" w:rsidP="00686ABB">
            <w:pPr>
              <w:jc w:val="center"/>
              <w:rPr>
                <w:b/>
                <w:bCs/>
                <w:sz w:val="18"/>
                <w:szCs w:val="20"/>
              </w:rPr>
            </w:pPr>
            <w:r w:rsidRPr="005A55CD">
              <w:rPr>
                <w:rFonts w:cs="Calibri"/>
                <w:b/>
                <w:bCs/>
                <w:color w:val="000000"/>
                <w:sz w:val="18"/>
                <w:szCs w:val="20"/>
                <w:lang w:eastAsia="pl-PL"/>
              </w:rPr>
              <w:t>2030</w:t>
            </w:r>
          </w:p>
        </w:tc>
      </w:tr>
      <w:tr w:rsidR="00A160DC" w:rsidRPr="009307B2" w14:paraId="02F55692" w14:textId="77777777" w:rsidTr="004E542E">
        <w:trPr>
          <w:trHeight w:val="269"/>
        </w:trPr>
        <w:tc>
          <w:tcPr>
            <w:tcW w:w="913" w:type="dxa"/>
            <w:vAlign w:val="center"/>
          </w:tcPr>
          <w:p w14:paraId="6DC272A5" w14:textId="77777777" w:rsidR="00A160DC" w:rsidRPr="00BD4DED" w:rsidRDefault="00A160DC" w:rsidP="00686ABB">
            <w:pPr>
              <w:jc w:val="center"/>
              <w:rPr>
                <w:sz w:val="18"/>
                <w:szCs w:val="18"/>
              </w:rPr>
            </w:pPr>
            <w:r w:rsidRPr="00BD4DED">
              <w:rPr>
                <w:sz w:val="18"/>
                <w:szCs w:val="18"/>
              </w:rPr>
              <w:t>103 842</w:t>
            </w:r>
          </w:p>
        </w:tc>
        <w:tc>
          <w:tcPr>
            <w:tcW w:w="913" w:type="dxa"/>
            <w:vAlign w:val="center"/>
          </w:tcPr>
          <w:p w14:paraId="57B50679" w14:textId="77777777" w:rsidR="00A160DC" w:rsidRPr="00BD4DED" w:rsidRDefault="00A160DC" w:rsidP="00686ABB">
            <w:pPr>
              <w:jc w:val="center"/>
              <w:rPr>
                <w:sz w:val="18"/>
                <w:szCs w:val="18"/>
              </w:rPr>
            </w:pPr>
            <w:r w:rsidRPr="00BD4DED">
              <w:rPr>
                <w:sz w:val="18"/>
                <w:szCs w:val="18"/>
              </w:rPr>
              <w:t>103 734</w:t>
            </w:r>
          </w:p>
        </w:tc>
        <w:tc>
          <w:tcPr>
            <w:tcW w:w="913" w:type="dxa"/>
            <w:vAlign w:val="center"/>
          </w:tcPr>
          <w:p w14:paraId="56C62466" w14:textId="77777777" w:rsidR="00A160DC" w:rsidRPr="00BD4DED" w:rsidRDefault="00A160DC" w:rsidP="00686ABB">
            <w:pPr>
              <w:jc w:val="center"/>
              <w:rPr>
                <w:sz w:val="18"/>
                <w:szCs w:val="18"/>
              </w:rPr>
            </w:pPr>
            <w:r w:rsidRPr="00BD4DED">
              <w:rPr>
                <w:sz w:val="18"/>
                <w:szCs w:val="18"/>
              </w:rPr>
              <w:t>103 734</w:t>
            </w:r>
          </w:p>
        </w:tc>
        <w:tc>
          <w:tcPr>
            <w:tcW w:w="913" w:type="dxa"/>
            <w:vAlign w:val="center"/>
          </w:tcPr>
          <w:p w14:paraId="0A6F5219" w14:textId="77777777" w:rsidR="00A160DC" w:rsidRPr="00BD4DED" w:rsidRDefault="00A160DC" w:rsidP="00686ABB">
            <w:pPr>
              <w:jc w:val="center"/>
              <w:rPr>
                <w:sz w:val="18"/>
                <w:szCs w:val="18"/>
              </w:rPr>
            </w:pPr>
            <w:r w:rsidRPr="00BD4DED">
              <w:rPr>
                <w:sz w:val="18"/>
                <w:szCs w:val="18"/>
              </w:rPr>
              <w:t>103 734</w:t>
            </w:r>
          </w:p>
        </w:tc>
        <w:tc>
          <w:tcPr>
            <w:tcW w:w="913" w:type="dxa"/>
            <w:vAlign w:val="center"/>
          </w:tcPr>
          <w:p w14:paraId="6BAD31EA" w14:textId="77777777" w:rsidR="00A160DC" w:rsidRPr="00BD4DED" w:rsidRDefault="00A160DC" w:rsidP="00686ABB">
            <w:pPr>
              <w:jc w:val="center"/>
              <w:rPr>
                <w:sz w:val="18"/>
                <w:szCs w:val="18"/>
              </w:rPr>
            </w:pPr>
            <w:r w:rsidRPr="00BD4DED">
              <w:rPr>
                <w:sz w:val="18"/>
                <w:szCs w:val="18"/>
              </w:rPr>
              <w:t>98 973</w:t>
            </w:r>
          </w:p>
        </w:tc>
        <w:tc>
          <w:tcPr>
            <w:tcW w:w="913" w:type="dxa"/>
            <w:vAlign w:val="center"/>
          </w:tcPr>
          <w:p w14:paraId="6E60DDFC" w14:textId="77777777" w:rsidR="00A160DC" w:rsidRPr="00BD4DED" w:rsidRDefault="00A160DC" w:rsidP="00686ABB">
            <w:pPr>
              <w:jc w:val="center"/>
              <w:rPr>
                <w:sz w:val="18"/>
                <w:szCs w:val="18"/>
              </w:rPr>
            </w:pPr>
            <w:r w:rsidRPr="00BD4DED">
              <w:rPr>
                <w:sz w:val="18"/>
                <w:szCs w:val="18"/>
              </w:rPr>
              <w:t>94 213</w:t>
            </w:r>
          </w:p>
        </w:tc>
        <w:tc>
          <w:tcPr>
            <w:tcW w:w="913" w:type="dxa"/>
            <w:vAlign w:val="center"/>
          </w:tcPr>
          <w:p w14:paraId="1530EFAE" w14:textId="77777777" w:rsidR="00A160DC" w:rsidRPr="00BD4DED" w:rsidRDefault="00A160DC" w:rsidP="00686ABB">
            <w:pPr>
              <w:jc w:val="center"/>
              <w:rPr>
                <w:sz w:val="18"/>
                <w:szCs w:val="18"/>
              </w:rPr>
            </w:pPr>
            <w:r w:rsidRPr="00BD4DED">
              <w:rPr>
                <w:sz w:val="18"/>
                <w:szCs w:val="18"/>
              </w:rPr>
              <w:t>89 453</w:t>
            </w:r>
          </w:p>
        </w:tc>
        <w:tc>
          <w:tcPr>
            <w:tcW w:w="913" w:type="dxa"/>
            <w:vAlign w:val="center"/>
          </w:tcPr>
          <w:p w14:paraId="1167A5AE" w14:textId="77777777" w:rsidR="00A160DC" w:rsidRPr="00BD4DED" w:rsidRDefault="00A160DC" w:rsidP="00686ABB">
            <w:pPr>
              <w:jc w:val="center"/>
              <w:rPr>
                <w:sz w:val="18"/>
                <w:szCs w:val="18"/>
              </w:rPr>
            </w:pPr>
            <w:r w:rsidRPr="00BD4DED">
              <w:rPr>
                <w:sz w:val="18"/>
                <w:szCs w:val="18"/>
              </w:rPr>
              <w:t>84 692</w:t>
            </w:r>
          </w:p>
        </w:tc>
        <w:tc>
          <w:tcPr>
            <w:tcW w:w="913" w:type="dxa"/>
            <w:vAlign w:val="center"/>
          </w:tcPr>
          <w:p w14:paraId="504BB1EB" w14:textId="77777777" w:rsidR="00A160DC" w:rsidRPr="00BD4DED" w:rsidRDefault="00A160DC" w:rsidP="00686ABB">
            <w:pPr>
              <w:jc w:val="center"/>
              <w:rPr>
                <w:sz w:val="18"/>
                <w:szCs w:val="18"/>
              </w:rPr>
            </w:pPr>
            <w:r w:rsidRPr="00BD4DED">
              <w:rPr>
                <w:sz w:val="18"/>
                <w:szCs w:val="18"/>
              </w:rPr>
              <w:t>79 932</w:t>
            </w:r>
          </w:p>
        </w:tc>
      </w:tr>
    </w:tbl>
    <w:p w14:paraId="1906DC7C" w14:textId="68B0F7E9" w:rsidR="00A160DC" w:rsidRPr="003169E3" w:rsidRDefault="00A160DC" w:rsidP="003169E3">
      <w:pPr>
        <w:pStyle w:val="tyturys"/>
        <w:rPr>
          <w:sz w:val="26"/>
          <w:szCs w:val="26"/>
        </w:rPr>
      </w:pPr>
      <w:r w:rsidRPr="003169E3">
        <w:rPr>
          <w:sz w:val="26"/>
          <w:szCs w:val="26"/>
        </w:rPr>
        <w:lastRenderedPageBreak/>
        <w:t xml:space="preserve">Zużycie energii pierwotnej do 2030 r. zgodnie z formułą EED i według </w:t>
      </w:r>
      <w:r w:rsidR="00F60DE5" w:rsidRPr="003169E3">
        <w:rPr>
          <w:sz w:val="26"/>
          <w:szCs w:val="26"/>
        </w:rPr>
        <w:t xml:space="preserve">KPEiK </w:t>
      </w:r>
    </w:p>
    <w:p w14:paraId="3745326E" w14:textId="26A0B935" w:rsidR="00A160DC" w:rsidRDefault="003169E3" w:rsidP="00A160DC">
      <w:pPr>
        <w:spacing w:after="240"/>
      </w:pPr>
      <w:r>
        <w:rPr>
          <w:noProof/>
        </w:rPr>
        <w:drawing>
          <wp:anchor distT="0" distB="0" distL="114300" distR="114300" simplePos="0" relativeHeight="251841536" behindDoc="0" locked="0" layoutInCell="1" allowOverlap="1" wp14:anchorId="4A1668DF" wp14:editId="0502BF2D">
            <wp:simplePos x="0" y="0"/>
            <wp:positionH relativeFrom="margin">
              <wp:align>left</wp:align>
            </wp:positionH>
            <wp:positionV relativeFrom="paragraph">
              <wp:posOffset>164200</wp:posOffset>
            </wp:positionV>
            <wp:extent cx="5760720" cy="2743200"/>
            <wp:effectExtent l="0" t="0" r="0" b="0"/>
            <wp:wrapTight wrapText="bothSides">
              <wp:wrapPolygon edited="0">
                <wp:start x="0" y="0"/>
                <wp:lineTo x="0" y="21450"/>
                <wp:lineTo x="21500" y="21450"/>
                <wp:lineTo x="21500" y="0"/>
                <wp:lineTo x="0" y="0"/>
              </wp:wrapPolygon>
            </wp:wrapTight>
            <wp:docPr id="785587304" name="Wykres 1">
              <a:extLst xmlns:a="http://schemas.openxmlformats.org/drawingml/2006/main">
                <a:ext uri="{FF2B5EF4-FFF2-40B4-BE49-F238E27FC236}">
                  <a16:creationId xmlns:a16="http://schemas.microsoft.com/office/drawing/2014/main" id="{9DD37128-4532-415C-8C6E-A83100AC556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14:sizeRelH relativeFrom="margin">
              <wp14:pctWidth>0</wp14:pctWidth>
            </wp14:sizeRelH>
            <wp14:sizeRelV relativeFrom="margin">
              <wp14:pctHeight>0</wp14:pctHeight>
            </wp14:sizeRelV>
          </wp:anchor>
        </w:drawing>
      </w:r>
    </w:p>
    <w:p w14:paraId="74AC64F9" w14:textId="77777777" w:rsidR="00A160DC" w:rsidRDefault="00A160DC" w:rsidP="00A160DC">
      <w:pPr>
        <w:pStyle w:val="Polityka"/>
      </w:pPr>
      <w:r w:rsidRPr="00C46DAA">
        <w:t>POLITYKA</w:t>
      </w:r>
    </w:p>
    <w:p w14:paraId="14AA9B72" w14:textId="5DF0E6CF" w:rsidR="00A160DC" w:rsidRDefault="00A160DC" w:rsidP="00A160DC">
      <w:pPr>
        <w:rPr>
          <w:rFonts w:cs="Arial"/>
        </w:rPr>
      </w:pPr>
      <w:r w:rsidRPr="00B4376E">
        <w:t xml:space="preserve">Ograniczenie zużycia energii </w:t>
      </w:r>
      <w:r w:rsidR="002A424D">
        <w:t>pierwotnej</w:t>
      </w:r>
      <w:r w:rsidRPr="00B4376E">
        <w:t xml:space="preserve"> będzie rezultatem </w:t>
      </w:r>
      <w:r w:rsidR="002A424D">
        <w:t xml:space="preserve">zmian, które dotyczą całej gospodarki. </w:t>
      </w:r>
      <w:r w:rsidR="002A7FBE">
        <w:t xml:space="preserve">Kluczową rolę w osiągnięciu celu będzie miało stosowanie zasady „efektywność energetyczna przede wszystkim”. Priorytetem w tym zakresie jest intensywne wdrażanie wysokich standardów efektywności energetycznej, które będą wspierać rozwój energooszczędnych technologii oraz optymalizację procesów przemysłowych, modernizację budynków mieszkalnych i komercyjnych. </w:t>
      </w:r>
      <w:r w:rsidR="002A7FBE" w:rsidRPr="00931E38">
        <w:t>Co więcej</w:t>
      </w:r>
      <w:r w:rsidR="006B1B29">
        <w:t>,</w:t>
      </w:r>
      <w:r w:rsidR="002A7FBE" w:rsidRPr="00931E38">
        <w:t xml:space="preserve"> </w:t>
      </w:r>
      <w:r w:rsidR="002A7FBE" w:rsidRPr="00686ABB">
        <w:rPr>
          <w:rFonts w:cs="Arial"/>
        </w:rPr>
        <w:t>zwiększenie świadomości społecznej na temat korzyści płynących z efektywności energetycznej poprzez kampanie edukacyjne oraz programy szkoleniowe przyczyni się wspólnie do</w:t>
      </w:r>
      <w:r w:rsidR="002A7FBE">
        <w:rPr>
          <w:rFonts w:cs="Arial"/>
        </w:rPr>
        <w:t xml:space="preserve"> </w:t>
      </w:r>
      <w:r w:rsidR="002A7FBE" w:rsidRPr="00686ABB">
        <w:rPr>
          <w:rFonts w:cs="Arial"/>
        </w:rPr>
        <w:t xml:space="preserve">oszczędności </w:t>
      </w:r>
      <w:r w:rsidR="002A7FBE">
        <w:rPr>
          <w:rFonts w:cs="Arial"/>
        </w:rPr>
        <w:t xml:space="preserve">finalnego zużycia </w:t>
      </w:r>
      <w:r w:rsidR="002A7FBE" w:rsidRPr="00686ABB">
        <w:rPr>
          <w:rFonts w:cs="Arial"/>
        </w:rPr>
        <w:t>energii.</w:t>
      </w:r>
    </w:p>
    <w:p w14:paraId="5BEE6072" w14:textId="77777777" w:rsidR="00F77EB7" w:rsidRDefault="00F77EB7" w:rsidP="00FA4783">
      <w:pPr>
        <w:pStyle w:val="Bezodstpw"/>
      </w:pPr>
    </w:p>
    <w:p w14:paraId="738BC5F6" w14:textId="77777777" w:rsidR="00F77EB7" w:rsidRPr="00686ABB" w:rsidRDefault="00F77EB7" w:rsidP="00F77EB7">
      <w:pPr>
        <w:rPr>
          <w:i/>
          <w:iCs/>
        </w:rPr>
      </w:pPr>
      <w:r w:rsidRPr="00686ABB">
        <w:rPr>
          <w:i/>
          <w:iCs/>
        </w:rPr>
        <w:t xml:space="preserve">Ograniczenie zużycia energii pierwotnej będzie rezultatem różnych działań i przedsięwzięć, ale mając na uwadze to, że finalne zużycie energii w wyższym stopniu odzwierciedla efektywność procesów, opis polityki i działań poprawy efektywności energetycznej został zawarty przy celach dotyczących finalnego zużycia energii.  </w:t>
      </w:r>
    </w:p>
    <w:p w14:paraId="3F6607CB" w14:textId="77777777" w:rsidR="00F77EB7" w:rsidRDefault="00F77EB7" w:rsidP="00FA4783">
      <w:pPr>
        <w:pStyle w:val="Bezodstpw"/>
      </w:pPr>
    </w:p>
    <w:p w14:paraId="24885E1A" w14:textId="24CD50E8" w:rsidR="002B5CFB" w:rsidRPr="00043521" w:rsidRDefault="00A10FDD" w:rsidP="005A55CD">
      <w:pPr>
        <w:pStyle w:val="Nagwek4"/>
        <w:spacing w:before="280"/>
        <w:rPr>
          <w:color w:val="4472C4" w:themeColor="accent1"/>
        </w:rPr>
      </w:pPr>
      <w:bookmarkStart w:id="120" w:name="_Toc175321039"/>
      <w:bookmarkStart w:id="121" w:name="_Toc175479060"/>
      <w:bookmarkStart w:id="122" w:name="_Toc175494537"/>
      <w:bookmarkStart w:id="123" w:name="_Toc175518144"/>
      <w:bookmarkStart w:id="124" w:name="_Toc175571510"/>
      <w:bookmarkStart w:id="125" w:name="_Toc179536956"/>
      <w:bookmarkEnd w:id="120"/>
      <w:bookmarkEnd w:id="121"/>
      <w:bookmarkEnd w:id="122"/>
      <w:bookmarkEnd w:id="123"/>
      <w:bookmarkEnd w:id="124"/>
      <w:r>
        <w:rPr>
          <w:color w:val="4472C4" w:themeColor="accent1"/>
        </w:rPr>
        <w:t>Wkład Polski</w:t>
      </w:r>
      <w:r w:rsidR="002B5CFB" w:rsidRPr="00043521">
        <w:rPr>
          <w:color w:val="4472C4" w:themeColor="accent1"/>
        </w:rPr>
        <w:t xml:space="preserve"> w zakresie </w:t>
      </w:r>
      <w:r w:rsidR="00335AF1">
        <w:rPr>
          <w:color w:val="4472C4" w:themeColor="accent1"/>
        </w:rPr>
        <w:t xml:space="preserve">finalnego </w:t>
      </w:r>
      <w:r w:rsidR="002B5CFB" w:rsidRPr="00043521">
        <w:rPr>
          <w:color w:val="4472C4" w:themeColor="accent1"/>
        </w:rPr>
        <w:t>zużycia energii</w:t>
      </w:r>
      <w:bookmarkEnd w:id="118"/>
      <w:bookmarkEnd w:id="125"/>
    </w:p>
    <w:p w14:paraId="3D841603" w14:textId="04A67856" w:rsidR="00C35CE2" w:rsidRDefault="00DE0CED" w:rsidP="00C35CE2">
      <w:pPr>
        <w:spacing w:after="120"/>
      </w:pPr>
      <w:r>
        <w:rPr>
          <w:noProof/>
        </w:rPr>
        <mc:AlternateContent>
          <mc:Choice Requires="wps">
            <w:drawing>
              <wp:anchor distT="0" distB="0" distL="114300" distR="114300" simplePos="0" relativeHeight="251672576" behindDoc="1" locked="0" layoutInCell="1" allowOverlap="1" wp14:anchorId="4801F173" wp14:editId="571B1823">
                <wp:simplePos x="0" y="0"/>
                <wp:positionH relativeFrom="margin">
                  <wp:align>right</wp:align>
                </wp:positionH>
                <wp:positionV relativeFrom="paragraph">
                  <wp:posOffset>62230</wp:posOffset>
                </wp:positionV>
                <wp:extent cx="2771775" cy="1045845"/>
                <wp:effectExtent l="19050" t="57150" r="104775" b="59055"/>
                <wp:wrapSquare wrapText="bothSides"/>
                <wp:docPr id="1742102183" name="Prostokąt: zaokrąglone rogi 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771775" cy="1045845"/>
                        </a:xfrm>
                        <a:prstGeom prst="roundRect">
                          <a:avLst>
                            <a:gd name="adj" fmla="val 11857"/>
                          </a:avLst>
                        </a:prstGeom>
                        <a:solidFill>
                          <a:schemeClr val="bg1"/>
                        </a:solidFill>
                        <a:ln w="9525">
                          <a:solidFill>
                            <a:schemeClr val="accent5"/>
                          </a:solidFill>
                        </a:ln>
                        <a:effectLst>
                          <a:outerShdw blurRad="50800" dist="38100" algn="l"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txbx>
                        <w:txbxContent>
                          <w:p w14:paraId="7020F7E6" w14:textId="15CBD658" w:rsidR="00A35815" w:rsidRPr="004E21CF" w:rsidRDefault="00335AF1" w:rsidP="00A35815">
                            <w:pPr>
                              <w:pStyle w:val="Ramka"/>
                            </w:pPr>
                            <w:r>
                              <w:rPr>
                                <w:b/>
                                <w:bCs/>
                              </w:rPr>
                              <w:t>Finalne zużycie e</w:t>
                            </w:r>
                            <w:r w:rsidR="00A35815" w:rsidRPr="00A35815">
                              <w:rPr>
                                <w:b/>
                                <w:bCs/>
                              </w:rPr>
                              <w:t>nergi</w:t>
                            </w:r>
                            <w:r>
                              <w:rPr>
                                <w:b/>
                                <w:bCs/>
                              </w:rPr>
                              <w:t>i</w:t>
                            </w:r>
                            <w:r w:rsidR="00A35815">
                              <w:t xml:space="preserve"> to </w:t>
                            </w:r>
                            <w:r>
                              <w:t xml:space="preserve">zużycie </w:t>
                            </w:r>
                            <w:r w:rsidR="00A35815">
                              <w:t>paliw (wykorzystywan</w:t>
                            </w:r>
                            <w:r>
                              <w:t>ych</w:t>
                            </w:r>
                            <w:r w:rsidR="00A35815">
                              <w:t xml:space="preserve"> bezpośrednio np. w piecu indywidulanym lub w postaci benzyny do auta) lub energi</w:t>
                            </w:r>
                            <w:r>
                              <w:t>i</w:t>
                            </w:r>
                            <w:r w:rsidR="00A35815">
                              <w:t xml:space="preserve"> (postaci ciepła sieciowego lub energii elektrycznej) dostarczo</w:t>
                            </w:r>
                            <w:r>
                              <w:t>nej</w:t>
                            </w:r>
                            <w:r w:rsidR="00A35815">
                              <w:t xml:space="preserve"> </w:t>
                            </w:r>
                            <w:r w:rsidR="00A35815" w:rsidRPr="00A35815">
                              <w:rPr>
                                <w:b/>
                                <w:bCs/>
                              </w:rPr>
                              <w:t>odbiorcy końcowemu</w:t>
                            </w:r>
                          </w:p>
                        </w:txbxContent>
                      </wps:txbx>
                      <wps:bodyPr rot="0" spcFirstLastPara="0" vertOverflow="overflow" horzOverflow="overflow" vert="horz" wrap="square" lIns="72000" tIns="90000" rIns="72000" bIns="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4801F173" id="Prostokąt: zaokrąglone rogi 51" o:spid="_x0000_s1096" style="position:absolute;left:0;text-align:left;margin-left:167.05pt;margin-top:4.9pt;width:218.25pt;height:82.35pt;z-index:-25164390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arcsize="777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" fillcolor="white [3212]" strokecolor="#5b9bd5 [3208]">
                <v:stroke joinstyle="miter"/>
                <v:shadow on="t" color="black" opacity="26214f" origin="-.5" offset="3pt,0"/>
                <v:path arrowok="t"/>
                <v:textbox style="mso-fit-shape-to-text:t" inset="2mm,2.5mm,2mm,0">
                  <w:txbxContent>
                    <w:p w14:paraId="7020F7E6" w14:textId="15CBD658" w:rsidR="00A35815" w:rsidRPr="004E21CF" w:rsidRDefault="00335AF1" w:rsidP="00A35815">
                      <w:pPr>
                        <w:pStyle w:val="Ramka"/>
                      </w:pPr>
                      <w:r>
                        <w:rPr>
                          <w:b/>
                          <w:bCs/>
                        </w:rPr>
                        <w:t>Finalne zużycie e</w:t>
                      </w:r>
                      <w:r w:rsidR="00A35815" w:rsidRPr="00A35815">
                        <w:rPr>
                          <w:b/>
                          <w:bCs/>
                        </w:rPr>
                        <w:t>nergi</w:t>
                      </w:r>
                      <w:r>
                        <w:rPr>
                          <w:b/>
                          <w:bCs/>
                        </w:rPr>
                        <w:t>i</w:t>
                      </w:r>
                      <w:r w:rsidR="00A35815">
                        <w:t xml:space="preserve"> to </w:t>
                      </w:r>
                      <w:r>
                        <w:t xml:space="preserve">zużycie </w:t>
                      </w:r>
                      <w:r w:rsidR="00A35815">
                        <w:t>paliw (wykorzystywan</w:t>
                      </w:r>
                      <w:r>
                        <w:t>ych</w:t>
                      </w:r>
                      <w:r w:rsidR="00A35815">
                        <w:t xml:space="preserve"> bezpośrednio np. w piecu indywidulanym lub w postaci benzyny do auta) lub energi</w:t>
                      </w:r>
                      <w:r>
                        <w:t>i</w:t>
                      </w:r>
                      <w:r w:rsidR="00A35815">
                        <w:t xml:space="preserve"> (postaci ciepła sieciowego lub energii elektrycznej) dostarczo</w:t>
                      </w:r>
                      <w:r>
                        <w:t>nej</w:t>
                      </w:r>
                      <w:r w:rsidR="00A35815">
                        <w:t xml:space="preserve"> </w:t>
                      </w:r>
                      <w:r w:rsidR="00A35815" w:rsidRPr="00A35815">
                        <w:rPr>
                          <w:b/>
                          <w:bCs/>
                        </w:rPr>
                        <w:t>odbiorcy końcowemu</w:t>
                      </w:r>
                    </w:p>
                  </w:txbxContent>
                </v:textbox>
                <w10:wrap type="square" anchorx="margin"/>
              </v:roundrect>
            </w:pict>
          </mc:Fallback>
        </mc:AlternateContent>
      </w:r>
      <w:r w:rsidR="00F14970">
        <w:t xml:space="preserve">Zgodnie z dyrektywą EED państwa członkowskie UE powinny zapewnić </w:t>
      </w:r>
      <w:r w:rsidR="00FA2C84" w:rsidRPr="00817D26">
        <w:t>zmniejszenie zużycia energii do 2030 r. o co najmniej 11,7% w</w:t>
      </w:r>
      <w:r w:rsidR="00CE432B">
        <w:t> </w:t>
      </w:r>
      <w:r w:rsidR="00FA2C84" w:rsidRPr="00817D26">
        <w:t>porównaniu z prognozami</w:t>
      </w:r>
      <w:r w:rsidR="00FA2C84">
        <w:t xml:space="preserve"> PRIMES 2020</w:t>
      </w:r>
      <w:r w:rsidR="00FA2C84">
        <w:rPr>
          <w:rStyle w:val="Odwoanieprzypisudolnego"/>
        </w:rPr>
        <w:footnoteReference w:id="59"/>
      </w:r>
      <w:r w:rsidR="00F14970">
        <w:t xml:space="preserve">, tak aby </w:t>
      </w:r>
      <w:r w:rsidR="00335AF1">
        <w:t xml:space="preserve">finalne </w:t>
      </w:r>
      <w:r w:rsidR="00F14970">
        <w:t xml:space="preserve">zużycie energii </w:t>
      </w:r>
      <w:r w:rsidR="00F14970" w:rsidRPr="00F14970">
        <w:t>w U</w:t>
      </w:r>
      <w:r w:rsidR="00F14970">
        <w:t>E</w:t>
      </w:r>
      <w:r w:rsidR="00F14970" w:rsidRPr="00F14970">
        <w:t xml:space="preserve"> nie przekraczało 763 Mtoe</w:t>
      </w:r>
      <w:r w:rsidR="00F14970">
        <w:t xml:space="preserve">. </w:t>
      </w:r>
      <w:r w:rsidR="00BB25F4">
        <w:t>Z tego względu każde państwo członkowskie UE</w:t>
      </w:r>
      <w:r w:rsidR="009C11EC">
        <w:t xml:space="preserve"> </w:t>
      </w:r>
      <w:r w:rsidR="00BB25F4">
        <w:t>powinno określić orientacyjny wkład w realizację tego celu wraz z orientacyjną trajektorią</w:t>
      </w:r>
      <w:r w:rsidR="00C728BB">
        <w:t>.</w:t>
      </w:r>
      <w:r w:rsidR="00A160DC">
        <w:t xml:space="preserve"> Podobnie jak w przypadku wkładu krajowego w zakresie energii </w:t>
      </w:r>
      <w:r w:rsidR="00D671F4">
        <w:t xml:space="preserve">pierwotnej </w:t>
      </w:r>
      <w:r w:rsidR="00A160DC">
        <w:t>należy skorzystać z formuły, zgodnie z którą</w:t>
      </w:r>
      <w:r w:rsidR="00C728BB">
        <w:t xml:space="preserve"> </w:t>
      </w:r>
      <w:r w:rsidR="00C728BB" w:rsidRPr="00C728BB">
        <w:rPr>
          <w:b/>
          <w:bCs/>
        </w:rPr>
        <w:t>wartość ta wyniosła 12,8</w:t>
      </w:r>
      <w:r w:rsidR="00C728BB">
        <w:rPr>
          <w:b/>
          <w:bCs/>
        </w:rPr>
        <w:t>% w</w:t>
      </w:r>
      <w:r w:rsidR="004E542E">
        <w:rPr>
          <w:b/>
          <w:bCs/>
        </w:rPr>
        <w:t> </w:t>
      </w:r>
      <w:r w:rsidR="00C728BB">
        <w:rPr>
          <w:b/>
          <w:bCs/>
        </w:rPr>
        <w:t>odniesieniu do scenariusza referencyjnego PRIMES 2020</w:t>
      </w:r>
      <w:r w:rsidR="00C728BB">
        <w:rPr>
          <w:rStyle w:val="Odwoanieprzypisudolnego"/>
          <w:b/>
          <w:shd w:val="clear" w:color="auto" w:fill="F2F2F2" w:themeFill="background1" w:themeFillShade="F2"/>
        </w:rPr>
        <w:footnoteReference w:id="60"/>
      </w:r>
      <w:r w:rsidR="00C728BB">
        <w:t>.</w:t>
      </w:r>
      <w:r w:rsidR="00C35CE2" w:rsidRPr="00C35CE2">
        <w:t xml:space="preserve"> </w:t>
      </w:r>
    </w:p>
    <w:p w14:paraId="3BDC50D1" w14:textId="20CAB20F" w:rsidR="00EC1DCF" w:rsidRDefault="00C35CE2" w:rsidP="00854D8B">
      <w:pPr>
        <w:spacing w:after="120"/>
      </w:pPr>
      <w:r>
        <w:lastRenderedPageBreak/>
        <w:t>W porównaniu do PRIMES 2007 oczekiwana redukcja finalnego zużycia energii (79,7 Mtoe) wynosiłaby 39%. Prognozy w KPEiK z 2019 r. wskazywały redukcję finalnego zużycia energii o 27,4% (</w:t>
      </w:r>
      <w:r>
        <w:noBreakHyphen/>
        <w:t>18,4 Mtoe) w porównaniu do PRIMES 2007.</w:t>
      </w:r>
    </w:p>
    <w:p w14:paraId="28F87932" w14:textId="77777777" w:rsidR="00EC1DCF" w:rsidRDefault="00EC1DCF" w:rsidP="00EC1DCF">
      <w:r>
        <w:t xml:space="preserve">Trzeba zauważyć, że Polska wciąż jest krajem, w którym zużycie energii </w:t>
      </w:r>
      <w:r w:rsidRPr="00686ABB">
        <w:rPr>
          <w:i/>
          <w:iCs/>
        </w:rPr>
        <w:t>per capita</w:t>
      </w:r>
      <w:r>
        <w:t xml:space="preserve"> jest istotnie poniżej średniej unijnej</w:t>
      </w:r>
      <w:r>
        <w:rPr>
          <w:rStyle w:val="Odwoanieprzypisudolnego"/>
        </w:rPr>
        <w:footnoteReference w:id="61"/>
      </w:r>
      <w:r>
        <w:t>. Wzrost gospodarczy (inicjujący nowe procesy) i potrzeba podnoszenia poziomu życia generują potrzebę wyższego globalnego zużycia energii, mimo wyboru wysoko efektywnych rozwiązań. Podczas, gdy gospodarstwa domowe państw wyżej rozwiniętych wymieniają sprzęty na te o wyższej efektywności, polskie gospodarstwa domowe wyposażają się w niektóre sprzęty po raz pierwszy, powodując wyższe zużycie, mimo zakupienia sprzętów o wysokiej klasie energetycznej.</w:t>
      </w:r>
    </w:p>
    <w:p w14:paraId="5A8C0AA8" w14:textId="503500C7" w:rsidR="00EC1DCF" w:rsidRPr="00067A39" w:rsidRDefault="00EC1DCF" w:rsidP="00EC1DCF">
      <w:pPr>
        <w:spacing w:after="120"/>
        <w:rPr>
          <w:rStyle w:val="CeleZnak"/>
          <w:rFonts w:cstheme="minorBidi"/>
          <w:sz w:val="20"/>
          <w:shd w:val="clear" w:color="auto" w:fill="auto"/>
        </w:rPr>
      </w:pPr>
      <w:r>
        <w:t xml:space="preserve">Jednocześnie należy podkreślić, że prognozy rozwoju gospodarczego dla Polski są dodatnie. Dlatego może wystąpić sytuacja, w której nastąpi zmniejszenie </w:t>
      </w:r>
      <w:r w:rsidRPr="00FA4783">
        <w:rPr>
          <w:u w:val="single"/>
        </w:rPr>
        <w:t>tempa</w:t>
      </w:r>
      <w:r>
        <w:t xml:space="preserve"> wzrostu zużycia energii, zamiast istotnego zmniejszanie zużycia, również biorąc pod uwagę istotną popraw</w:t>
      </w:r>
      <w:r w:rsidR="006B1B29">
        <w:t>ę</w:t>
      </w:r>
      <w:r>
        <w:t xml:space="preserve"> wydajności procesów i spad</w:t>
      </w:r>
      <w:r w:rsidR="006B1B29">
        <w:t>e</w:t>
      </w:r>
      <w:r>
        <w:t>k energochłonności urządzeń, choć aktualne prognozy wskazują na spadek finalnego zużycia energii.</w:t>
      </w:r>
    </w:p>
    <w:p w14:paraId="651ED9B8" w14:textId="16258664" w:rsidR="00BB25F4" w:rsidRDefault="00BB25F4" w:rsidP="00854D8B">
      <w:pPr>
        <w:spacing w:after="120"/>
      </w:pPr>
    </w:p>
    <w:p w14:paraId="2AC5EE0E" w14:textId="0078A1A7" w:rsidR="00095AE5" w:rsidRDefault="00903C8D" w:rsidP="00095AE5">
      <w:pPr>
        <w:pStyle w:val="Cele"/>
        <w:spacing w:after="160"/>
        <w:rPr>
          <w:rStyle w:val="CeleZnak"/>
          <w:bCs/>
        </w:rPr>
      </w:pPr>
      <w:r>
        <w:rPr>
          <w:rStyle w:val="CeleZnak"/>
          <w:b/>
        </w:rPr>
        <w:t xml:space="preserve">Polska będzie dążyć do osiągnięcia w 2030 r. redukcji </w:t>
      </w:r>
      <w:r w:rsidR="00C728BB" w:rsidRPr="00C728BB">
        <w:rPr>
          <w:rStyle w:val="CeleZnak"/>
          <w:b/>
          <w:u w:val="single"/>
        </w:rPr>
        <w:t>f</w:t>
      </w:r>
      <w:r w:rsidR="00C728BB" w:rsidRPr="00CE432B">
        <w:rPr>
          <w:rStyle w:val="CeleZnak"/>
          <w:b/>
          <w:u w:val="single"/>
        </w:rPr>
        <w:t>inalne</w:t>
      </w:r>
      <w:r w:rsidR="00C728BB">
        <w:rPr>
          <w:rStyle w:val="CeleZnak"/>
          <w:b/>
          <w:u w:val="single"/>
        </w:rPr>
        <w:t>go</w:t>
      </w:r>
      <w:r w:rsidR="00C728BB" w:rsidRPr="00C728BB">
        <w:rPr>
          <w:rStyle w:val="CeleZnak"/>
          <w:b/>
          <w:u w:val="single"/>
        </w:rPr>
        <w:t xml:space="preserve"> </w:t>
      </w:r>
      <w:r w:rsidRPr="00C728BB">
        <w:rPr>
          <w:rStyle w:val="CeleZnak"/>
          <w:b/>
          <w:u w:val="single"/>
        </w:rPr>
        <w:t xml:space="preserve">zużycia </w:t>
      </w:r>
      <w:r w:rsidRPr="00CE432B">
        <w:rPr>
          <w:rStyle w:val="CeleZnak"/>
          <w:b/>
          <w:u w:val="single"/>
        </w:rPr>
        <w:t>energii</w:t>
      </w:r>
      <w:r>
        <w:rPr>
          <w:rStyle w:val="CeleZnak"/>
          <w:b/>
        </w:rPr>
        <w:t xml:space="preserve"> na</w:t>
      </w:r>
      <w:r w:rsidR="00095AE5">
        <w:rPr>
          <w:rStyle w:val="CeleZnak"/>
          <w:b/>
        </w:rPr>
        <w:t> </w:t>
      </w:r>
      <w:r>
        <w:rPr>
          <w:rStyle w:val="CeleZnak"/>
          <w:b/>
        </w:rPr>
        <w:t>poziomie 12,8%</w:t>
      </w:r>
      <w:r w:rsidR="003E6B85">
        <w:rPr>
          <w:rStyle w:val="CeleZnak"/>
          <w:b/>
        </w:rPr>
        <w:t xml:space="preserve"> (</w:t>
      </w:r>
      <w:r w:rsidR="00292793">
        <w:rPr>
          <w:rStyle w:val="CeleZnak"/>
          <w:b/>
        </w:rPr>
        <w:noBreakHyphen/>
        <w:t>8,6 </w:t>
      </w:r>
      <w:r w:rsidR="003E6B85">
        <w:rPr>
          <w:rStyle w:val="CeleZnak"/>
          <w:b/>
        </w:rPr>
        <w:t>Mtoe)</w:t>
      </w:r>
      <w:r w:rsidR="00BB25F4">
        <w:rPr>
          <w:rStyle w:val="CeleZnak"/>
          <w:b/>
        </w:rPr>
        <w:t xml:space="preserve"> </w:t>
      </w:r>
      <w:r>
        <w:rPr>
          <w:rStyle w:val="CeleZnak"/>
          <w:b/>
        </w:rPr>
        <w:t>w</w:t>
      </w:r>
      <w:r w:rsidR="003E6B85">
        <w:rPr>
          <w:rStyle w:val="CeleZnak"/>
          <w:b/>
        </w:rPr>
        <w:t xml:space="preserve"> </w:t>
      </w:r>
      <w:r w:rsidRPr="00AE2526">
        <w:rPr>
          <w:rStyle w:val="CeleZnak"/>
          <w:b/>
        </w:rPr>
        <w:t xml:space="preserve">porównaniu </w:t>
      </w:r>
      <w:r>
        <w:rPr>
          <w:rStyle w:val="CeleZnak"/>
          <w:b/>
        </w:rPr>
        <w:t xml:space="preserve">do prognoz </w:t>
      </w:r>
      <w:r w:rsidRPr="00095AE5">
        <w:rPr>
          <w:rStyle w:val="CeleZnak"/>
          <w:b/>
          <w:bCs/>
          <w:shd w:val="clear" w:color="auto" w:fill="auto"/>
        </w:rPr>
        <w:t>PRIMES</w:t>
      </w:r>
      <w:r w:rsidR="004818E0">
        <w:rPr>
          <w:rStyle w:val="CeleZnak"/>
          <w:b/>
          <w:bCs/>
          <w:shd w:val="clear" w:color="auto" w:fill="auto"/>
        </w:rPr>
        <w:t> </w:t>
      </w:r>
      <w:r w:rsidRPr="00095AE5">
        <w:rPr>
          <w:rStyle w:val="CeleZnak"/>
          <w:b/>
          <w:bCs/>
          <w:shd w:val="clear" w:color="auto" w:fill="auto"/>
        </w:rPr>
        <w:t>2020</w:t>
      </w:r>
      <w:r w:rsidRPr="00095AE5">
        <w:rPr>
          <w:rStyle w:val="CeleZnak"/>
          <w:b/>
          <w:bCs/>
        </w:rPr>
        <w:t>,</w:t>
      </w:r>
      <w:r>
        <w:rPr>
          <w:rStyle w:val="CeleZnak"/>
          <w:b/>
        </w:rPr>
        <w:t xml:space="preserve"> </w:t>
      </w:r>
      <w:r w:rsidRPr="004818E0">
        <w:rPr>
          <w:rStyle w:val="CeleZnak"/>
          <w:bCs/>
        </w:rPr>
        <w:t>wynikając</w:t>
      </w:r>
      <w:r w:rsidR="00292793" w:rsidRPr="004818E0">
        <w:rPr>
          <w:rStyle w:val="CeleZnak"/>
          <w:bCs/>
        </w:rPr>
        <w:t>ego</w:t>
      </w:r>
      <w:r w:rsidRPr="004818E0">
        <w:rPr>
          <w:rStyle w:val="CeleZnak"/>
          <w:bCs/>
        </w:rPr>
        <w:t xml:space="preserve"> z formuły określonej w</w:t>
      </w:r>
      <w:r w:rsidR="003E6B85" w:rsidRPr="004818E0">
        <w:rPr>
          <w:rStyle w:val="CeleZnak"/>
          <w:bCs/>
        </w:rPr>
        <w:t> </w:t>
      </w:r>
      <w:r w:rsidRPr="004818E0">
        <w:rPr>
          <w:rStyle w:val="CeleZnak"/>
          <w:bCs/>
        </w:rPr>
        <w:t>dyrektywie EED</w:t>
      </w:r>
      <w:r w:rsidR="003E6B85" w:rsidRPr="004818E0">
        <w:rPr>
          <w:rStyle w:val="CeleZnak"/>
          <w:bCs/>
        </w:rPr>
        <w:t xml:space="preserve"> tj.</w:t>
      </w:r>
      <w:r w:rsidR="009D513F" w:rsidRPr="004818E0">
        <w:rPr>
          <w:rStyle w:val="CeleZnak"/>
          <w:bCs/>
        </w:rPr>
        <w:t xml:space="preserve"> zredukowanie zużycia energii do poziomu 58,5 Mtoe </w:t>
      </w:r>
      <w:r w:rsidR="003E6B85" w:rsidRPr="004818E0">
        <w:rPr>
          <w:rStyle w:val="CeleZnak"/>
          <w:bCs/>
        </w:rPr>
        <w:t>– jako wkład orientacyjny do celu UE</w:t>
      </w:r>
      <w:r w:rsidR="00494E9C" w:rsidRPr="004818E0">
        <w:rPr>
          <w:rStyle w:val="CeleZnak"/>
          <w:bCs/>
        </w:rPr>
        <w:t>.</w:t>
      </w:r>
      <w:r w:rsidRPr="003E6B85">
        <w:rPr>
          <w:rStyle w:val="CeleZnak"/>
          <w:bCs/>
        </w:rPr>
        <w:t xml:space="preserve"> </w:t>
      </w:r>
    </w:p>
    <w:p w14:paraId="2FF263E8" w14:textId="15477243" w:rsidR="00093AFF" w:rsidRDefault="00095AE5" w:rsidP="00885E7D">
      <w:pPr>
        <w:pStyle w:val="Cele"/>
        <w:rPr>
          <w:rStyle w:val="CeleZnak"/>
          <w:bCs/>
        </w:rPr>
      </w:pPr>
      <w:r>
        <w:rPr>
          <w:rStyle w:val="CeleZnak"/>
          <w:bCs/>
        </w:rPr>
        <w:t>P</w:t>
      </w:r>
      <w:r w:rsidR="00903C8D" w:rsidRPr="003E6B85">
        <w:rPr>
          <w:rStyle w:val="CeleZnak"/>
          <w:bCs/>
        </w:rPr>
        <w:t xml:space="preserve">rognozy </w:t>
      </w:r>
      <w:r w:rsidR="00AB6D7E">
        <w:rPr>
          <w:rStyle w:val="CeleZnak"/>
          <w:bCs/>
        </w:rPr>
        <w:t xml:space="preserve">wskazują, że finalne zużycie energii wyniesie 64,1 Mtoe w 2030 r., </w:t>
      </w:r>
      <w:r w:rsidR="00885E7D">
        <w:rPr>
          <w:rStyle w:val="CeleZnak"/>
          <w:bCs/>
        </w:rPr>
        <w:br/>
      </w:r>
      <w:r w:rsidR="00AB6D7E">
        <w:rPr>
          <w:rStyle w:val="CeleZnak"/>
          <w:bCs/>
        </w:rPr>
        <w:t xml:space="preserve">co oznacza redukcję o </w:t>
      </w:r>
      <w:r w:rsidR="00885E7D">
        <w:rPr>
          <w:rStyle w:val="CeleZnak"/>
          <w:bCs/>
        </w:rPr>
        <w:t>4</w:t>
      </w:r>
      <w:r w:rsidR="00AB6D7E">
        <w:rPr>
          <w:rStyle w:val="CeleZnak"/>
          <w:bCs/>
        </w:rPr>
        <w:t>,6</w:t>
      </w:r>
      <w:r w:rsidR="00AB6D7E" w:rsidRPr="009D513F">
        <w:rPr>
          <w:rStyle w:val="CeleZnak"/>
          <w:bCs/>
        </w:rPr>
        <w:t>%</w:t>
      </w:r>
      <w:r w:rsidR="00AB6D7E">
        <w:rPr>
          <w:rStyle w:val="CeleZnak"/>
          <w:bCs/>
        </w:rPr>
        <w:t xml:space="preserve"> </w:t>
      </w:r>
      <w:r w:rsidR="00AB6D7E" w:rsidRPr="009D513F">
        <w:rPr>
          <w:rStyle w:val="CeleZnak"/>
          <w:bCs/>
        </w:rPr>
        <w:t>(-</w:t>
      </w:r>
      <w:r w:rsidR="00885E7D">
        <w:rPr>
          <w:rStyle w:val="CeleZnak"/>
          <w:bCs/>
        </w:rPr>
        <w:t>3</w:t>
      </w:r>
      <w:r w:rsidR="00AB6D7E">
        <w:rPr>
          <w:rStyle w:val="CeleZnak"/>
          <w:bCs/>
        </w:rPr>
        <w:t> </w:t>
      </w:r>
      <w:r w:rsidR="00AB6D7E" w:rsidRPr="009D513F">
        <w:rPr>
          <w:rStyle w:val="CeleZnak"/>
          <w:bCs/>
        </w:rPr>
        <w:t>Mtoe)</w:t>
      </w:r>
      <w:r w:rsidR="00AB6D7E">
        <w:rPr>
          <w:rStyle w:val="CeleZnak"/>
          <w:bCs/>
        </w:rPr>
        <w:t xml:space="preserve"> w stosunku do PRIMES 2020</w:t>
      </w:r>
      <w:r w:rsidR="00ED09DE">
        <w:rPr>
          <w:rStyle w:val="Odwoanieprzypisudolnego"/>
          <w:bCs/>
          <w:shd w:val="clear" w:color="auto" w:fill="D9D9D9" w:themeFill="background1" w:themeFillShade="D9"/>
        </w:rPr>
        <w:footnoteReference w:id="62"/>
      </w:r>
      <w:r w:rsidR="00093AFF" w:rsidRPr="003E6B85">
        <w:rPr>
          <w:rStyle w:val="CeleZnak"/>
          <w:bCs/>
        </w:rPr>
        <w:t>.</w:t>
      </w:r>
      <w:r w:rsidR="00903C8D" w:rsidRPr="003E6B85">
        <w:rPr>
          <w:rStyle w:val="CeleZnak"/>
          <w:bCs/>
        </w:rPr>
        <w:t xml:space="preserve"> </w:t>
      </w:r>
    </w:p>
    <w:p w14:paraId="44DACBCB" w14:textId="0296E6D6" w:rsidR="00F3711B" w:rsidRDefault="005A55CD" w:rsidP="00741798">
      <w:pPr>
        <w:spacing w:after="240"/>
      </w:pPr>
      <w:r>
        <w:t xml:space="preserve">Poniżej </w:t>
      </w:r>
      <w:r w:rsidR="00885E7D">
        <w:t xml:space="preserve">przedstawiono </w:t>
      </w:r>
      <w:r w:rsidR="004818E0">
        <w:t xml:space="preserve">dane historyczna </w:t>
      </w:r>
      <w:r w:rsidR="00885E7D">
        <w:t xml:space="preserve">oraz </w:t>
      </w:r>
      <w:r w:rsidR="00741798">
        <w:t>orientacyjn</w:t>
      </w:r>
      <w:r w:rsidR="00885E7D">
        <w:t>ą</w:t>
      </w:r>
      <w:r w:rsidR="00741798">
        <w:t xml:space="preserve"> trajektori</w:t>
      </w:r>
      <w:r w:rsidR="00885E7D">
        <w:t>ę</w:t>
      </w:r>
      <w:r w:rsidR="00741798">
        <w:t xml:space="preserve"> według formuły EED</w:t>
      </w:r>
      <w:r w:rsidR="00885E7D">
        <w:t>, a na rysunku zestawiono prognozę KPEiK z orientacyjną trajektorię według formuły EED</w:t>
      </w:r>
      <w:r>
        <w:t>.</w:t>
      </w:r>
    </w:p>
    <w:p w14:paraId="31387418" w14:textId="77777777" w:rsidR="004818E0" w:rsidRPr="005A55CD" w:rsidRDefault="004818E0" w:rsidP="004818E0">
      <w:pPr>
        <w:pStyle w:val="Legenda"/>
        <w:keepNext/>
        <w:spacing w:before="360"/>
        <w:rPr>
          <w:b/>
          <w:bCs/>
          <w:sz w:val="20"/>
          <w:szCs w:val="20"/>
        </w:rPr>
      </w:pPr>
      <w:r w:rsidRPr="003169E3">
        <w:rPr>
          <w:b/>
          <w:bCs/>
          <w:color w:val="323E4F" w:themeColor="text2" w:themeShade="BF"/>
          <w:sz w:val="20"/>
          <w:szCs w:val="20"/>
        </w:rPr>
        <w:t>Historyczne zużycie energii finalnej w latach 2012-2021 [ktoe], uwzględnione przy wyznaczaniu orientacyjnej trajektorii wkładu krajowego</w:t>
      </w:r>
      <w:r>
        <w:rPr>
          <w:b/>
          <w:bCs/>
          <w:sz w:val="20"/>
          <w:szCs w:val="20"/>
        </w:rPr>
        <w:t xml:space="preserve"> </w:t>
      </w:r>
    </w:p>
    <w:tbl>
      <w:tblPr>
        <w:tblStyle w:val="Tabela-Siatka"/>
        <w:tblW w:w="0" w:type="auto"/>
        <w:tblLook w:val="04A0" w:firstRow="1" w:lastRow="0" w:firstColumn="1" w:lastColumn="0" w:noHBand="0" w:noVBand="1"/>
      </w:tblPr>
      <w:tblGrid>
        <w:gridCol w:w="906"/>
        <w:gridCol w:w="906"/>
        <w:gridCol w:w="906"/>
        <w:gridCol w:w="906"/>
        <w:gridCol w:w="906"/>
        <w:gridCol w:w="906"/>
        <w:gridCol w:w="906"/>
        <w:gridCol w:w="906"/>
        <w:gridCol w:w="907"/>
        <w:gridCol w:w="907"/>
      </w:tblGrid>
      <w:tr w:rsidR="004818E0" w:rsidRPr="009307B2" w14:paraId="258DA264" w14:textId="77777777" w:rsidTr="00686ABB">
        <w:tc>
          <w:tcPr>
            <w:tcW w:w="906" w:type="dxa"/>
            <w:shd w:val="clear" w:color="auto" w:fill="92D050"/>
            <w:vAlign w:val="center"/>
          </w:tcPr>
          <w:p w14:paraId="5DCA8D31" w14:textId="77777777" w:rsidR="004818E0" w:rsidRPr="00292793" w:rsidRDefault="004818E0" w:rsidP="00686ABB">
            <w:pPr>
              <w:jc w:val="center"/>
              <w:rPr>
                <w:b/>
                <w:bCs/>
                <w:sz w:val="18"/>
                <w:szCs w:val="20"/>
              </w:rPr>
            </w:pPr>
            <w:r w:rsidRPr="00292793">
              <w:rPr>
                <w:b/>
                <w:bCs/>
                <w:sz w:val="18"/>
                <w:szCs w:val="20"/>
              </w:rPr>
              <w:t>2012</w:t>
            </w:r>
          </w:p>
        </w:tc>
        <w:tc>
          <w:tcPr>
            <w:tcW w:w="906" w:type="dxa"/>
            <w:shd w:val="clear" w:color="auto" w:fill="92D050"/>
            <w:vAlign w:val="center"/>
          </w:tcPr>
          <w:p w14:paraId="3E976DCA" w14:textId="77777777" w:rsidR="004818E0" w:rsidRPr="00292793" w:rsidRDefault="004818E0" w:rsidP="00686ABB">
            <w:pPr>
              <w:jc w:val="center"/>
              <w:rPr>
                <w:b/>
                <w:bCs/>
                <w:sz w:val="18"/>
                <w:szCs w:val="20"/>
              </w:rPr>
            </w:pPr>
            <w:r w:rsidRPr="00292793">
              <w:rPr>
                <w:b/>
                <w:bCs/>
                <w:sz w:val="18"/>
                <w:szCs w:val="20"/>
              </w:rPr>
              <w:t>2013</w:t>
            </w:r>
          </w:p>
        </w:tc>
        <w:tc>
          <w:tcPr>
            <w:tcW w:w="906" w:type="dxa"/>
            <w:shd w:val="clear" w:color="auto" w:fill="92D050"/>
            <w:vAlign w:val="center"/>
          </w:tcPr>
          <w:p w14:paraId="525BA1D1" w14:textId="77777777" w:rsidR="004818E0" w:rsidRPr="00292793" w:rsidRDefault="004818E0" w:rsidP="00686ABB">
            <w:pPr>
              <w:jc w:val="center"/>
              <w:rPr>
                <w:b/>
                <w:bCs/>
                <w:sz w:val="18"/>
                <w:szCs w:val="20"/>
              </w:rPr>
            </w:pPr>
            <w:r w:rsidRPr="00292793">
              <w:rPr>
                <w:b/>
                <w:bCs/>
                <w:sz w:val="18"/>
                <w:szCs w:val="20"/>
              </w:rPr>
              <w:t>2014</w:t>
            </w:r>
          </w:p>
        </w:tc>
        <w:tc>
          <w:tcPr>
            <w:tcW w:w="906" w:type="dxa"/>
            <w:shd w:val="clear" w:color="auto" w:fill="92D050"/>
            <w:vAlign w:val="center"/>
          </w:tcPr>
          <w:p w14:paraId="205BBB0D" w14:textId="77777777" w:rsidR="004818E0" w:rsidRPr="00292793" w:rsidRDefault="004818E0" w:rsidP="00686ABB">
            <w:pPr>
              <w:jc w:val="center"/>
              <w:rPr>
                <w:b/>
                <w:bCs/>
                <w:sz w:val="18"/>
                <w:szCs w:val="20"/>
              </w:rPr>
            </w:pPr>
            <w:r w:rsidRPr="00292793">
              <w:rPr>
                <w:b/>
                <w:bCs/>
                <w:sz w:val="18"/>
                <w:szCs w:val="20"/>
              </w:rPr>
              <w:t>2015</w:t>
            </w:r>
          </w:p>
        </w:tc>
        <w:tc>
          <w:tcPr>
            <w:tcW w:w="906" w:type="dxa"/>
            <w:shd w:val="clear" w:color="auto" w:fill="92D050"/>
            <w:vAlign w:val="center"/>
          </w:tcPr>
          <w:p w14:paraId="7A239951" w14:textId="77777777" w:rsidR="004818E0" w:rsidRPr="00292793" w:rsidRDefault="004818E0" w:rsidP="00686ABB">
            <w:pPr>
              <w:jc w:val="center"/>
              <w:rPr>
                <w:b/>
                <w:bCs/>
                <w:sz w:val="18"/>
                <w:szCs w:val="20"/>
              </w:rPr>
            </w:pPr>
            <w:r w:rsidRPr="00292793">
              <w:rPr>
                <w:b/>
                <w:bCs/>
                <w:sz w:val="18"/>
                <w:szCs w:val="20"/>
              </w:rPr>
              <w:t>2016</w:t>
            </w:r>
          </w:p>
        </w:tc>
        <w:tc>
          <w:tcPr>
            <w:tcW w:w="906" w:type="dxa"/>
            <w:shd w:val="clear" w:color="auto" w:fill="92D050"/>
            <w:vAlign w:val="center"/>
          </w:tcPr>
          <w:p w14:paraId="42BDB016" w14:textId="77777777" w:rsidR="004818E0" w:rsidRPr="00292793" w:rsidRDefault="004818E0" w:rsidP="00686ABB">
            <w:pPr>
              <w:jc w:val="center"/>
              <w:rPr>
                <w:b/>
                <w:bCs/>
                <w:sz w:val="18"/>
                <w:szCs w:val="20"/>
              </w:rPr>
            </w:pPr>
            <w:r w:rsidRPr="00292793">
              <w:rPr>
                <w:b/>
                <w:bCs/>
                <w:sz w:val="18"/>
                <w:szCs w:val="20"/>
              </w:rPr>
              <w:t>2017</w:t>
            </w:r>
          </w:p>
        </w:tc>
        <w:tc>
          <w:tcPr>
            <w:tcW w:w="906" w:type="dxa"/>
            <w:shd w:val="clear" w:color="auto" w:fill="92D050"/>
            <w:vAlign w:val="center"/>
          </w:tcPr>
          <w:p w14:paraId="021918FB" w14:textId="77777777" w:rsidR="004818E0" w:rsidRPr="00292793" w:rsidRDefault="004818E0" w:rsidP="00686ABB">
            <w:pPr>
              <w:jc w:val="center"/>
              <w:rPr>
                <w:b/>
                <w:bCs/>
                <w:sz w:val="18"/>
                <w:szCs w:val="20"/>
              </w:rPr>
            </w:pPr>
            <w:r w:rsidRPr="00292793">
              <w:rPr>
                <w:b/>
                <w:bCs/>
                <w:sz w:val="18"/>
                <w:szCs w:val="20"/>
              </w:rPr>
              <w:t>2018</w:t>
            </w:r>
          </w:p>
        </w:tc>
        <w:tc>
          <w:tcPr>
            <w:tcW w:w="906" w:type="dxa"/>
            <w:shd w:val="clear" w:color="auto" w:fill="92D050"/>
            <w:vAlign w:val="center"/>
          </w:tcPr>
          <w:p w14:paraId="17E0189F" w14:textId="77777777" w:rsidR="004818E0" w:rsidRPr="00292793" w:rsidRDefault="004818E0" w:rsidP="00686ABB">
            <w:pPr>
              <w:jc w:val="center"/>
              <w:rPr>
                <w:b/>
                <w:bCs/>
                <w:sz w:val="18"/>
                <w:szCs w:val="20"/>
              </w:rPr>
            </w:pPr>
            <w:r w:rsidRPr="00292793">
              <w:rPr>
                <w:b/>
                <w:bCs/>
                <w:sz w:val="18"/>
                <w:szCs w:val="20"/>
              </w:rPr>
              <w:t>2019</w:t>
            </w:r>
          </w:p>
        </w:tc>
        <w:tc>
          <w:tcPr>
            <w:tcW w:w="907" w:type="dxa"/>
            <w:shd w:val="clear" w:color="auto" w:fill="92D050"/>
            <w:vAlign w:val="center"/>
          </w:tcPr>
          <w:p w14:paraId="0B1D5187" w14:textId="77777777" w:rsidR="004818E0" w:rsidRPr="00292793" w:rsidRDefault="004818E0" w:rsidP="00686ABB">
            <w:pPr>
              <w:jc w:val="center"/>
              <w:rPr>
                <w:b/>
                <w:bCs/>
                <w:sz w:val="18"/>
                <w:szCs w:val="20"/>
              </w:rPr>
            </w:pPr>
            <w:r w:rsidRPr="00292793">
              <w:rPr>
                <w:b/>
                <w:bCs/>
                <w:sz w:val="18"/>
                <w:szCs w:val="20"/>
              </w:rPr>
              <w:t>2020</w:t>
            </w:r>
          </w:p>
        </w:tc>
        <w:tc>
          <w:tcPr>
            <w:tcW w:w="907" w:type="dxa"/>
            <w:shd w:val="clear" w:color="auto" w:fill="92D050"/>
            <w:vAlign w:val="center"/>
          </w:tcPr>
          <w:p w14:paraId="7ECD5047" w14:textId="77777777" w:rsidR="004818E0" w:rsidRPr="00292793" w:rsidRDefault="004818E0" w:rsidP="00686ABB">
            <w:pPr>
              <w:jc w:val="center"/>
              <w:rPr>
                <w:b/>
                <w:bCs/>
                <w:sz w:val="18"/>
                <w:szCs w:val="20"/>
              </w:rPr>
            </w:pPr>
            <w:r w:rsidRPr="00292793">
              <w:rPr>
                <w:b/>
                <w:bCs/>
                <w:sz w:val="18"/>
                <w:szCs w:val="20"/>
              </w:rPr>
              <w:t>2021</w:t>
            </w:r>
          </w:p>
        </w:tc>
      </w:tr>
      <w:tr w:rsidR="004818E0" w:rsidRPr="009307B2" w14:paraId="630B1B92" w14:textId="77777777" w:rsidTr="00686ABB">
        <w:trPr>
          <w:trHeight w:val="358"/>
        </w:trPr>
        <w:tc>
          <w:tcPr>
            <w:tcW w:w="906" w:type="dxa"/>
            <w:vAlign w:val="center"/>
          </w:tcPr>
          <w:p w14:paraId="459B8DB3" w14:textId="77777777" w:rsidR="004818E0" w:rsidRPr="009307B2" w:rsidRDefault="004818E0" w:rsidP="00686ABB">
            <w:pPr>
              <w:jc w:val="center"/>
            </w:pPr>
            <w:r w:rsidRPr="009307B2">
              <w:t>64 427</w:t>
            </w:r>
          </w:p>
        </w:tc>
        <w:tc>
          <w:tcPr>
            <w:tcW w:w="906" w:type="dxa"/>
            <w:vAlign w:val="center"/>
          </w:tcPr>
          <w:p w14:paraId="7B97EEC8" w14:textId="77777777" w:rsidR="004818E0" w:rsidRPr="009307B2" w:rsidRDefault="004818E0" w:rsidP="00686ABB">
            <w:pPr>
              <w:jc w:val="center"/>
            </w:pPr>
            <w:r w:rsidRPr="009307B2">
              <w:rPr>
                <w:rFonts w:cs="Calibri"/>
                <w:color w:val="000000"/>
                <w:lang w:eastAsia="pl-PL"/>
              </w:rPr>
              <w:t>63</w:t>
            </w:r>
            <w:r>
              <w:rPr>
                <w:rFonts w:cs="Calibri"/>
                <w:color w:val="000000"/>
                <w:lang w:eastAsia="pl-PL"/>
              </w:rPr>
              <w:t xml:space="preserve"> </w:t>
            </w:r>
            <w:r w:rsidRPr="009307B2">
              <w:rPr>
                <w:rFonts w:cs="Calibri"/>
                <w:color w:val="000000"/>
                <w:lang w:eastAsia="pl-PL"/>
              </w:rPr>
              <w:t>247</w:t>
            </w:r>
          </w:p>
        </w:tc>
        <w:tc>
          <w:tcPr>
            <w:tcW w:w="906" w:type="dxa"/>
            <w:vAlign w:val="center"/>
          </w:tcPr>
          <w:p w14:paraId="0EB057EF" w14:textId="77777777" w:rsidR="004818E0" w:rsidRPr="009307B2" w:rsidRDefault="004818E0" w:rsidP="00686ABB">
            <w:pPr>
              <w:jc w:val="center"/>
            </w:pPr>
            <w:r w:rsidRPr="009307B2">
              <w:rPr>
                <w:rFonts w:cs="Calibri"/>
                <w:color w:val="000000"/>
                <w:lang w:eastAsia="pl-PL"/>
              </w:rPr>
              <w:t>61</w:t>
            </w:r>
            <w:r>
              <w:rPr>
                <w:rFonts w:cs="Calibri"/>
                <w:color w:val="000000"/>
                <w:lang w:eastAsia="pl-PL"/>
              </w:rPr>
              <w:t xml:space="preserve"> </w:t>
            </w:r>
            <w:r w:rsidRPr="009307B2">
              <w:rPr>
                <w:rFonts w:cs="Calibri"/>
                <w:color w:val="000000"/>
                <w:lang w:eastAsia="pl-PL"/>
              </w:rPr>
              <w:t>547</w:t>
            </w:r>
          </w:p>
        </w:tc>
        <w:tc>
          <w:tcPr>
            <w:tcW w:w="906" w:type="dxa"/>
            <w:vAlign w:val="center"/>
          </w:tcPr>
          <w:p w14:paraId="1E2A273F" w14:textId="77777777" w:rsidR="004818E0" w:rsidRPr="009307B2" w:rsidRDefault="004818E0" w:rsidP="00686ABB">
            <w:pPr>
              <w:jc w:val="center"/>
            </w:pPr>
            <w:r w:rsidRPr="009307B2">
              <w:rPr>
                <w:rFonts w:cs="Calibri"/>
                <w:color w:val="000000"/>
                <w:lang w:eastAsia="pl-PL"/>
              </w:rPr>
              <w:t>62</w:t>
            </w:r>
            <w:r>
              <w:rPr>
                <w:rFonts w:cs="Calibri"/>
                <w:color w:val="000000"/>
                <w:lang w:eastAsia="pl-PL"/>
              </w:rPr>
              <w:t xml:space="preserve"> </w:t>
            </w:r>
            <w:r w:rsidRPr="009307B2">
              <w:rPr>
                <w:rFonts w:cs="Calibri"/>
                <w:color w:val="000000"/>
                <w:lang w:eastAsia="pl-PL"/>
              </w:rPr>
              <w:t>299</w:t>
            </w:r>
          </w:p>
        </w:tc>
        <w:tc>
          <w:tcPr>
            <w:tcW w:w="906" w:type="dxa"/>
            <w:vAlign w:val="center"/>
          </w:tcPr>
          <w:p w14:paraId="523050EF" w14:textId="77777777" w:rsidR="004818E0" w:rsidRPr="009307B2" w:rsidRDefault="004818E0" w:rsidP="00686ABB">
            <w:pPr>
              <w:jc w:val="center"/>
            </w:pPr>
            <w:r w:rsidRPr="009307B2">
              <w:rPr>
                <w:rFonts w:cs="Calibri"/>
                <w:color w:val="000000"/>
                <w:lang w:eastAsia="pl-PL"/>
              </w:rPr>
              <w:t>66</w:t>
            </w:r>
            <w:r>
              <w:rPr>
                <w:rFonts w:cs="Calibri"/>
                <w:color w:val="000000"/>
                <w:lang w:eastAsia="pl-PL"/>
              </w:rPr>
              <w:t xml:space="preserve"> </w:t>
            </w:r>
            <w:r w:rsidRPr="009307B2">
              <w:rPr>
                <w:rFonts w:cs="Calibri"/>
                <w:color w:val="000000"/>
                <w:lang w:eastAsia="pl-PL"/>
              </w:rPr>
              <w:t>601</w:t>
            </w:r>
          </w:p>
        </w:tc>
        <w:tc>
          <w:tcPr>
            <w:tcW w:w="906" w:type="dxa"/>
            <w:vAlign w:val="center"/>
          </w:tcPr>
          <w:p w14:paraId="229DD1BE" w14:textId="77777777" w:rsidR="004818E0" w:rsidRPr="009307B2" w:rsidRDefault="004818E0" w:rsidP="00686ABB">
            <w:pPr>
              <w:jc w:val="center"/>
            </w:pPr>
            <w:r w:rsidRPr="009307B2">
              <w:rPr>
                <w:rFonts w:cs="Calibri"/>
                <w:color w:val="000000"/>
                <w:lang w:eastAsia="pl-PL"/>
              </w:rPr>
              <w:t>70</w:t>
            </w:r>
            <w:r>
              <w:rPr>
                <w:rFonts w:cs="Calibri"/>
                <w:color w:val="000000"/>
                <w:lang w:eastAsia="pl-PL"/>
              </w:rPr>
              <w:t xml:space="preserve"> </w:t>
            </w:r>
            <w:r w:rsidRPr="009307B2">
              <w:rPr>
                <w:rFonts w:cs="Calibri"/>
                <w:color w:val="000000"/>
                <w:lang w:eastAsia="pl-PL"/>
              </w:rPr>
              <w:t>899</w:t>
            </w:r>
          </w:p>
        </w:tc>
        <w:tc>
          <w:tcPr>
            <w:tcW w:w="906" w:type="dxa"/>
            <w:vAlign w:val="center"/>
          </w:tcPr>
          <w:p w14:paraId="1B84359A" w14:textId="77777777" w:rsidR="004818E0" w:rsidRPr="009307B2" w:rsidRDefault="004818E0" w:rsidP="00686ABB">
            <w:pPr>
              <w:jc w:val="center"/>
            </w:pPr>
            <w:r w:rsidRPr="009307B2">
              <w:rPr>
                <w:rFonts w:cs="Calibri"/>
                <w:color w:val="000000"/>
                <w:lang w:eastAsia="pl-PL"/>
              </w:rPr>
              <w:t>74</w:t>
            </w:r>
            <w:r>
              <w:rPr>
                <w:rFonts w:cs="Calibri"/>
                <w:color w:val="000000"/>
                <w:lang w:eastAsia="pl-PL"/>
              </w:rPr>
              <w:t xml:space="preserve"> </w:t>
            </w:r>
            <w:r w:rsidRPr="009307B2">
              <w:rPr>
                <w:rFonts w:cs="Calibri"/>
                <w:color w:val="000000"/>
                <w:lang w:eastAsia="pl-PL"/>
              </w:rPr>
              <w:t>879</w:t>
            </w:r>
          </w:p>
        </w:tc>
        <w:tc>
          <w:tcPr>
            <w:tcW w:w="906" w:type="dxa"/>
            <w:vAlign w:val="center"/>
          </w:tcPr>
          <w:p w14:paraId="3A0904AD" w14:textId="77777777" w:rsidR="004818E0" w:rsidRPr="009307B2" w:rsidRDefault="004818E0" w:rsidP="00686ABB">
            <w:pPr>
              <w:jc w:val="center"/>
            </w:pPr>
            <w:r w:rsidRPr="009307B2">
              <w:rPr>
                <w:rFonts w:cs="Calibri"/>
                <w:color w:val="000000"/>
                <w:lang w:eastAsia="pl-PL"/>
              </w:rPr>
              <w:t>73</w:t>
            </w:r>
            <w:r>
              <w:rPr>
                <w:rFonts w:cs="Calibri"/>
                <w:color w:val="000000"/>
                <w:lang w:eastAsia="pl-PL"/>
              </w:rPr>
              <w:t xml:space="preserve"> </w:t>
            </w:r>
            <w:r w:rsidRPr="009307B2">
              <w:rPr>
                <w:rFonts w:cs="Calibri"/>
                <w:color w:val="000000"/>
                <w:lang w:eastAsia="pl-PL"/>
              </w:rPr>
              <w:t>730</w:t>
            </w:r>
          </w:p>
        </w:tc>
        <w:tc>
          <w:tcPr>
            <w:tcW w:w="907" w:type="dxa"/>
            <w:vAlign w:val="center"/>
          </w:tcPr>
          <w:p w14:paraId="07052F60" w14:textId="77777777" w:rsidR="004818E0" w:rsidRPr="009307B2" w:rsidRDefault="004818E0" w:rsidP="00686ABB">
            <w:pPr>
              <w:jc w:val="center"/>
            </w:pPr>
            <w:r w:rsidRPr="009307B2">
              <w:rPr>
                <w:rFonts w:cs="Calibri"/>
                <w:color w:val="000000"/>
                <w:lang w:eastAsia="pl-PL"/>
              </w:rPr>
              <w:t>71</w:t>
            </w:r>
            <w:r>
              <w:rPr>
                <w:rFonts w:cs="Calibri"/>
                <w:color w:val="000000"/>
                <w:lang w:eastAsia="pl-PL"/>
              </w:rPr>
              <w:t xml:space="preserve"> </w:t>
            </w:r>
            <w:r w:rsidRPr="009307B2">
              <w:rPr>
                <w:rFonts w:cs="Calibri"/>
                <w:color w:val="000000"/>
                <w:lang w:eastAsia="pl-PL"/>
              </w:rPr>
              <w:t>145</w:t>
            </w:r>
          </w:p>
        </w:tc>
        <w:tc>
          <w:tcPr>
            <w:tcW w:w="907" w:type="dxa"/>
            <w:vAlign w:val="center"/>
          </w:tcPr>
          <w:p w14:paraId="6CF73723" w14:textId="77777777" w:rsidR="004818E0" w:rsidRPr="009307B2" w:rsidRDefault="004818E0" w:rsidP="00686ABB">
            <w:pPr>
              <w:jc w:val="center"/>
            </w:pPr>
            <w:r w:rsidRPr="009307B2">
              <w:rPr>
                <w:rFonts w:cs="Calibri"/>
                <w:color w:val="000000"/>
                <w:lang w:eastAsia="pl-PL"/>
              </w:rPr>
              <w:t>75</w:t>
            </w:r>
            <w:r>
              <w:rPr>
                <w:rFonts w:cs="Calibri"/>
                <w:color w:val="000000"/>
                <w:lang w:eastAsia="pl-PL"/>
              </w:rPr>
              <w:t xml:space="preserve"> </w:t>
            </w:r>
            <w:r w:rsidRPr="009307B2">
              <w:rPr>
                <w:rFonts w:cs="Calibri"/>
                <w:color w:val="000000"/>
                <w:lang w:eastAsia="pl-PL"/>
              </w:rPr>
              <w:t>154</w:t>
            </w:r>
          </w:p>
        </w:tc>
      </w:tr>
    </w:tbl>
    <w:p w14:paraId="3C2D9292" w14:textId="77777777" w:rsidR="004818E0" w:rsidRPr="00736B55" w:rsidRDefault="004818E0" w:rsidP="004818E0">
      <w:pPr>
        <w:pStyle w:val="Legenda"/>
        <w:keepNext/>
        <w:spacing w:before="40" w:after="240" w:line="276" w:lineRule="auto"/>
        <w:rPr>
          <w:rStyle w:val="rynqvb"/>
          <w:b/>
          <w:bCs/>
          <w:i w:val="0"/>
          <w:iCs w:val="0"/>
          <w:color w:val="auto"/>
          <w:kern w:val="0"/>
          <w:sz w:val="20"/>
          <w:szCs w:val="22"/>
          <w14:ligatures w14:val="none"/>
        </w:rPr>
      </w:pPr>
      <w:r w:rsidRPr="00736B55">
        <w:rPr>
          <w:rStyle w:val="rynqvb"/>
          <w:b/>
          <w:bCs/>
          <w:kern w:val="0"/>
          <w14:ligatures w14:val="none"/>
        </w:rPr>
        <w:t>Źródło: EUROSTAT</w:t>
      </w:r>
    </w:p>
    <w:p w14:paraId="3B5CBF69" w14:textId="42247922" w:rsidR="004818E0" w:rsidRPr="003169E3" w:rsidRDefault="004818E0" w:rsidP="002236E7">
      <w:pPr>
        <w:pStyle w:val="Legenda"/>
        <w:keepNext/>
        <w:jc w:val="left"/>
        <w:rPr>
          <w:b/>
          <w:bCs/>
          <w:color w:val="323E4F" w:themeColor="text2" w:themeShade="BF"/>
          <w:sz w:val="20"/>
          <w:szCs w:val="20"/>
        </w:rPr>
      </w:pPr>
      <w:r w:rsidRPr="003169E3">
        <w:rPr>
          <w:b/>
          <w:bCs/>
          <w:color w:val="323E4F" w:themeColor="text2" w:themeShade="BF"/>
          <w:sz w:val="20"/>
          <w:szCs w:val="20"/>
        </w:rPr>
        <w:t xml:space="preserve">Orientacyjna trajektoria realizacji wkładu krajowego w zakresie energii finalnej (wg formuły) </w:t>
      </w:r>
      <w:r w:rsidR="002236E7" w:rsidRPr="003169E3">
        <w:rPr>
          <w:b/>
          <w:bCs/>
          <w:color w:val="323E4F" w:themeColor="text2" w:themeShade="BF"/>
          <w:sz w:val="20"/>
          <w:szCs w:val="20"/>
        </w:rPr>
        <w:br/>
      </w:r>
      <w:r w:rsidRPr="003169E3">
        <w:rPr>
          <w:b/>
          <w:bCs/>
          <w:color w:val="323E4F" w:themeColor="text2" w:themeShade="BF"/>
          <w:sz w:val="20"/>
          <w:szCs w:val="20"/>
        </w:rPr>
        <w:t>w latach 2022</w:t>
      </w:r>
      <w:r w:rsidR="002236E7" w:rsidRPr="003169E3">
        <w:rPr>
          <w:b/>
          <w:bCs/>
          <w:color w:val="323E4F" w:themeColor="text2" w:themeShade="BF"/>
          <w:sz w:val="20"/>
          <w:szCs w:val="20"/>
        </w:rPr>
        <w:t>–</w:t>
      </w:r>
      <w:r w:rsidRPr="003169E3">
        <w:rPr>
          <w:b/>
          <w:bCs/>
          <w:color w:val="323E4F" w:themeColor="text2" w:themeShade="BF"/>
          <w:sz w:val="20"/>
          <w:szCs w:val="20"/>
        </w:rPr>
        <w:t>2030 [ktoe]</w:t>
      </w:r>
    </w:p>
    <w:tbl>
      <w:tblPr>
        <w:tblStyle w:val="Tabela-Siatka"/>
        <w:tblW w:w="0" w:type="auto"/>
        <w:tblLook w:val="04A0" w:firstRow="1" w:lastRow="0" w:firstColumn="1" w:lastColumn="0" w:noHBand="0" w:noVBand="1"/>
      </w:tblPr>
      <w:tblGrid>
        <w:gridCol w:w="906"/>
        <w:gridCol w:w="906"/>
        <w:gridCol w:w="906"/>
        <w:gridCol w:w="906"/>
        <w:gridCol w:w="906"/>
        <w:gridCol w:w="906"/>
        <w:gridCol w:w="906"/>
        <w:gridCol w:w="906"/>
        <w:gridCol w:w="907"/>
      </w:tblGrid>
      <w:tr w:rsidR="004818E0" w:rsidRPr="009307B2" w14:paraId="538AFC6A" w14:textId="77777777" w:rsidTr="00686ABB">
        <w:tc>
          <w:tcPr>
            <w:tcW w:w="906" w:type="dxa"/>
            <w:shd w:val="clear" w:color="auto" w:fill="70AD47" w:themeFill="accent6"/>
            <w:vAlign w:val="bottom"/>
          </w:tcPr>
          <w:p w14:paraId="7027E6D9" w14:textId="77777777" w:rsidR="004818E0" w:rsidRPr="005A55CD" w:rsidRDefault="004818E0" w:rsidP="00686ABB">
            <w:pPr>
              <w:jc w:val="center"/>
              <w:rPr>
                <w:b/>
                <w:bCs/>
                <w:sz w:val="18"/>
                <w:szCs w:val="20"/>
              </w:rPr>
            </w:pPr>
            <w:r w:rsidRPr="005A55CD">
              <w:rPr>
                <w:rFonts w:cs="Calibri"/>
                <w:b/>
                <w:bCs/>
                <w:color w:val="000000"/>
                <w:sz w:val="18"/>
                <w:szCs w:val="20"/>
                <w:lang w:eastAsia="pl-PL"/>
              </w:rPr>
              <w:t>2022</w:t>
            </w:r>
          </w:p>
        </w:tc>
        <w:tc>
          <w:tcPr>
            <w:tcW w:w="906" w:type="dxa"/>
            <w:shd w:val="clear" w:color="auto" w:fill="70AD47" w:themeFill="accent6"/>
            <w:vAlign w:val="bottom"/>
          </w:tcPr>
          <w:p w14:paraId="45D00C84" w14:textId="77777777" w:rsidR="004818E0" w:rsidRPr="005A55CD" w:rsidRDefault="004818E0" w:rsidP="00686ABB">
            <w:pPr>
              <w:jc w:val="center"/>
              <w:rPr>
                <w:b/>
                <w:bCs/>
                <w:sz w:val="18"/>
                <w:szCs w:val="20"/>
              </w:rPr>
            </w:pPr>
            <w:r w:rsidRPr="005A55CD">
              <w:rPr>
                <w:rFonts w:cs="Calibri"/>
                <w:b/>
                <w:bCs/>
                <w:color w:val="000000"/>
                <w:sz w:val="18"/>
                <w:szCs w:val="20"/>
                <w:lang w:eastAsia="pl-PL"/>
              </w:rPr>
              <w:t>2023</w:t>
            </w:r>
          </w:p>
        </w:tc>
        <w:tc>
          <w:tcPr>
            <w:tcW w:w="906" w:type="dxa"/>
            <w:shd w:val="clear" w:color="auto" w:fill="70AD47" w:themeFill="accent6"/>
            <w:vAlign w:val="bottom"/>
          </w:tcPr>
          <w:p w14:paraId="597CFD31" w14:textId="77777777" w:rsidR="004818E0" w:rsidRPr="005A55CD" w:rsidRDefault="004818E0" w:rsidP="00686ABB">
            <w:pPr>
              <w:jc w:val="center"/>
              <w:rPr>
                <w:b/>
                <w:bCs/>
                <w:sz w:val="18"/>
                <w:szCs w:val="20"/>
              </w:rPr>
            </w:pPr>
            <w:r w:rsidRPr="005A55CD">
              <w:rPr>
                <w:rFonts w:cs="Calibri"/>
                <w:b/>
                <w:bCs/>
                <w:color w:val="000000"/>
                <w:sz w:val="18"/>
                <w:szCs w:val="20"/>
                <w:lang w:eastAsia="pl-PL"/>
              </w:rPr>
              <w:t>2024</w:t>
            </w:r>
          </w:p>
        </w:tc>
        <w:tc>
          <w:tcPr>
            <w:tcW w:w="906" w:type="dxa"/>
            <w:shd w:val="clear" w:color="auto" w:fill="70AD47" w:themeFill="accent6"/>
            <w:vAlign w:val="bottom"/>
          </w:tcPr>
          <w:p w14:paraId="2B0A2774" w14:textId="77777777" w:rsidR="004818E0" w:rsidRPr="005A55CD" w:rsidRDefault="004818E0" w:rsidP="00686ABB">
            <w:pPr>
              <w:jc w:val="center"/>
              <w:rPr>
                <w:b/>
                <w:bCs/>
                <w:sz w:val="18"/>
                <w:szCs w:val="20"/>
              </w:rPr>
            </w:pPr>
            <w:r w:rsidRPr="005A55CD">
              <w:rPr>
                <w:rFonts w:cs="Calibri"/>
                <w:b/>
                <w:bCs/>
                <w:color w:val="000000"/>
                <w:sz w:val="18"/>
                <w:szCs w:val="20"/>
                <w:lang w:eastAsia="pl-PL"/>
              </w:rPr>
              <w:t>2025</w:t>
            </w:r>
          </w:p>
        </w:tc>
        <w:tc>
          <w:tcPr>
            <w:tcW w:w="906" w:type="dxa"/>
            <w:shd w:val="clear" w:color="auto" w:fill="70AD47" w:themeFill="accent6"/>
            <w:vAlign w:val="bottom"/>
          </w:tcPr>
          <w:p w14:paraId="3F986123" w14:textId="77777777" w:rsidR="004818E0" w:rsidRPr="005A55CD" w:rsidRDefault="004818E0" w:rsidP="00686ABB">
            <w:pPr>
              <w:jc w:val="center"/>
              <w:rPr>
                <w:b/>
                <w:bCs/>
                <w:sz w:val="18"/>
                <w:szCs w:val="20"/>
              </w:rPr>
            </w:pPr>
            <w:r w:rsidRPr="005A55CD">
              <w:rPr>
                <w:rFonts w:cs="Calibri"/>
                <w:b/>
                <w:bCs/>
                <w:color w:val="000000"/>
                <w:sz w:val="18"/>
                <w:szCs w:val="20"/>
                <w:lang w:eastAsia="pl-PL"/>
              </w:rPr>
              <w:t>2026</w:t>
            </w:r>
          </w:p>
        </w:tc>
        <w:tc>
          <w:tcPr>
            <w:tcW w:w="906" w:type="dxa"/>
            <w:shd w:val="clear" w:color="auto" w:fill="70AD47" w:themeFill="accent6"/>
            <w:vAlign w:val="bottom"/>
          </w:tcPr>
          <w:p w14:paraId="53D346F1" w14:textId="77777777" w:rsidR="004818E0" w:rsidRPr="005A55CD" w:rsidRDefault="004818E0" w:rsidP="00686ABB">
            <w:pPr>
              <w:jc w:val="center"/>
              <w:rPr>
                <w:b/>
                <w:bCs/>
                <w:sz w:val="18"/>
                <w:szCs w:val="20"/>
              </w:rPr>
            </w:pPr>
            <w:r w:rsidRPr="005A55CD">
              <w:rPr>
                <w:rFonts w:cs="Calibri"/>
                <w:b/>
                <w:bCs/>
                <w:color w:val="000000"/>
                <w:sz w:val="18"/>
                <w:szCs w:val="20"/>
                <w:lang w:eastAsia="pl-PL"/>
              </w:rPr>
              <w:t>2027</w:t>
            </w:r>
          </w:p>
        </w:tc>
        <w:tc>
          <w:tcPr>
            <w:tcW w:w="906" w:type="dxa"/>
            <w:shd w:val="clear" w:color="auto" w:fill="70AD47" w:themeFill="accent6"/>
            <w:vAlign w:val="bottom"/>
          </w:tcPr>
          <w:p w14:paraId="6B557379" w14:textId="77777777" w:rsidR="004818E0" w:rsidRPr="005A55CD" w:rsidRDefault="004818E0" w:rsidP="00686ABB">
            <w:pPr>
              <w:jc w:val="center"/>
              <w:rPr>
                <w:b/>
                <w:bCs/>
                <w:sz w:val="18"/>
                <w:szCs w:val="20"/>
              </w:rPr>
            </w:pPr>
            <w:r w:rsidRPr="005A55CD">
              <w:rPr>
                <w:rFonts w:cs="Calibri"/>
                <w:b/>
                <w:bCs/>
                <w:color w:val="000000"/>
                <w:sz w:val="18"/>
                <w:szCs w:val="20"/>
                <w:lang w:eastAsia="pl-PL"/>
              </w:rPr>
              <w:t>2028</w:t>
            </w:r>
          </w:p>
        </w:tc>
        <w:tc>
          <w:tcPr>
            <w:tcW w:w="906" w:type="dxa"/>
            <w:shd w:val="clear" w:color="auto" w:fill="70AD47" w:themeFill="accent6"/>
            <w:vAlign w:val="bottom"/>
          </w:tcPr>
          <w:p w14:paraId="483BE6B0" w14:textId="77777777" w:rsidR="004818E0" w:rsidRPr="005A55CD" w:rsidRDefault="004818E0" w:rsidP="00686ABB">
            <w:pPr>
              <w:jc w:val="center"/>
              <w:rPr>
                <w:b/>
                <w:bCs/>
                <w:sz w:val="18"/>
                <w:szCs w:val="20"/>
              </w:rPr>
            </w:pPr>
            <w:r w:rsidRPr="005A55CD">
              <w:rPr>
                <w:rFonts w:cs="Calibri"/>
                <w:b/>
                <w:bCs/>
                <w:color w:val="000000"/>
                <w:sz w:val="18"/>
                <w:szCs w:val="20"/>
                <w:lang w:eastAsia="pl-PL"/>
              </w:rPr>
              <w:t>2029</w:t>
            </w:r>
          </w:p>
        </w:tc>
        <w:tc>
          <w:tcPr>
            <w:tcW w:w="907" w:type="dxa"/>
            <w:shd w:val="clear" w:color="auto" w:fill="70AD47" w:themeFill="accent6"/>
            <w:vAlign w:val="bottom"/>
          </w:tcPr>
          <w:p w14:paraId="3D0DBFFC" w14:textId="77777777" w:rsidR="004818E0" w:rsidRPr="005A55CD" w:rsidRDefault="004818E0" w:rsidP="00686ABB">
            <w:pPr>
              <w:jc w:val="center"/>
              <w:rPr>
                <w:b/>
                <w:bCs/>
                <w:sz w:val="18"/>
                <w:szCs w:val="20"/>
              </w:rPr>
            </w:pPr>
            <w:r w:rsidRPr="005A55CD">
              <w:rPr>
                <w:rFonts w:cs="Calibri"/>
                <w:b/>
                <w:bCs/>
                <w:color w:val="000000"/>
                <w:sz w:val="18"/>
                <w:szCs w:val="20"/>
                <w:lang w:eastAsia="pl-PL"/>
              </w:rPr>
              <w:t>2030</w:t>
            </w:r>
          </w:p>
        </w:tc>
      </w:tr>
      <w:tr w:rsidR="004818E0" w:rsidRPr="009307B2" w14:paraId="6F3FBF45" w14:textId="77777777" w:rsidTr="00686ABB">
        <w:trPr>
          <w:trHeight w:val="380"/>
        </w:trPr>
        <w:tc>
          <w:tcPr>
            <w:tcW w:w="906" w:type="dxa"/>
            <w:vAlign w:val="center"/>
          </w:tcPr>
          <w:p w14:paraId="16024E7E" w14:textId="77777777" w:rsidR="004818E0" w:rsidRPr="009307B2" w:rsidRDefault="004818E0" w:rsidP="00686ABB">
            <w:pPr>
              <w:jc w:val="center"/>
            </w:pPr>
            <w:r w:rsidRPr="009307B2">
              <w:rPr>
                <w:rFonts w:cs="Calibri"/>
                <w:color w:val="000000"/>
                <w:lang w:eastAsia="pl-PL"/>
              </w:rPr>
              <w:t>75</w:t>
            </w:r>
            <w:r>
              <w:rPr>
                <w:rFonts w:cs="Calibri"/>
                <w:color w:val="000000"/>
                <w:lang w:eastAsia="pl-PL"/>
              </w:rPr>
              <w:t xml:space="preserve"> </w:t>
            </w:r>
            <w:r w:rsidRPr="009307B2">
              <w:rPr>
                <w:rFonts w:cs="Calibri"/>
                <w:color w:val="000000"/>
                <w:lang w:eastAsia="pl-PL"/>
              </w:rPr>
              <w:t>428</w:t>
            </w:r>
          </w:p>
        </w:tc>
        <w:tc>
          <w:tcPr>
            <w:tcW w:w="906" w:type="dxa"/>
            <w:vAlign w:val="center"/>
          </w:tcPr>
          <w:p w14:paraId="718A0565" w14:textId="77777777" w:rsidR="004818E0" w:rsidRPr="009307B2" w:rsidRDefault="004818E0" w:rsidP="00686ABB">
            <w:pPr>
              <w:jc w:val="center"/>
            </w:pPr>
            <w:r w:rsidRPr="009307B2">
              <w:rPr>
                <w:rFonts w:cs="Calibri"/>
                <w:color w:val="000000"/>
                <w:lang w:eastAsia="pl-PL"/>
              </w:rPr>
              <w:t>75</w:t>
            </w:r>
            <w:r>
              <w:rPr>
                <w:rFonts w:cs="Calibri"/>
                <w:color w:val="000000"/>
                <w:lang w:eastAsia="pl-PL"/>
              </w:rPr>
              <w:t xml:space="preserve"> </w:t>
            </w:r>
            <w:r w:rsidRPr="009307B2">
              <w:rPr>
                <w:rFonts w:cs="Calibri"/>
                <w:color w:val="000000"/>
                <w:lang w:eastAsia="pl-PL"/>
              </w:rPr>
              <w:t>703</w:t>
            </w:r>
          </w:p>
        </w:tc>
        <w:tc>
          <w:tcPr>
            <w:tcW w:w="906" w:type="dxa"/>
            <w:vAlign w:val="center"/>
          </w:tcPr>
          <w:p w14:paraId="56FDFAC9" w14:textId="77777777" w:rsidR="004818E0" w:rsidRPr="009307B2" w:rsidRDefault="004818E0" w:rsidP="00686ABB">
            <w:pPr>
              <w:jc w:val="center"/>
            </w:pPr>
            <w:r w:rsidRPr="009307B2">
              <w:rPr>
                <w:rFonts w:cs="Calibri"/>
                <w:color w:val="000000"/>
                <w:lang w:eastAsia="pl-PL"/>
              </w:rPr>
              <w:t>75</w:t>
            </w:r>
            <w:r>
              <w:rPr>
                <w:rFonts w:cs="Calibri"/>
                <w:color w:val="000000"/>
                <w:lang w:eastAsia="pl-PL"/>
              </w:rPr>
              <w:t xml:space="preserve"> </w:t>
            </w:r>
            <w:r w:rsidRPr="009307B2">
              <w:rPr>
                <w:rFonts w:cs="Calibri"/>
                <w:color w:val="000000"/>
                <w:lang w:eastAsia="pl-PL"/>
              </w:rPr>
              <w:t>978</w:t>
            </w:r>
          </w:p>
        </w:tc>
        <w:tc>
          <w:tcPr>
            <w:tcW w:w="906" w:type="dxa"/>
            <w:vAlign w:val="center"/>
          </w:tcPr>
          <w:p w14:paraId="688ADE0A" w14:textId="77777777" w:rsidR="004818E0" w:rsidRPr="009307B2" w:rsidRDefault="004818E0" w:rsidP="00686ABB">
            <w:pPr>
              <w:jc w:val="center"/>
            </w:pPr>
            <w:r w:rsidRPr="009307B2">
              <w:rPr>
                <w:rFonts w:cs="Calibri"/>
                <w:color w:val="000000"/>
                <w:lang w:eastAsia="pl-PL"/>
              </w:rPr>
              <w:t>75</w:t>
            </w:r>
            <w:r>
              <w:rPr>
                <w:rFonts w:cs="Calibri"/>
                <w:color w:val="000000"/>
                <w:lang w:eastAsia="pl-PL"/>
              </w:rPr>
              <w:t xml:space="preserve"> </w:t>
            </w:r>
            <w:r w:rsidRPr="009307B2">
              <w:rPr>
                <w:rFonts w:cs="Calibri"/>
                <w:color w:val="000000"/>
                <w:lang w:eastAsia="pl-PL"/>
              </w:rPr>
              <w:t>978</w:t>
            </w:r>
          </w:p>
        </w:tc>
        <w:tc>
          <w:tcPr>
            <w:tcW w:w="906" w:type="dxa"/>
            <w:vAlign w:val="center"/>
          </w:tcPr>
          <w:p w14:paraId="32750A7D" w14:textId="77777777" w:rsidR="004818E0" w:rsidRPr="009307B2" w:rsidRDefault="004818E0" w:rsidP="00686ABB">
            <w:pPr>
              <w:jc w:val="center"/>
            </w:pPr>
            <w:r w:rsidRPr="009307B2">
              <w:rPr>
                <w:rFonts w:cs="Calibri"/>
                <w:color w:val="000000"/>
                <w:lang w:eastAsia="pl-PL"/>
              </w:rPr>
              <w:t>72</w:t>
            </w:r>
            <w:r>
              <w:rPr>
                <w:rFonts w:cs="Calibri"/>
                <w:color w:val="000000"/>
                <w:lang w:eastAsia="pl-PL"/>
              </w:rPr>
              <w:t xml:space="preserve"> </w:t>
            </w:r>
            <w:r w:rsidRPr="009307B2">
              <w:rPr>
                <w:rFonts w:cs="Calibri"/>
                <w:color w:val="000000"/>
                <w:lang w:eastAsia="pl-PL"/>
              </w:rPr>
              <w:t>488</w:t>
            </w:r>
          </w:p>
        </w:tc>
        <w:tc>
          <w:tcPr>
            <w:tcW w:w="906" w:type="dxa"/>
            <w:vAlign w:val="center"/>
          </w:tcPr>
          <w:p w14:paraId="4F20239E" w14:textId="77777777" w:rsidR="004818E0" w:rsidRPr="009307B2" w:rsidRDefault="004818E0" w:rsidP="00686ABB">
            <w:pPr>
              <w:jc w:val="center"/>
            </w:pPr>
            <w:r w:rsidRPr="009307B2">
              <w:rPr>
                <w:rFonts w:cs="Calibri"/>
                <w:color w:val="000000"/>
                <w:lang w:eastAsia="pl-PL"/>
              </w:rPr>
              <w:t>68</w:t>
            </w:r>
            <w:r>
              <w:rPr>
                <w:rFonts w:cs="Calibri"/>
                <w:color w:val="000000"/>
                <w:lang w:eastAsia="pl-PL"/>
              </w:rPr>
              <w:t xml:space="preserve"> </w:t>
            </w:r>
            <w:r w:rsidRPr="009307B2">
              <w:rPr>
                <w:rFonts w:cs="Calibri"/>
                <w:color w:val="000000"/>
                <w:lang w:eastAsia="pl-PL"/>
              </w:rPr>
              <w:t>999</w:t>
            </w:r>
          </w:p>
        </w:tc>
        <w:tc>
          <w:tcPr>
            <w:tcW w:w="906" w:type="dxa"/>
            <w:vAlign w:val="center"/>
          </w:tcPr>
          <w:p w14:paraId="1F0345CF" w14:textId="77777777" w:rsidR="004818E0" w:rsidRPr="009307B2" w:rsidRDefault="004818E0" w:rsidP="00686ABB">
            <w:pPr>
              <w:jc w:val="center"/>
            </w:pPr>
            <w:r w:rsidRPr="009307B2">
              <w:rPr>
                <w:rFonts w:cs="Calibri"/>
                <w:color w:val="000000"/>
                <w:lang w:eastAsia="pl-PL"/>
              </w:rPr>
              <w:t>65</w:t>
            </w:r>
            <w:r>
              <w:rPr>
                <w:rFonts w:cs="Calibri"/>
                <w:color w:val="000000"/>
                <w:lang w:eastAsia="pl-PL"/>
              </w:rPr>
              <w:t xml:space="preserve"> </w:t>
            </w:r>
            <w:r w:rsidRPr="009307B2">
              <w:rPr>
                <w:rFonts w:cs="Calibri"/>
                <w:color w:val="000000"/>
                <w:lang w:eastAsia="pl-PL"/>
              </w:rPr>
              <w:t>510</w:t>
            </w:r>
          </w:p>
        </w:tc>
        <w:tc>
          <w:tcPr>
            <w:tcW w:w="906" w:type="dxa"/>
            <w:vAlign w:val="center"/>
          </w:tcPr>
          <w:p w14:paraId="5B99CEC5" w14:textId="77777777" w:rsidR="004818E0" w:rsidRPr="009307B2" w:rsidRDefault="004818E0" w:rsidP="00686ABB">
            <w:pPr>
              <w:jc w:val="center"/>
            </w:pPr>
            <w:r w:rsidRPr="009307B2">
              <w:rPr>
                <w:rFonts w:cs="Calibri"/>
                <w:color w:val="000000"/>
                <w:lang w:eastAsia="pl-PL"/>
              </w:rPr>
              <w:t>62</w:t>
            </w:r>
            <w:r>
              <w:rPr>
                <w:rFonts w:cs="Calibri"/>
                <w:color w:val="000000"/>
                <w:lang w:eastAsia="pl-PL"/>
              </w:rPr>
              <w:t xml:space="preserve"> </w:t>
            </w:r>
            <w:r w:rsidRPr="009307B2">
              <w:rPr>
                <w:rFonts w:cs="Calibri"/>
                <w:color w:val="000000"/>
                <w:lang w:eastAsia="pl-PL"/>
              </w:rPr>
              <w:t>021</w:t>
            </w:r>
          </w:p>
        </w:tc>
        <w:tc>
          <w:tcPr>
            <w:tcW w:w="907" w:type="dxa"/>
            <w:vAlign w:val="center"/>
          </w:tcPr>
          <w:p w14:paraId="369E3ABA" w14:textId="77777777" w:rsidR="004818E0" w:rsidRPr="009307B2" w:rsidRDefault="004818E0" w:rsidP="00686ABB">
            <w:pPr>
              <w:jc w:val="center"/>
            </w:pPr>
            <w:r w:rsidRPr="009307B2">
              <w:rPr>
                <w:rFonts w:cs="Calibri"/>
                <w:color w:val="000000"/>
                <w:lang w:eastAsia="pl-PL"/>
              </w:rPr>
              <w:t>58</w:t>
            </w:r>
            <w:r>
              <w:rPr>
                <w:rFonts w:cs="Calibri"/>
                <w:color w:val="000000"/>
                <w:lang w:eastAsia="pl-PL"/>
              </w:rPr>
              <w:t xml:space="preserve"> </w:t>
            </w:r>
            <w:r w:rsidRPr="009307B2">
              <w:rPr>
                <w:rFonts w:cs="Calibri"/>
                <w:color w:val="000000"/>
                <w:lang w:eastAsia="pl-PL"/>
              </w:rPr>
              <w:t>532</w:t>
            </w:r>
          </w:p>
        </w:tc>
      </w:tr>
    </w:tbl>
    <w:p w14:paraId="1CD4CC9E" w14:textId="77777777" w:rsidR="004818E0" w:rsidRDefault="004818E0" w:rsidP="00741798">
      <w:pPr>
        <w:spacing w:after="240"/>
      </w:pPr>
    </w:p>
    <w:p w14:paraId="1CB4FD3C" w14:textId="2495EFF8" w:rsidR="00292793" w:rsidRPr="003169E3" w:rsidRDefault="004818E0" w:rsidP="003169E3">
      <w:pPr>
        <w:pStyle w:val="tyturys"/>
        <w:rPr>
          <w:sz w:val="26"/>
          <w:szCs w:val="26"/>
        </w:rPr>
      </w:pPr>
      <w:r w:rsidRPr="003169E3">
        <w:rPr>
          <w:noProof/>
          <w:sz w:val="26"/>
          <w:szCs w:val="26"/>
        </w:rPr>
        <w:lastRenderedPageBreak/>
        <w:drawing>
          <wp:anchor distT="0" distB="0" distL="114300" distR="114300" simplePos="0" relativeHeight="251782144" behindDoc="0" locked="0" layoutInCell="1" allowOverlap="1" wp14:anchorId="38DC31DA" wp14:editId="556CE083">
            <wp:simplePos x="0" y="0"/>
            <wp:positionH relativeFrom="margin">
              <wp:align>right</wp:align>
            </wp:positionH>
            <wp:positionV relativeFrom="paragraph">
              <wp:posOffset>304800</wp:posOffset>
            </wp:positionV>
            <wp:extent cx="5760720" cy="2638425"/>
            <wp:effectExtent l="0" t="0" r="0" b="0"/>
            <wp:wrapTight wrapText="bothSides">
              <wp:wrapPolygon edited="0">
                <wp:start x="0" y="0"/>
                <wp:lineTo x="0" y="21366"/>
                <wp:lineTo x="21500" y="21366"/>
                <wp:lineTo x="21500" y="0"/>
                <wp:lineTo x="0" y="0"/>
              </wp:wrapPolygon>
            </wp:wrapTight>
            <wp:docPr id="168462089" name="Wykres 1">
              <a:extLst xmlns:a="http://schemas.openxmlformats.org/drawingml/2006/main">
                <a:ext uri="{FF2B5EF4-FFF2-40B4-BE49-F238E27FC236}">
                  <a16:creationId xmlns:a16="http://schemas.microsoft.com/office/drawing/2014/main" id="{7D6CAE0E-3307-4C7B-B6DF-DFDAEC97189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14:sizeRelH relativeFrom="margin">
              <wp14:pctWidth>0</wp14:pctWidth>
            </wp14:sizeRelH>
            <wp14:sizeRelV relativeFrom="margin">
              <wp14:pctHeight>0</wp14:pctHeight>
            </wp14:sizeRelV>
          </wp:anchor>
        </w:drawing>
      </w:r>
      <w:r w:rsidR="00292793" w:rsidRPr="003169E3">
        <w:rPr>
          <w:sz w:val="26"/>
          <w:szCs w:val="26"/>
        </w:rPr>
        <w:t xml:space="preserve">Finalne zużycie energii do 2030 r. zgodnie z formułą EED i według </w:t>
      </w:r>
      <w:r w:rsidR="0062270D" w:rsidRPr="003169E3">
        <w:rPr>
          <w:sz w:val="26"/>
          <w:szCs w:val="26"/>
        </w:rPr>
        <w:t>KPEiK</w:t>
      </w:r>
      <w:r w:rsidR="00292793" w:rsidRPr="003169E3">
        <w:rPr>
          <w:sz w:val="26"/>
          <w:szCs w:val="26"/>
        </w:rPr>
        <w:t xml:space="preserve"> </w:t>
      </w:r>
    </w:p>
    <w:p w14:paraId="46B27795" w14:textId="7754D0BE" w:rsidR="00F3711B" w:rsidRDefault="00F3711B" w:rsidP="00F3711B">
      <w:pPr>
        <w:spacing w:before="240" w:after="80"/>
        <w:rPr>
          <w:rFonts w:ascii="Bahnschrift" w:hAnsi="Bahnschrift"/>
        </w:rPr>
      </w:pPr>
      <w:r w:rsidRPr="00C46DAA">
        <w:rPr>
          <w:rFonts w:ascii="Bahnschrift" w:hAnsi="Bahnschrift"/>
          <w:b/>
          <w:bCs/>
          <w:sz w:val="32"/>
          <w:szCs w:val="32"/>
        </w:rPr>
        <w:t>POLITYKA</w:t>
      </w:r>
    </w:p>
    <w:p w14:paraId="3A5FFDC3" w14:textId="321DE2B2" w:rsidR="00F3711B" w:rsidRDefault="009D513F" w:rsidP="00F3711B">
      <w:r w:rsidRPr="00B4376E">
        <w:t xml:space="preserve">Ograniczenie zużycia energii </w:t>
      </w:r>
      <w:r>
        <w:t>finalnej</w:t>
      </w:r>
      <w:r w:rsidRPr="00B4376E">
        <w:t xml:space="preserve"> będzie rezultatem szeregu wdrożonych przedsięwzięć, jak również realizacji ambitnych działań służących poprawie efektywności energetycznej wynikających z wdrożenia dyrektywy</w:t>
      </w:r>
      <w:r>
        <w:t xml:space="preserve"> EED.</w:t>
      </w:r>
    </w:p>
    <w:p w14:paraId="699E2E00" w14:textId="226B3B1E" w:rsidR="00F77EB7" w:rsidRDefault="00F77EB7" w:rsidP="00F77EB7">
      <w:r>
        <w:t xml:space="preserve">Finalne zużycie energii dzieli się </w:t>
      </w:r>
      <w:r w:rsidR="0012626A">
        <w:t xml:space="preserve">według sektorów – </w:t>
      </w:r>
      <w:r>
        <w:t>przemysł, transport, gospodarstwa domowe (mieszkalnictwo) i usługi. Mając jednak na uwadze wzorcową rolę sektora publicznego</w:t>
      </w:r>
      <w:r w:rsidR="006B1B29">
        <w:t>,</w:t>
      </w:r>
      <w:r>
        <w:t xml:space="preserve"> odrębnie podchodzi się do</w:t>
      </w:r>
      <w:r w:rsidR="0012626A">
        <w:t xml:space="preserve"> działań proefektywnościowych w tym </w:t>
      </w:r>
      <w:r>
        <w:t>podsektor</w:t>
      </w:r>
      <w:r w:rsidR="0012626A">
        <w:t xml:space="preserve">ze. Oddzielnie </w:t>
      </w:r>
      <w:r w:rsidR="00FA4783">
        <w:t>określa</w:t>
      </w:r>
      <w:r w:rsidR="0012626A">
        <w:t xml:space="preserve"> się także działania w odniesieniu do </w:t>
      </w:r>
      <w:r>
        <w:t xml:space="preserve">wytwarzania </w:t>
      </w:r>
      <w:r w:rsidR="0012626A">
        <w:t xml:space="preserve">i transportu </w:t>
      </w:r>
      <w:r>
        <w:t>energii elektrycznej i ciepła.</w:t>
      </w:r>
    </w:p>
    <w:p w14:paraId="74579FA5" w14:textId="3D7D730A" w:rsidR="00F77EB7" w:rsidRDefault="00F77EB7" w:rsidP="00F77EB7">
      <w:r>
        <w:t>W każdym przypadku kluczową rolę powinno odegrać stosowanie zasady „efektywność energetyczna przede wszystkim”</w:t>
      </w:r>
      <w:r w:rsidR="0012626A">
        <w:t>,</w:t>
      </w:r>
      <w:r>
        <w:t xml:space="preserve"> zgodnie z którą </w:t>
      </w:r>
      <w:r w:rsidRPr="00B537B7">
        <w:t>przed podjęciem decyzji dotyczących</w:t>
      </w:r>
      <w:r w:rsidR="0012626A">
        <w:t xml:space="preserve"> nowych</w:t>
      </w:r>
      <w:r w:rsidRPr="00B537B7">
        <w:t xml:space="preserve"> polityk i inwestycji należy przeanalizować, czy</w:t>
      </w:r>
      <w:r>
        <w:t xml:space="preserve"> cele </w:t>
      </w:r>
      <w:r w:rsidR="0012626A">
        <w:t xml:space="preserve">tych polityk i inwestycji </w:t>
      </w:r>
      <w:r>
        <w:t xml:space="preserve">zostaną osiągnięte w taki sposób, aby produkowane i wykorzystywane było tylko tyle energii, ile potrzeba. Jednocześnie zastosowane rozwiązania powinny być </w:t>
      </w:r>
      <w:r w:rsidRPr="00B537B7">
        <w:t>racjonalne pod względem technicznym, ekonomicznym i ekologicznym</w:t>
      </w:r>
      <w:r>
        <w:t>.</w:t>
      </w:r>
    </w:p>
    <w:p w14:paraId="3814379C" w14:textId="76C34EA7" w:rsidR="007C0534" w:rsidRDefault="00F77EB7" w:rsidP="00854D8B">
      <w:pPr>
        <w:tabs>
          <w:tab w:val="num" w:pos="720"/>
        </w:tabs>
        <w:spacing w:before="360"/>
      </w:pPr>
      <w:r>
        <w:t xml:space="preserve">W celu </w:t>
      </w:r>
      <w:r w:rsidR="0012626A">
        <w:t xml:space="preserve">poprawy efektywności energetycznej </w:t>
      </w:r>
      <w:r w:rsidR="00FA4783">
        <w:t xml:space="preserve">w krajowej </w:t>
      </w:r>
      <w:r w:rsidR="00286B9A">
        <w:t>gospodarce</w:t>
      </w:r>
      <w:r w:rsidR="00FA4783">
        <w:t xml:space="preserve"> </w:t>
      </w:r>
      <w:r w:rsidR="007C0534">
        <w:t xml:space="preserve">kluczowym narzędziem pozostanie </w:t>
      </w:r>
      <w:r w:rsidR="00286B9A">
        <w:rPr>
          <w:b/>
          <w:bCs/>
        </w:rPr>
        <w:t xml:space="preserve">system świadectw </w:t>
      </w:r>
      <w:r w:rsidR="003F7A7F">
        <w:rPr>
          <w:b/>
          <w:bCs/>
        </w:rPr>
        <w:t xml:space="preserve">efektywności </w:t>
      </w:r>
      <w:r w:rsidR="00286B9A">
        <w:rPr>
          <w:b/>
          <w:bCs/>
        </w:rPr>
        <w:t>energetyczn</w:t>
      </w:r>
      <w:r w:rsidR="003F7A7F">
        <w:rPr>
          <w:b/>
          <w:bCs/>
        </w:rPr>
        <w:t>ej,</w:t>
      </w:r>
      <w:r w:rsidR="00286B9A">
        <w:rPr>
          <w:b/>
          <w:bCs/>
        </w:rPr>
        <w:t xml:space="preserve"> tzw. </w:t>
      </w:r>
      <w:r w:rsidRPr="007C0534">
        <w:rPr>
          <w:b/>
          <w:bCs/>
        </w:rPr>
        <w:t>system</w:t>
      </w:r>
      <w:r w:rsidR="007C0534" w:rsidRPr="007C0534">
        <w:rPr>
          <w:b/>
          <w:bCs/>
        </w:rPr>
        <w:t xml:space="preserve"> „białych certyfikatów”</w:t>
      </w:r>
      <w:r w:rsidR="007C0534" w:rsidRPr="00286B9A">
        <w:t>,</w:t>
      </w:r>
      <w:r w:rsidR="007C0534" w:rsidRPr="007C0534">
        <w:rPr>
          <w:b/>
          <w:bCs/>
        </w:rPr>
        <w:t xml:space="preserve"> </w:t>
      </w:r>
      <w:r w:rsidR="00854D8B">
        <w:t xml:space="preserve">który </w:t>
      </w:r>
      <w:r w:rsidR="00854D8B" w:rsidRPr="00FB5D0D">
        <w:t>nakłada coroczny obowiązek oszczędności energii na podmioty zobligowane</w:t>
      </w:r>
      <w:r w:rsidR="00854D8B">
        <w:t xml:space="preserve">. </w:t>
      </w:r>
      <w:r w:rsidR="00854D8B" w:rsidRPr="00FB5D0D">
        <w:t>Podmiotami zobowiązanymi są przedsiębiorstwa sprzedające energię elektryczną, ciepło sieciowe, paliwa gazowe odbiorcom końcowym oraz podmioty paliwowe wprowadzające do obrotu paliwa ciekłe</w:t>
      </w:r>
      <w:r w:rsidR="00854D8B">
        <w:t xml:space="preserve">. </w:t>
      </w:r>
      <w:r w:rsidR="00854D8B" w:rsidRPr="00FB5D0D">
        <w:t>Obowiązek może zostać wypełniony przez</w:t>
      </w:r>
      <w:r w:rsidR="00854D8B">
        <w:t xml:space="preserve"> </w:t>
      </w:r>
      <w:r w:rsidR="00854D8B" w:rsidRPr="00FB5D0D">
        <w:rPr>
          <w:b/>
          <w:bCs/>
        </w:rPr>
        <w:t>zrealizowanie przedsięwzięcia służącego poprawie efektywności energetycznej u odbiorcy końcowego</w:t>
      </w:r>
      <w:r w:rsidR="00854D8B" w:rsidRPr="00FB5D0D">
        <w:t xml:space="preserve">, </w:t>
      </w:r>
      <w:r w:rsidR="00854D8B" w:rsidRPr="00FB5D0D">
        <w:rPr>
          <w:b/>
          <w:bCs/>
        </w:rPr>
        <w:t>zrealizowanie programu bezzwrotnych dofinansowań w celu współfinansowania przedsięwzięć służących poprawie efektywności energetycznej</w:t>
      </w:r>
      <w:r w:rsidR="00854D8B">
        <w:t xml:space="preserve"> </w:t>
      </w:r>
      <w:r w:rsidR="00854D8B" w:rsidRPr="00FB5D0D">
        <w:t>lub</w:t>
      </w:r>
      <w:r w:rsidR="00854D8B">
        <w:t xml:space="preserve"> </w:t>
      </w:r>
      <w:r w:rsidR="00854D8B" w:rsidRPr="00FB5D0D">
        <w:rPr>
          <w:b/>
          <w:bCs/>
        </w:rPr>
        <w:t>uzyskanie/zakupienie białych certyfikatów</w:t>
      </w:r>
      <w:r w:rsidR="00854D8B" w:rsidRPr="00F006F7">
        <w:rPr>
          <w:b/>
          <w:bCs/>
        </w:rPr>
        <w:t>.</w:t>
      </w:r>
      <w:r w:rsidR="00854D8B">
        <w:rPr>
          <w:b/>
          <w:bCs/>
        </w:rPr>
        <w:t xml:space="preserve"> </w:t>
      </w:r>
      <w:r w:rsidR="00854D8B" w:rsidRPr="00F006F7">
        <w:t xml:space="preserve">Warto jednak podkreślić, że </w:t>
      </w:r>
      <w:r w:rsidR="00854D8B">
        <w:t>c</w:t>
      </w:r>
      <w:r w:rsidR="00854D8B" w:rsidRPr="00F006F7">
        <w:t xml:space="preserve">elem </w:t>
      </w:r>
      <w:r w:rsidR="00854D8B">
        <w:t>systemu</w:t>
      </w:r>
      <w:r w:rsidR="00854D8B" w:rsidRPr="00F006F7">
        <w:t xml:space="preserve"> jest</w:t>
      </w:r>
      <w:r w:rsidR="00854D8B">
        <w:t xml:space="preserve"> to</w:t>
      </w:r>
      <w:r w:rsidR="00854D8B" w:rsidRPr="00F006F7">
        <w:t>, aby każdy, kto spełni określone wymagania</w:t>
      </w:r>
      <w:r w:rsidR="00854D8B">
        <w:t xml:space="preserve">, tzn. m.in. przedstawi </w:t>
      </w:r>
      <w:r w:rsidR="00854D8B" w:rsidRPr="00F006F7">
        <w:t>audyt efektywności energetycznej dla określonej inwestycji, otrzymał korzyść w</w:t>
      </w:r>
      <w:r w:rsidR="00854D8B">
        <w:t> </w:t>
      </w:r>
      <w:r w:rsidR="00854D8B" w:rsidRPr="00F006F7">
        <w:t>postaci praw majątkowych wynikających ze świadectw efektywności energetycznej</w:t>
      </w:r>
      <w:r w:rsidR="00854D8B">
        <w:t>. System jest zatem mechanizmem rynkowym, stwarzającym zachętę do realizacji zadań z zakresu poprawy efektywności.</w:t>
      </w:r>
    </w:p>
    <w:p w14:paraId="5F29C5AE" w14:textId="29630388" w:rsidR="002F5F1F" w:rsidRDefault="00C05FFE" w:rsidP="002F5F1F">
      <w:pPr>
        <w:spacing w:after="80"/>
      </w:pPr>
      <w:r>
        <w:t>Ponadto określone</w:t>
      </w:r>
      <w:r w:rsidR="0042580D">
        <w:t xml:space="preserve"> zostały dodatkowe rozwiązania, tzw. </w:t>
      </w:r>
      <w:r w:rsidR="0042580D" w:rsidRPr="004232AC">
        <w:rPr>
          <w:b/>
          <w:bCs/>
        </w:rPr>
        <w:t>środki alternatywne</w:t>
      </w:r>
      <w:r w:rsidR="0042580D">
        <w:t>, które</w:t>
      </w:r>
      <w:r w:rsidR="004232AC">
        <w:t xml:space="preserve"> stanowią uzupełnienie dla systemu podstawowego. Zalicza się do nich</w:t>
      </w:r>
      <w:r w:rsidR="002F5F1F">
        <w:t xml:space="preserve"> poniższe</w:t>
      </w:r>
      <w:r w:rsidR="004232AC">
        <w:t>:</w:t>
      </w:r>
    </w:p>
    <w:p w14:paraId="5304C6EE" w14:textId="18BD9B86" w:rsidR="002F5F1F" w:rsidRPr="002F5F1F" w:rsidRDefault="004232AC" w:rsidP="00612B5D">
      <w:pPr>
        <w:pStyle w:val="Akapitzlist"/>
        <w:numPr>
          <w:ilvl w:val="0"/>
          <w:numId w:val="48"/>
        </w:numPr>
      </w:pPr>
      <w:r w:rsidRPr="002F5F1F">
        <w:rPr>
          <w:b/>
          <w:bCs/>
        </w:rPr>
        <w:t xml:space="preserve">Fundusz Termomodernizacji i Remontów </w:t>
      </w:r>
      <w:r w:rsidR="00286B9A">
        <w:rPr>
          <w:b/>
          <w:bCs/>
        </w:rPr>
        <w:t>– P</w:t>
      </w:r>
      <w:r w:rsidRPr="002F5F1F">
        <w:rPr>
          <w:b/>
          <w:bCs/>
        </w:rPr>
        <w:t>rogram TERMO</w:t>
      </w:r>
      <w:r w:rsidR="00286B9A">
        <w:rPr>
          <w:b/>
          <w:bCs/>
        </w:rPr>
        <w:t>;</w:t>
      </w:r>
    </w:p>
    <w:p w14:paraId="4F32DF4B" w14:textId="1273ADFB" w:rsidR="002F5F1F" w:rsidRPr="002F5F1F" w:rsidRDefault="004232AC" w:rsidP="00612B5D">
      <w:pPr>
        <w:pStyle w:val="Akapitzlist"/>
        <w:numPr>
          <w:ilvl w:val="0"/>
          <w:numId w:val="48"/>
        </w:numPr>
      </w:pPr>
      <w:r w:rsidRPr="002F5F1F">
        <w:rPr>
          <w:b/>
          <w:bCs/>
        </w:rPr>
        <w:lastRenderedPageBreak/>
        <w:t>Ulga podatkowa dotycząca wydatków poniesionych na termomodernizację jednorodzinnych budynków mieszkalnych;</w:t>
      </w:r>
    </w:p>
    <w:p w14:paraId="645C164C" w14:textId="77777777" w:rsidR="002F5F1F" w:rsidRPr="002F5F1F" w:rsidRDefault="004232AC" w:rsidP="00612B5D">
      <w:pPr>
        <w:pStyle w:val="Akapitzlist"/>
        <w:numPr>
          <w:ilvl w:val="0"/>
          <w:numId w:val="48"/>
        </w:numPr>
      </w:pPr>
      <w:r w:rsidRPr="002F5F1F">
        <w:rPr>
          <w:b/>
          <w:bCs/>
        </w:rPr>
        <w:t>Rozwój publicznego transportu zbiorowego w miastach;</w:t>
      </w:r>
    </w:p>
    <w:p w14:paraId="2CA72B26" w14:textId="3FCE56CC" w:rsidR="002F5F1F" w:rsidRPr="002F5F1F" w:rsidRDefault="004232AC" w:rsidP="00612B5D">
      <w:pPr>
        <w:pStyle w:val="Akapitzlist"/>
        <w:numPr>
          <w:ilvl w:val="0"/>
          <w:numId w:val="48"/>
        </w:numPr>
      </w:pPr>
      <w:r w:rsidRPr="002F5F1F">
        <w:rPr>
          <w:b/>
          <w:bCs/>
        </w:rPr>
        <w:t>Poprawa efektywności energetycznej budynków mieszkalnych;</w:t>
      </w:r>
    </w:p>
    <w:p w14:paraId="7B55F734" w14:textId="00881B88" w:rsidR="004232AC" w:rsidRDefault="004232AC" w:rsidP="00612B5D">
      <w:pPr>
        <w:pStyle w:val="Akapitzlist"/>
        <w:numPr>
          <w:ilvl w:val="0"/>
          <w:numId w:val="48"/>
        </w:numPr>
      </w:pPr>
      <w:r w:rsidRPr="002F5F1F">
        <w:rPr>
          <w:b/>
          <w:bCs/>
        </w:rPr>
        <w:t>Efektywny energetycznie sektor publiczny</w:t>
      </w:r>
      <w:r w:rsidR="002F5F1F">
        <w:rPr>
          <w:b/>
          <w:bCs/>
        </w:rPr>
        <w:t>.</w:t>
      </w:r>
    </w:p>
    <w:p w14:paraId="1B45F872" w14:textId="13796934" w:rsidR="007C0534" w:rsidRPr="002F5F1F" w:rsidRDefault="004232AC" w:rsidP="00F77EB7">
      <w:pPr>
        <w:rPr>
          <w:i/>
          <w:iCs/>
        </w:rPr>
      </w:pPr>
      <w:r>
        <w:t xml:space="preserve">Oba zestawy narzędzi stanowią odpowiedź na </w:t>
      </w:r>
      <w:r w:rsidR="002F5F1F">
        <w:t>zobowiązanie</w:t>
      </w:r>
      <w:r>
        <w:t xml:space="preserve"> z</w:t>
      </w:r>
      <w:r w:rsidR="0042580D">
        <w:t xml:space="preserve"> </w:t>
      </w:r>
      <w:r>
        <w:t xml:space="preserve">art. 8 dyrektywy EED, zgodnie z którym każde państwo członkowskie UE jest zobowiązane do generowania corocznie określonych oszczędności finalnego zużycia energii (1,3–1,9% w zależności od okresu do 2030 r.). </w:t>
      </w:r>
      <w:r w:rsidR="002F5F1F">
        <w:rPr>
          <w:i/>
          <w:iCs/>
        </w:rPr>
        <w:t xml:space="preserve">Kwestia tego obowiązku została szerzej opisana w </w:t>
      </w:r>
      <w:r w:rsidR="002F5F1F">
        <w:rPr>
          <w:i/>
          <w:iCs/>
        </w:rPr>
        <w:fldChar w:fldCharType="begin"/>
      </w:r>
      <w:r w:rsidR="002F5F1F">
        <w:rPr>
          <w:i/>
          <w:iCs/>
        </w:rPr>
        <w:instrText xml:space="preserve"> REF _Ref174024705 \r \h </w:instrText>
      </w:r>
      <w:r w:rsidR="002F5F1F">
        <w:rPr>
          <w:i/>
          <w:iCs/>
        </w:rPr>
      </w:r>
      <w:r w:rsidR="002F5F1F">
        <w:rPr>
          <w:i/>
          <w:iCs/>
        </w:rPr>
        <w:fldChar w:fldCharType="separate"/>
      </w:r>
      <w:r w:rsidR="00DD3929">
        <w:rPr>
          <w:i/>
          <w:iCs/>
        </w:rPr>
        <w:t>Cel. 2.1.3</w:t>
      </w:r>
      <w:r w:rsidR="002F5F1F">
        <w:rPr>
          <w:i/>
          <w:iCs/>
        </w:rPr>
        <w:fldChar w:fldCharType="end"/>
      </w:r>
      <w:r w:rsidR="002F5F1F">
        <w:rPr>
          <w:i/>
          <w:iCs/>
        </w:rPr>
        <w:t>.</w:t>
      </w:r>
    </w:p>
    <w:p w14:paraId="5E60FD74" w14:textId="16845FD8" w:rsidR="00F77EB7" w:rsidRDefault="00F77EB7" w:rsidP="00EA4798">
      <w:pPr>
        <w:spacing w:before="360"/>
      </w:pPr>
      <w:r>
        <w:t>Poniżej wskazano kierunk</w:t>
      </w:r>
      <w:r w:rsidR="00EA4798">
        <w:t>owe obszary działań</w:t>
      </w:r>
      <w:r>
        <w:t xml:space="preserve">, które powinny </w:t>
      </w:r>
      <w:r w:rsidR="00577DB2">
        <w:t xml:space="preserve">być uwzględniane przez poszczególne sektory w ramach </w:t>
      </w:r>
      <w:r w:rsidR="00EA4798">
        <w:t xml:space="preserve">dążenia do </w:t>
      </w:r>
      <w:r w:rsidR="00577DB2">
        <w:t>popraw</w:t>
      </w:r>
      <w:r w:rsidR="00286B9A">
        <w:t>y</w:t>
      </w:r>
      <w:r w:rsidR="00577DB2">
        <w:t xml:space="preserve"> efektywności energetycznej: </w:t>
      </w:r>
    </w:p>
    <w:p w14:paraId="49E82AF9" w14:textId="6F1918A3" w:rsidR="00F77EB7" w:rsidRDefault="00F77EB7" w:rsidP="00612B5D">
      <w:pPr>
        <w:pStyle w:val="Akapitzlist"/>
        <w:numPr>
          <w:ilvl w:val="0"/>
          <w:numId w:val="49"/>
        </w:numPr>
        <w:spacing w:after="80"/>
        <w:ind w:left="426" w:hanging="357"/>
        <w:contextualSpacing w:val="0"/>
      </w:pPr>
      <w:r w:rsidRPr="00EA4798">
        <w:rPr>
          <w:b/>
          <w:bCs/>
        </w:rPr>
        <w:t>Przemysł i usługi</w:t>
      </w:r>
      <w:r>
        <w:t xml:space="preserve"> – dążenie do obniżania energochłonności procesów; stosowanie systemów zarządzania zużyciem energii</w:t>
      </w:r>
      <w:r w:rsidR="00286B9A">
        <w:t xml:space="preserve">, w tym eliminowanie zbędnego oświetlenia, zasilania urządzeń i ogrzewania nieskorelowanego z </w:t>
      </w:r>
      <w:r w:rsidR="009B1643">
        <w:t>zapotrzebowaniem</w:t>
      </w:r>
      <w:r>
        <w:t>; wykorzystanie ciepła odpadowego; termomodernizacja poprzedzona audytem energetycznym; wymiana źródeł energii na cechujące się wyższą sprawnością oraz bezemisyjne;</w:t>
      </w:r>
      <w:r w:rsidR="00286B9A">
        <w:t xml:space="preserve"> </w:t>
      </w:r>
      <w:r>
        <w:t xml:space="preserve">  </w:t>
      </w:r>
    </w:p>
    <w:p w14:paraId="6AC57882" w14:textId="77777777" w:rsidR="00F77EB7" w:rsidRDefault="00F77EB7" w:rsidP="00612B5D">
      <w:pPr>
        <w:pStyle w:val="Akapitzlist"/>
        <w:numPr>
          <w:ilvl w:val="0"/>
          <w:numId w:val="49"/>
        </w:numPr>
        <w:spacing w:after="80"/>
        <w:ind w:left="426" w:hanging="357"/>
        <w:contextualSpacing w:val="0"/>
      </w:pPr>
      <w:r w:rsidRPr="00EA4798">
        <w:rPr>
          <w:b/>
          <w:bCs/>
        </w:rPr>
        <w:t>Transport</w:t>
      </w:r>
      <w:r>
        <w:t xml:space="preserve"> – rozwijanie </w:t>
      </w:r>
      <w:r w:rsidRPr="00054C30">
        <w:t>inteligentnych systemów transportowych</w:t>
      </w:r>
      <w:r>
        <w:t>; popularyzacja oszczędnej jazdy; r</w:t>
      </w:r>
      <w:r w:rsidRPr="00054C30">
        <w:t>ozwój publicznego transportu zbiorowego</w:t>
      </w:r>
      <w:r>
        <w:t xml:space="preserve">; zastępowanie wyeksploatowanej floty bezemisyjnymi pojazdami o wyższej sprawności;  </w:t>
      </w:r>
    </w:p>
    <w:p w14:paraId="34ACFC34" w14:textId="53B10ACB" w:rsidR="00F77EB7" w:rsidRDefault="00F77EB7" w:rsidP="00612B5D">
      <w:pPr>
        <w:pStyle w:val="Akapitzlist"/>
        <w:numPr>
          <w:ilvl w:val="0"/>
          <w:numId w:val="49"/>
        </w:numPr>
        <w:spacing w:after="80"/>
        <w:ind w:left="426" w:hanging="357"/>
        <w:contextualSpacing w:val="0"/>
      </w:pPr>
      <w:r w:rsidRPr="00EA4798">
        <w:rPr>
          <w:b/>
          <w:bCs/>
        </w:rPr>
        <w:t>Gospodarstwa domowe</w:t>
      </w:r>
      <w:r>
        <w:t xml:space="preserve"> </w:t>
      </w:r>
      <w:r w:rsidRPr="00EA4798">
        <w:rPr>
          <w:b/>
          <w:bCs/>
        </w:rPr>
        <w:t>(mieszkalnictwo)</w:t>
      </w:r>
      <w:r>
        <w:t xml:space="preserve"> – termomodernizacja poprzedzona audytem energetycznym; wymiana źródeł ciepła na bardziej efektywne oraz nisko- i bezemisyjne;</w:t>
      </w:r>
      <w:r w:rsidR="00EA4798">
        <w:t xml:space="preserve"> podłączenie do systemu ciepłowniczego</w:t>
      </w:r>
      <w:r w:rsidR="003A7C3D">
        <w:t>;</w:t>
      </w:r>
      <w:r w:rsidR="00286B9A">
        <w:t xml:space="preserve"> racjonalne wykorzystanie z ciepła i energii elektrycznej;</w:t>
      </w:r>
      <w:r w:rsidR="009B1643">
        <w:t xml:space="preserve"> </w:t>
      </w:r>
    </w:p>
    <w:p w14:paraId="6B541CCC" w14:textId="1E07319A" w:rsidR="00F77EB7" w:rsidRDefault="00F77EB7" w:rsidP="00612B5D">
      <w:pPr>
        <w:pStyle w:val="Akapitzlist"/>
        <w:numPr>
          <w:ilvl w:val="0"/>
          <w:numId w:val="49"/>
        </w:numPr>
        <w:spacing w:after="80"/>
        <w:ind w:left="426" w:hanging="357"/>
        <w:contextualSpacing w:val="0"/>
      </w:pPr>
      <w:r w:rsidRPr="00EA4798">
        <w:rPr>
          <w:b/>
          <w:bCs/>
        </w:rPr>
        <w:t>Wytwarzanie i dostawy energii</w:t>
      </w:r>
      <w:r>
        <w:t xml:space="preserve"> – popularyzacja rozproszonej produkcji energii; stosowanie </w:t>
      </w:r>
      <w:r w:rsidRPr="00936656">
        <w:t>wysokosprawnej kogeneracji</w:t>
      </w:r>
      <w:r>
        <w:t xml:space="preserve"> oraz lokalnych źródeł energii;</w:t>
      </w:r>
      <w:r w:rsidRPr="00936656">
        <w:t xml:space="preserve"> </w:t>
      </w:r>
      <w:r>
        <w:t>e</w:t>
      </w:r>
      <w:r w:rsidRPr="00936656">
        <w:t>fektywna dystrybucja ciepła i chłodu</w:t>
      </w:r>
      <w:r>
        <w:t>, w</w:t>
      </w:r>
      <w:r w:rsidR="003A7C3D">
        <w:t> </w:t>
      </w:r>
      <w:r>
        <w:t>tym zastosowanie sieci niskotemperaturowych</w:t>
      </w:r>
      <w:r w:rsidR="003A7C3D">
        <w:t>;</w:t>
      </w:r>
      <w:r w:rsidR="009B1643">
        <w:t xml:space="preserve"> efektywne dostawy energii elektrycznej;</w:t>
      </w:r>
    </w:p>
    <w:p w14:paraId="75FE9B10" w14:textId="11A75F2C" w:rsidR="003A7C3D" w:rsidRDefault="003A7C3D" w:rsidP="00612B5D">
      <w:pPr>
        <w:pStyle w:val="Akapitzlist"/>
        <w:numPr>
          <w:ilvl w:val="0"/>
          <w:numId w:val="49"/>
        </w:numPr>
        <w:spacing w:after="80"/>
        <w:ind w:left="426" w:hanging="357"/>
        <w:contextualSpacing w:val="0"/>
      </w:pPr>
      <w:r w:rsidRPr="009B1643">
        <w:rPr>
          <w:b/>
          <w:bCs/>
        </w:rPr>
        <w:t>Sektor publiczny</w:t>
      </w:r>
      <w:r>
        <w:t xml:space="preserve"> </w:t>
      </w:r>
      <w:r>
        <w:softHyphen/>
        <w:t>–</w:t>
      </w:r>
      <w:r w:rsidR="00286B9A">
        <w:t xml:space="preserve"> </w:t>
      </w:r>
      <w:r w:rsidR="00286B9A" w:rsidRPr="00836D17">
        <w:t>uwzględniani</w:t>
      </w:r>
      <w:r w:rsidR="00286B9A">
        <w:t>e</w:t>
      </w:r>
      <w:r w:rsidR="00286B9A" w:rsidRPr="00836D17">
        <w:t xml:space="preserve"> kryterium efektywności energetycznej w zamówieniach publicznych</w:t>
      </w:r>
      <w:r w:rsidR="00286B9A">
        <w:t xml:space="preserve">; </w:t>
      </w:r>
      <w:r w:rsidR="00854D8B">
        <w:t>realizacja zadań związanych z wzorcową</w:t>
      </w:r>
      <w:r w:rsidR="009371F9">
        <w:t xml:space="preserve"> </w:t>
      </w:r>
      <w:r w:rsidR="00854D8B">
        <w:t xml:space="preserve">rola sektora w zakresie efektywności energetycznej oraz realizacja modernizacji przy wykorzystaniu </w:t>
      </w:r>
      <w:r w:rsidR="00286B9A">
        <w:t xml:space="preserve">umów </w:t>
      </w:r>
      <w:r w:rsidR="00286B9A" w:rsidRPr="00836D17">
        <w:t>o poprawę efektywności energetycznej</w:t>
      </w:r>
      <w:r w:rsidR="00854D8B">
        <w:t>.</w:t>
      </w:r>
    </w:p>
    <w:p w14:paraId="3F45002D" w14:textId="22E75FBD" w:rsidR="00B71078" w:rsidRDefault="00B71078" w:rsidP="00B71078">
      <w:pPr>
        <w:spacing w:before="360" w:after="80"/>
      </w:pPr>
      <w:r>
        <w:t xml:space="preserve">Istotną rolę w podwyższaniu efektywności finalnego zużycia energii ma </w:t>
      </w:r>
      <w:r w:rsidR="002E446E">
        <w:t xml:space="preserve">także takie projektowanie urządzeń/produktów, które pozwoli na możliwie najniższe wykorzystanie energii w całym cyklu życia. </w:t>
      </w:r>
      <w:r w:rsidR="00420E2A">
        <w:t xml:space="preserve">Standardy </w:t>
      </w:r>
      <w:r w:rsidR="00420E2A" w:rsidRPr="00420E2A">
        <w:rPr>
          <w:b/>
          <w:bCs/>
        </w:rPr>
        <w:t>e</w:t>
      </w:r>
      <w:r w:rsidR="002E446E" w:rsidRPr="002E446E">
        <w:rPr>
          <w:b/>
          <w:bCs/>
        </w:rPr>
        <w:t>koprojektowani</w:t>
      </w:r>
      <w:r w:rsidR="00420E2A">
        <w:rPr>
          <w:b/>
          <w:bCs/>
        </w:rPr>
        <w:t>a</w:t>
      </w:r>
      <w:r w:rsidR="002E446E">
        <w:t xml:space="preserve"> (ang. </w:t>
      </w:r>
      <w:r w:rsidR="002E446E" w:rsidRPr="002E446E">
        <w:rPr>
          <w:i/>
          <w:iCs/>
        </w:rPr>
        <w:t>ecodesign</w:t>
      </w:r>
      <w:r w:rsidR="002E446E">
        <w:t xml:space="preserve">) </w:t>
      </w:r>
      <w:r w:rsidR="00420E2A">
        <w:t xml:space="preserve">dla różnych grup produktów </w:t>
      </w:r>
      <w:r w:rsidR="00C569F5">
        <w:t xml:space="preserve">(m.in. zmywarek, odkurzaczy, kotłów, ogrzewaczy, oświetlenia) </w:t>
      </w:r>
      <w:r w:rsidR="00420E2A">
        <w:t>określane są w ramach rozporządzeń wykonawczych Komisji Europejskiej</w:t>
      </w:r>
      <w:r w:rsidR="00C569F5">
        <w:rPr>
          <w:rStyle w:val="Odwoanieprzypisudolnego"/>
        </w:rPr>
        <w:footnoteReference w:id="63"/>
      </w:r>
      <w:r w:rsidR="00C569F5">
        <w:t xml:space="preserve">. Komplementarnym rozwiązaniem jest </w:t>
      </w:r>
      <w:r w:rsidR="00DA67E6" w:rsidRPr="00DA67E6">
        <w:rPr>
          <w:b/>
          <w:bCs/>
        </w:rPr>
        <w:t>etykietowanie energetyczne</w:t>
      </w:r>
      <w:r w:rsidR="00DA67E6">
        <w:t>, czyli obowiązek zapewniania konsumentom informacji o zużyciu energii i klasie energetycznej urządzeń RTV/AGD</w:t>
      </w:r>
      <w:r w:rsidR="00DA67E6">
        <w:rPr>
          <w:rStyle w:val="Odwoanieprzypisudolnego"/>
        </w:rPr>
        <w:footnoteReference w:id="64"/>
      </w:r>
      <w:r w:rsidR="00DA67E6">
        <w:t>.</w:t>
      </w:r>
      <w:r w:rsidR="000D1D08">
        <w:t xml:space="preserve"> Ekoprojektowanie jest również niezwykle ważne w kontekście pozyskiwaniem surowców krytycznych – kluczowych dla transformacji klimatyczno-energetycznej – gdyż zużyty </w:t>
      </w:r>
      <w:r w:rsidR="00EC47D6">
        <w:t>sprzęt</w:t>
      </w:r>
      <w:r w:rsidR="000D1D08">
        <w:t xml:space="preserve"> powinien być </w:t>
      </w:r>
      <w:r w:rsidR="00EC47D6">
        <w:t>poddawany</w:t>
      </w:r>
      <w:r w:rsidR="000D1D08">
        <w:t xml:space="preserve"> recy</w:t>
      </w:r>
      <w:r w:rsidR="00EC47D6">
        <w:t>k</w:t>
      </w:r>
      <w:r w:rsidR="000D1D08">
        <w:t>lin</w:t>
      </w:r>
      <w:r w:rsidR="00EC47D6">
        <w:t>g</w:t>
      </w:r>
      <w:r w:rsidR="000D1D08">
        <w:t xml:space="preserve">owi, </w:t>
      </w:r>
      <w:r w:rsidR="00EC47D6">
        <w:t>umożliwiając</w:t>
      </w:r>
      <w:r w:rsidR="000D1D08">
        <w:t xml:space="preserve"> na odzysk cennych surowców.   </w:t>
      </w:r>
    </w:p>
    <w:p w14:paraId="1690C65C" w14:textId="41D98AA5" w:rsidR="00E34F09" w:rsidRDefault="00DA67E6" w:rsidP="00B71078">
      <w:pPr>
        <w:spacing w:before="360" w:after="80"/>
      </w:pPr>
      <w:r>
        <w:t>E</w:t>
      </w:r>
      <w:r w:rsidR="00E34F09">
        <w:t>dukacja i dostęp do wiedzy z zakresu efektywności energetycznej</w:t>
      </w:r>
      <w:r>
        <w:t xml:space="preserve"> to niezwykle ważny element polityki w zakresie poprawy efektywności energetycznej</w:t>
      </w:r>
      <w:r w:rsidR="00B71078">
        <w:t>.</w:t>
      </w:r>
      <w:r w:rsidR="00E34F09">
        <w:t xml:space="preserve"> Platformę informacyjną pełni strona internetowa Ministerstwa Klimatu i Środowiska (</w:t>
      </w:r>
      <w:hyperlink r:id="rId70" w:history="1">
        <w:r w:rsidR="00E34F09" w:rsidRPr="00527F4F">
          <w:rPr>
            <w:rStyle w:val="Hipercze"/>
          </w:rPr>
          <w:t>link</w:t>
        </w:r>
      </w:hyperlink>
      <w:r w:rsidR="00E34F09">
        <w:t>). Ponadto sz</w:t>
      </w:r>
      <w:r w:rsidR="009B1643">
        <w:t>czegółowego zakre</w:t>
      </w:r>
      <w:r w:rsidR="005A2689">
        <w:t>s</w:t>
      </w:r>
      <w:r w:rsidR="009B1643">
        <w:t>u</w:t>
      </w:r>
      <w:r w:rsidR="00E34F09">
        <w:t xml:space="preserve"> informacji dostarczają okresowo aktualizowane obwieszczenia </w:t>
      </w:r>
      <w:r w:rsidR="00854D8B">
        <w:t xml:space="preserve">i rozporządzenia </w:t>
      </w:r>
      <w:r w:rsidR="00E34F09" w:rsidRPr="005A2689">
        <w:t>Ministra Klimatu i Środowiska</w:t>
      </w:r>
      <w:r w:rsidR="00E34F09">
        <w:t>:</w:t>
      </w:r>
    </w:p>
    <w:p w14:paraId="0EB1B897" w14:textId="4BF37078" w:rsidR="00E34F09" w:rsidRDefault="00E34F09" w:rsidP="00612B5D">
      <w:pPr>
        <w:pStyle w:val="Akapitzlist"/>
        <w:numPr>
          <w:ilvl w:val="0"/>
          <w:numId w:val="51"/>
        </w:numPr>
        <w:ind w:left="426"/>
      </w:pPr>
      <w:r w:rsidRPr="00E34F09">
        <w:lastRenderedPageBreak/>
        <w:t>w sprawie szczegółowego wykazu przedsięwzięć służących poprawie efektywności energetycznej</w:t>
      </w:r>
      <w:r>
        <w:t xml:space="preserve"> (aktualne z dnia 30 listopada 2021 r.),</w:t>
      </w:r>
    </w:p>
    <w:p w14:paraId="48619B1D" w14:textId="77777777" w:rsidR="00854D8B" w:rsidRDefault="009B1643" w:rsidP="00612B5D">
      <w:pPr>
        <w:pStyle w:val="Akapitzlist"/>
        <w:numPr>
          <w:ilvl w:val="0"/>
          <w:numId w:val="51"/>
        </w:numPr>
        <w:ind w:left="426"/>
      </w:pPr>
      <w:r w:rsidRPr="009B1643">
        <w:t>w sprawie wykazu programów i instrumentów finansowych dotyczących przedsięwzięć służących poprawie efektywności energetycznej u odbiorcy końcowego</w:t>
      </w:r>
      <w:r w:rsidR="00E34F09">
        <w:t xml:space="preserve"> (aktualne </w:t>
      </w:r>
      <w:r w:rsidR="00E34F09" w:rsidRPr="009B1643">
        <w:t>z dnia 23 listopada 2023 r.</w:t>
      </w:r>
      <w:r w:rsidR="00E34F09">
        <w:t>)</w:t>
      </w:r>
      <w:r w:rsidR="00854D8B">
        <w:t>,</w:t>
      </w:r>
    </w:p>
    <w:p w14:paraId="224BC48F" w14:textId="14F37631" w:rsidR="00854D8B" w:rsidRDefault="00854D8B" w:rsidP="00612B5D">
      <w:pPr>
        <w:pStyle w:val="Akapitzlist"/>
        <w:numPr>
          <w:ilvl w:val="0"/>
          <w:numId w:val="51"/>
        </w:numPr>
        <w:ind w:left="426"/>
      </w:pPr>
      <w:r>
        <w:t>w sprawie aktów delegowanych</w:t>
      </w:r>
      <w:r w:rsidR="00EC1DCF">
        <w:t xml:space="preserve"> dotyczących </w:t>
      </w:r>
      <w:r w:rsidR="00EC1DCF" w:rsidRPr="00EC1DCF">
        <w:t>etykiet efektywno</w:t>
      </w:r>
      <w:r w:rsidR="00EC1DCF" w:rsidRPr="00EC1DCF">
        <w:rPr>
          <w:rFonts w:hint="eastAsia"/>
        </w:rPr>
        <w:t>ś</w:t>
      </w:r>
      <w:r w:rsidR="00EC1DCF" w:rsidRPr="00EC1DCF">
        <w:t>ci energetycznej</w:t>
      </w:r>
      <w:r>
        <w:t xml:space="preserve"> (aktualne z dnia 14</w:t>
      </w:r>
      <w:r w:rsidR="00EC1DCF">
        <w:t> </w:t>
      </w:r>
      <w:r>
        <w:t>lutego 2024 r.),</w:t>
      </w:r>
    </w:p>
    <w:p w14:paraId="3B602743" w14:textId="27E37DB8" w:rsidR="009B1643" w:rsidRDefault="00854D8B" w:rsidP="00612B5D">
      <w:pPr>
        <w:pStyle w:val="Akapitzlist"/>
        <w:numPr>
          <w:ilvl w:val="0"/>
          <w:numId w:val="51"/>
        </w:numPr>
        <w:ind w:left="426"/>
      </w:pPr>
      <w:r>
        <w:t>w sprawie procedur zgodności wyrobów wykorzystujących energię oraz ich oznakowania (aktualne z</w:t>
      </w:r>
      <w:r w:rsidR="00EC1DCF">
        <w:t> </w:t>
      </w:r>
      <w:r w:rsidR="009371F9">
        <w:t xml:space="preserve">dnia </w:t>
      </w:r>
      <w:r>
        <w:t>15 lutego 2024 r.)</w:t>
      </w:r>
      <w:r w:rsidR="00E34F09">
        <w:t>.</w:t>
      </w:r>
    </w:p>
    <w:p w14:paraId="2DD38B99" w14:textId="16B86567" w:rsidR="00810DCA" w:rsidRDefault="009602AC" w:rsidP="00810DCA">
      <w:pPr>
        <w:pStyle w:val="Nagwek4"/>
        <w:rPr>
          <w:color w:val="4472C4" w:themeColor="accent1"/>
        </w:rPr>
      </w:pPr>
      <w:bookmarkStart w:id="126" w:name="_Toc159598306"/>
      <w:bookmarkStart w:id="127" w:name="_Ref174024705"/>
      <w:bookmarkStart w:id="128" w:name="_Toc179536957"/>
      <w:r>
        <w:rPr>
          <w:color w:val="4472C4" w:themeColor="accent1"/>
        </w:rPr>
        <w:t>Generowanie o</w:t>
      </w:r>
      <w:r w:rsidR="00810DCA">
        <w:rPr>
          <w:color w:val="4472C4" w:themeColor="accent1"/>
        </w:rPr>
        <w:t xml:space="preserve">szczędności </w:t>
      </w:r>
      <w:r w:rsidR="00335AF1">
        <w:rPr>
          <w:color w:val="4472C4" w:themeColor="accent1"/>
        </w:rPr>
        <w:t xml:space="preserve">finalnego </w:t>
      </w:r>
      <w:r w:rsidR="00810DCA">
        <w:rPr>
          <w:color w:val="4472C4" w:themeColor="accent1"/>
        </w:rPr>
        <w:t>zużycia energii</w:t>
      </w:r>
      <w:bookmarkEnd w:id="126"/>
      <w:bookmarkEnd w:id="127"/>
      <w:bookmarkEnd w:id="128"/>
    </w:p>
    <w:tbl>
      <w:tblPr>
        <w:tblStyle w:val="Tabela-Siatka"/>
        <w:tblpPr w:leftFromText="141" w:rightFromText="141" w:vertAnchor="text" w:horzAnchor="margin" w:tblpXSpec="right" w:tblpY="87"/>
        <w:tblW w:w="0" w:type="auto"/>
        <w:tblLook w:val="04A0" w:firstRow="1" w:lastRow="0" w:firstColumn="1" w:lastColumn="0" w:noHBand="0" w:noVBand="1"/>
      </w:tblPr>
      <w:tblGrid>
        <w:gridCol w:w="1139"/>
        <w:gridCol w:w="1139"/>
      </w:tblGrid>
      <w:tr w:rsidR="001B7693" w:rsidRPr="00F142BC" w14:paraId="0A405E48" w14:textId="77777777" w:rsidTr="001B7693">
        <w:trPr>
          <w:trHeight w:val="271"/>
        </w:trPr>
        <w:tc>
          <w:tcPr>
            <w:tcW w:w="2278" w:type="dxa"/>
            <w:gridSpan w:val="2"/>
            <w:vAlign w:val="center"/>
          </w:tcPr>
          <w:p w14:paraId="475E5DC6" w14:textId="491622DE" w:rsidR="001B7693" w:rsidRPr="001B7693" w:rsidRDefault="001B7693" w:rsidP="001B7693">
            <w:pPr>
              <w:spacing w:before="60" w:after="60"/>
              <w:jc w:val="center"/>
              <w:rPr>
                <w:b/>
                <w:bCs/>
                <w:sz w:val="18"/>
                <w:szCs w:val="20"/>
              </w:rPr>
            </w:pPr>
            <w:r>
              <w:rPr>
                <w:b/>
                <w:bCs/>
                <w:sz w:val="18"/>
                <w:szCs w:val="18"/>
              </w:rPr>
              <w:t>K</w:t>
            </w:r>
            <w:r w:rsidRPr="001B7693">
              <w:rPr>
                <w:b/>
                <w:bCs/>
                <w:sz w:val="18"/>
                <w:szCs w:val="18"/>
              </w:rPr>
              <w:t>ońcowe zużycie energii – FEC2020–2030</w:t>
            </w:r>
          </w:p>
        </w:tc>
      </w:tr>
      <w:tr w:rsidR="001B7693" w:rsidRPr="00F142BC" w14:paraId="1A0C876C" w14:textId="77777777" w:rsidTr="001B7693">
        <w:trPr>
          <w:trHeight w:val="271"/>
        </w:trPr>
        <w:tc>
          <w:tcPr>
            <w:tcW w:w="1139" w:type="dxa"/>
            <w:vAlign w:val="center"/>
          </w:tcPr>
          <w:p w14:paraId="626DB277" w14:textId="3C3975D1" w:rsidR="001B7693" w:rsidRPr="001B7693" w:rsidRDefault="009B599C" w:rsidP="001B7693">
            <w:pPr>
              <w:jc w:val="center"/>
              <w:rPr>
                <w:b/>
                <w:bCs/>
                <w:color w:val="2F5496" w:themeColor="accent1" w:themeShade="BF"/>
                <w:sz w:val="18"/>
                <w:szCs w:val="18"/>
              </w:rPr>
            </w:pPr>
            <w:r>
              <w:rPr>
                <w:b/>
                <w:bCs/>
                <w:color w:val="2F5496" w:themeColor="accent1" w:themeShade="BF"/>
                <w:sz w:val="18"/>
                <w:szCs w:val="18"/>
              </w:rPr>
              <w:t>r</w:t>
            </w:r>
            <w:r w:rsidR="001B7693" w:rsidRPr="001B7693">
              <w:rPr>
                <w:b/>
                <w:bCs/>
                <w:color w:val="2F5496" w:themeColor="accent1" w:themeShade="BF"/>
                <w:sz w:val="18"/>
                <w:szCs w:val="18"/>
              </w:rPr>
              <w:t>ok</w:t>
            </w:r>
          </w:p>
        </w:tc>
        <w:tc>
          <w:tcPr>
            <w:tcW w:w="1139" w:type="dxa"/>
            <w:vAlign w:val="center"/>
          </w:tcPr>
          <w:p w14:paraId="256475EB" w14:textId="77777777" w:rsidR="001B7693" w:rsidRPr="001B7693" w:rsidRDefault="001B7693" w:rsidP="001B7693">
            <w:pPr>
              <w:jc w:val="center"/>
              <w:rPr>
                <w:b/>
                <w:bCs/>
                <w:color w:val="2F5496" w:themeColor="accent1" w:themeShade="BF"/>
                <w:sz w:val="18"/>
                <w:szCs w:val="18"/>
              </w:rPr>
            </w:pPr>
            <w:r w:rsidRPr="001B7693">
              <w:rPr>
                <w:b/>
                <w:bCs/>
                <w:color w:val="2F5496" w:themeColor="accent1" w:themeShade="BF"/>
                <w:sz w:val="18"/>
                <w:szCs w:val="18"/>
              </w:rPr>
              <w:t>ktoe</w:t>
            </w:r>
          </w:p>
        </w:tc>
      </w:tr>
      <w:tr w:rsidR="005A2689" w:rsidRPr="00F142BC" w14:paraId="5A3B2988" w14:textId="77777777" w:rsidTr="001B7693">
        <w:trPr>
          <w:trHeight w:val="271"/>
        </w:trPr>
        <w:tc>
          <w:tcPr>
            <w:tcW w:w="1139" w:type="dxa"/>
            <w:vAlign w:val="center"/>
          </w:tcPr>
          <w:p w14:paraId="6DB405E9" w14:textId="1721C6BF" w:rsidR="005A2689" w:rsidRPr="00F142BC" w:rsidRDefault="005A2689" w:rsidP="005A2689">
            <w:pPr>
              <w:jc w:val="center"/>
              <w:rPr>
                <w:sz w:val="18"/>
                <w:szCs w:val="20"/>
              </w:rPr>
            </w:pPr>
            <w:r w:rsidRPr="00F142BC">
              <w:rPr>
                <w:sz w:val="18"/>
                <w:szCs w:val="20"/>
              </w:rPr>
              <w:t>2016</w:t>
            </w:r>
          </w:p>
        </w:tc>
        <w:tc>
          <w:tcPr>
            <w:tcW w:w="1139" w:type="dxa"/>
            <w:vAlign w:val="center"/>
          </w:tcPr>
          <w:p w14:paraId="2E53A705" w14:textId="05D23B3F" w:rsidR="005A2689" w:rsidRPr="00F142BC" w:rsidRDefault="005A2689" w:rsidP="005A2689">
            <w:pPr>
              <w:jc w:val="center"/>
              <w:rPr>
                <w:sz w:val="18"/>
                <w:szCs w:val="20"/>
              </w:rPr>
            </w:pPr>
            <w:r>
              <w:rPr>
                <w:sz w:val="18"/>
                <w:szCs w:val="20"/>
              </w:rPr>
              <w:t>65 663</w:t>
            </w:r>
          </w:p>
        </w:tc>
      </w:tr>
      <w:tr w:rsidR="005A2689" w:rsidRPr="00F142BC" w14:paraId="3387697B" w14:textId="77777777" w:rsidTr="001B7693">
        <w:trPr>
          <w:trHeight w:val="284"/>
        </w:trPr>
        <w:tc>
          <w:tcPr>
            <w:tcW w:w="1139" w:type="dxa"/>
            <w:vAlign w:val="center"/>
          </w:tcPr>
          <w:p w14:paraId="2AB52185" w14:textId="6D3799A7" w:rsidR="005A2689" w:rsidRPr="00F142BC" w:rsidRDefault="005A2689" w:rsidP="005A2689">
            <w:pPr>
              <w:jc w:val="center"/>
              <w:rPr>
                <w:sz w:val="18"/>
                <w:szCs w:val="20"/>
              </w:rPr>
            </w:pPr>
            <w:r w:rsidRPr="00F142BC">
              <w:rPr>
                <w:sz w:val="18"/>
                <w:szCs w:val="20"/>
              </w:rPr>
              <w:t>2017</w:t>
            </w:r>
          </w:p>
        </w:tc>
        <w:tc>
          <w:tcPr>
            <w:tcW w:w="1139" w:type="dxa"/>
            <w:vAlign w:val="center"/>
          </w:tcPr>
          <w:p w14:paraId="01D3C05D" w14:textId="090E9D99" w:rsidR="005A2689" w:rsidRPr="00F142BC" w:rsidRDefault="005A2689" w:rsidP="005A2689">
            <w:pPr>
              <w:jc w:val="center"/>
              <w:rPr>
                <w:sz w:val="18"/>
                <w:szCs w:val="20"/>
              </w:rPr>
            </w:pPr>
            <w:r>
              <w:rPr>
                <w:sz w:val="18"/>
                <w:szCs w:val="20"/>
              </w:rPr>
              <w:t>69 908</w:t>
            </w:r>
          </w:p>
        </w:tc>
      </w:tr>
      <w:tr w:rsidR="005A2689" w:rsidRPr="00F142BC" w14:paraId="26C7FD1D" w14:textId="77777777" w:rsidTr="001B7693">
        <w:trPr>
          <w:trHeight w:val="271"/>
        </w:trPr>
        <w:tc>
          <w:tcPr>
            <w:tcW w:w="1139" w:type="dxa"/>
            <w:vAlign w:val="center"/>
          </w:tcPr>
          <w:p w14:paraId="6CE66847" w14:textId="10C0A8DD" w:rsidR="005A2689" w:rsidRPr="00F142BC" w:rsidRDefault="005A2689" w:rsidP="005A2689">
            <w:pPr>
              <w:jc w:val="center"/>
              <w:rPr>
                <w:sz w:val="18"/>
                <w:szCs w:val="20"/>
              </w:rPr>
            </w:pPr>
            <w:r w:rsidRPr="00F142BC">
              <w:rPr>
                <w:sz w:val="18"/>
                <w:szCs w:val="20"/>
              </w:rPr>
              <w:t>2018</w:t>
            </w:r>
          </w:p>
        </w:tc>
        <w:tc>
          <w:tcPr>
            <w:tcW w:w="1139" w:type="dxa"/>
            <w:vAlign w:val="center"/>
          </w:tcPr>
          <w:p w14:paraId="5E3B5F68" w14:textId="4A1AD531" w:rsidR="005A2689" w:rsidRPr="00F142BC" w:rsidRDefault="005A2689" w:rsidP="005A2689">
            <w:pPr>
              <w:jc w:val="center"/>
              <w:rPr>
                <w:sz w:val="18"/>
                <w:szCs w:val="20"/>
              </w:rPr>
            </w:pPr>
            <w:r w:rsidRPr="00F142BC">
              <w:rPr>
                <w:sz w:val="18"/>
                <w:szCs w:val="20"/>
              </w:rPr>
              <w:t>7</w:t>
            </w:r>
            <w:r>
              <w:rPr>
                <w:sz w:val="18"/>
                <w:szCs w:val="20"/>
              </w:rPr>
              <w:t>3</w:t>
            </w:r>
            <w:r w:rsidRPr="00F142BC">
              <w:rPr>
                <w:sz w:val="18"/>
                <w:szCs w:val="20"/>
              </w:rPr>
              <w:t xml:space="preserve"> 87</w:t>
            </w:r>
            <w:r>
              <w:rPr>
                <w:sz w:val="18"/>
                <w:szCs w:val="20"/>
              </w:rPr>
              <w:t>5</w:t>
            </w:r>
          </w:p>
        </w:tc>
      </w:tr>
      <w:tr w:rsidR="005A2689" w:rsidRPr="00F142BC" w14:paraId="086A0D19" w14:textId="77777777" w:rsidTr="001B7693">
        <w:trPr>
          <w:trHeight w:val="410"/>
        </w:trPr>
        <w:tc>
          <w:tcPr>
            <w:tcW w:w="1139" w:type="dxa"/>
            <w:vAlign w:val="center"/>
          </w:tcPr>
          <w:p w14:paraId="6145FD54" w14:textId="57659D21" w:rsidR="005A2689" w:rsidRPr="00F142BC" w:rsidRDefault="00EB5A04" w:rsidP="005A2689">
            <w:pPr>
              <w:jc w:val="center"/>
              <w:rPr>
                <w:b/>
                <w:bCs/>
                <w:sz w:val="18"/>
                <w:szCs w:val="20"/>
              </w:rPr>
            </w:pPr>
            <w:r>
              <w:rPr>
                <w:b/>
                <w:bCs/>
                <w:sz w:val="18"/>
                <w:szCs w:val="20"/>
              </w:rPr>
              <w:t>ś</w:t>
            </w:r>
            <w:r w:rsidR="005A2689" w:rsidRPr="00F142BC">
              <w:rPr>
                <w:b/>
                <w:bCs/>
                <w:sz w:val="18"/>
                <w:szCs w:val="20"/>
              </w:rPr>
              <w:t>rednia</w:t>
            </w:r>
          </w:p>
        </w:tc>
        <w:tc>
          <w:tcPr>
            <w:tcW w:w="1139" w:type="dxa"/>
            <w:vAlign w:val="center"/>
          </w:tcPr>
          <w:p w14:paraId="55145768" w14:textId="586442A6" w:rsidR="005A2689" w:rsidRPr="00F142BC" w:rsidRDefault="005A2689" w:rsidP="005A2689">
            <w:pPr>
              <w:jc w:val="center"/>
              <w:rPr>
                <w:b/>
                <w:bCs/>
                <w:sz w:val="18"/>
                <w:szCs w:val="20"/>
              </w:rPr>
            </w:pPr>
            <w:r>
              <w:rPr>
                <w:b/>
                <w:bCs/>
                <w:sz w:val="18"/>
                <w:szCs w:val="20"/>
              </w:rPr>
              <w:t>69 815</w:t>
            </w:r>
          </w:p>
        </w:tc>
      </w:tr>
    </w:tbl>
    <w:p w14:paraId="1EF0FD5F" w14:textId="53425933" w:rsidR="00335AF1" w:rsidRDefault="00DA2210" w:rsidP="0066371E">
      <w:pPr>
        <w:spacing w:after="0"/>
      </w:pPr>
      <w:r>
        <w:t>P</w:t>
      </w:r>
      <w:r w:rsidR="009602AC" w:rsidRPr="00B914A7">
        <w:t xml:space="preserve">aństwa członkowskie UE </w:t>
      </w:r>
      <w:r>
        <w:t>są zobowiązane</w:t>
      </w:r>
      <w:r>
        <w:rPr>
          <w:rStyle w:val="Odwoanieprzypisudolnego"/>
        </w:rPr>
        <w:footnoteReference w:id="65"/>
      </w:r>
      <w:r>
        <w:t xml:space="preserve"> </w:t>
      </w:r>
      <w:r w:rsidR="009602AC" w:rsidRPr="00B914A7">
        <w:t xml:space="preserve">do </w:t>
      </w:r>
      <w:r w:rsidR="009602AC" w:rsidRPr="006C4467">
        <w:rPr>
          <w:b/>
          <w:bCs/>
        </w:rPr>
        <w:t>osiągania co roku nowych oszczędności</w:t>
      </w:r>
      <w:r w:rsidR="006C4467">
        <w:rPr>
          <w:b/>
          <w:bCs/>
        </w:rPr>
        <w:t xml:space="preserve"> finalnego zużycia energii</w:t>
      </w:r>
      <w:r w:rsidR="006C4467">
        <w:t>, obliczanych jako odsetek uśrednionego</w:t>
      </w:r>
      <w:r w:rsidR="003142A0">
        <w:t xml:space="preserve"> rzeczywistego</w:t>
      </w:r>
      <w:r w:rsidR="006C4467">
        <w:t xml:space="preserve"> zużycia </w:t>
      </w:r>
      <w:r w:rsidR="003142A0">
        <w:t xml:space="preserve">energii </w:t>
      </w:r>
      <w:r w:rsidR="006C4467">
        <w:t>w latach 2016–2018 (tj.</w:t>
      </w:r>
      <w:r w:rsidR="001B7693">
        <w:t> </w:t>
      </w:r>
      <w:r w:rsidR="00E616AC">
        <w:t xml:space="preserve">(70 793 ktoe w odniesieniu do okresu 2021-2023 i </w:t>
      </w:r>
      <w:r w:rsidR="005A2689">
        <w:t>69 815</w:t>
      </w:r>
      <w:r w:rsidR="006C4467">
        <w:t xml:space="preserve"> ktoe</w:t>
      </w:r>
      <w:r w:rsidR="00E616AC">
        <w:t xml:space="preserve"> dla lat 2024–2030</w:t>
      </w:r>
      <w:r w:rsidR="006C4467">
        <w:t>)</w:t>
      </w:r>
      <w:r w:rsidR="001B7693">
        <w:rPr>
          <w:rStyle w:val="Odwoanieprzypisudolnego"/>
        </w:rPr>
        <w:footnoteReference w:id="66"/>
      </w:r>
      <w:r w:rsidR="009602AC" w:rsidRPr="00B914A7">
        <w:t>:</w:t>
      </w:r>
    </w:p>
    <w:p w14:paraId="0356AC93" w14:textId="6BC72415" w:rsidR="006C4467" w:rsidRDefault="006C4467" w:rsidP="001D4BA5">
      <w:pPr>
        <w:pStyle w:val="Akapitzlist"/>
        <w:numPr>
          <w:ilvl w:val="0"/>
          <w:numId w:val="26"/>
        </w:numPr>
        <w:ind w:left="426"/>
      </w:pPr>
      <w:r>
        <w:t>2021–2023 – 0,8% rocznego finalnego zużycia energii</w:t>
      </w:r>
      <w:r w:rsidR="001B7693">
        <w:t xml:space="preserve"> </w:t>
      </w:r>
      <w:r>
        <w:t>(tj. 566 ktoe);</w:t>
      </w:r>
    </w:p>
    <w:p w14:paraId="4A6B7D41" w14:textId="7EDDA42F" w:rsidR="00335AF1" w:rsidRDefault="005B442A" w:rsidP="001D4BA5">
      <w:pPr>
        <w:pStyle w:val="Akapitzlist"/>
        <w:numPr>
          <w:ilvl w:val="0"/>
          <w:numId w:val="26"/>
        </w:numPr>
        <w:ind w:left="426"/>
      </w:pPr>
      <w:r>
        <w:t xml:space="preserve">2024–2025 – 1,3% rocznego </w:t>
      </w:r>
      <w:r w:rsidR="00335AF1">
        <w:t xml:space="preserve">finalnego </w:t>
      </w:r>
      <w:r>
        <w:t>zużycia energii</w:t>
      </w:r>
      <w:r w:rsidR="006C4467">
        <w:t xml:space="preserve"> (tj. 920 ktoe)</w:t>
      </w:r>
      <w:r>
        <w:t>;</w:t>
      </w:r>
    </w:p>
    <w:p w14:paraId="3D5A8B18" w14:textId="3364DE9B" w:rsidR="00335AF1" w:rsidRDefault="005B442A" w:rsidP="001D4BA5">
      <w:pPr>
        <w:pStyle w:val="Akapitzlist"/>
        <w:numPr>
          <w:ilvl w:val="0"/>
          <w:numId w:val="26"/>
        </w:numPr>
        <w:ind w:left="426"/>
      </w:pPr>
      <w:r>
        <w:t>2026–2027 – 1,5</w:t>
      </w:r>
      <w:r w:rsidR="009602AC">
        <w:t>%</w:t>
      </w:r>
      <w:r>
        <w:t xml:space="preserve"> rocznego </w:t>
      </w:r>
      <w:r w:rsidR="00335AF1">
        <w:t xml:space="preserve">finalnego </w:t>
      </w:r>
      <w:r>
        <w:t>zużycia energii</w:t>
      </w:r>
      <w:r w:rsidR="006C4467">
        <w:t xml:space="preserve"> (tj. 10</w:t>
      </w:r>
      <w:r w:rsidR="00356B54">
        <w:t>47</w:t>
      </w:r>
      <w:r w:rsidR="006C4467">
        <w:t xml:space="preserve"> ktoe)</w:t>
      </w:r>
      <w:r>
        <w:t>;</w:t>
      </w:r>
    </w:p>
    <w:p w14:paraId="66E584B1" w14:textId="3FBCBB6C" w:rsidR="005B442A" w:rsidRDefault="005B442A" w:rsidP="001D4BA5">
      <w:pPr>
        <w:pStyle w:val="Akapitzlist"/>
        <w:numPr>
          <w:ilvl w:val="0"/>
          <w:numId w:val="26"/>
        </w:numPr>
        <w:ind w:left="426"/>
      </w:pPr>
      <w:r>
        <w:t xml:space="preserve">2028–2030 – 1,9% rocznego </w:t>
      </w:r>
      <w:r w:rsidR="00335AF1">
        <w:t xml:space="preserve">finalnego </w:t>
      </w:r>
      <w:r>
        <w:t>zużycia energii</w:t>
      </w:r>
      <w:r w:rsidR="006C4467">
        <w:t xml:space="preserve"> (tj. 13</w:t>
      </w:r>
      <w:r w:rsidR="00356B54">
        <w:t>26</w:t>
      </w:r>
      <w:r w:rsidR="006C4467">
        <w:t xml:space="preserve"> ktoe).</w:t>
      </w:r>
    </w:p>
    <w:p w14:paraId="57A8ECF8" w14:textId="42E70CCB" w:rsidR="00256C2B" w:rsidRDefault="003142A0" w:rsidP="00EC099E">
      <w:pPr>
        <w:spacing w:before="480"/>
      </w:pPr>
      <w:r>
        <w:t xml:space="preserve">Wysokość </w:t>
      </w:r>
      <w:r w:rsidRPr="00EC099E">
        <w:t>całkowitych skumulowanych oszczędności finalnego zużycia energii do osiągnięcia w okresie 2021-2030</w:t>
      </w:r>
      <w:r w:rsidR="00EC099E" w:rsidRPr="00EC099E">
        <w:t xml:space="preserve"> została wyliczona na poziomie 44 870 ktoe. </w:t>
      </w:r>
      <w:r w:rsidR="00070AAD" w:rsidRPr="00EC099E">
        <w:t>Zgodnie z art. 8 ust. 1 akapit 2 dyrektywy EED państwa członkowskie decydują w jaki sposób rozłożyć</w:t>
      </w:r>
      <w:r w:rsidR="00070AAD" w:rsidRPr="00070AAD">
        <w:t xml:space="preserve"> obliczoną wielkość nowych oszczędności</w:t>
      </w:r>
      <w:r w:rsidR="00EC099E">
        <w:t xml:space="preserve"> </w:t>
      </w:r>
      <w:r w:rsidR="00070AAD" w:rsidRPr="00070AAD">
        <w:t>w</w:t>
      </w:r>
      <w:r w:rsidR="00EC099E">
        <w:t> </w:t>
      </w:r>
      <w:r w:rsidR="00070AAD" w:rsidRPr="00070AAD">
        <w:t xml:space="preserve">każdym z wyżej wskazanych okresów pod warunkiem, że na koniec okresu objętego obowiązkiem osiągnięte zostaną wymagane całkowite skumulowane oszczędności końcowego zużycia energii. </w:t>
      </w:r>
    </w:p>
    <w:p w14:paraId="0BE0DC71" w14:textId="466EF347" w:rsidR="00070AAD" w:rsidRDefault="00F142BC" w:rsidP="00EC099E">
      <w:pPr>
        <w:pStyle w:val="Cele"/>
        <w:spacing w:before="240" w:after="120"/>
      </w:pPr>
      <w:r>
        <w:rPr>
          <w:rStyle w:val="rynqvb"/>
          <w:b/>
          <w:bCs/>
        </w:rPr>
        <w:t xml:space="preserve">Polska określa </w:t>
      </w:r>
      <w:r w:rsidR="00070AAD">
        <w:rPr>
          <w:rStyle w:val="rynqvb"/>
          <w:b/>
          <w:bCs/>
        </w:rPr>
        <w:t>ścieżk</w:t>
      </w:r>
      <w:r>
        <w:rPr>
          <w:rStyle w:val="rynqvb"/>
          <w:b/>
          <w:bCs/>
        </w:rPr>
        <w:t xml:space="preserve">ę dążenia do </w:t>
      </w:r>
      <w:r w:rsidR="00070AAD" w:rsidRPr="00E35197">
        <w:rPr>
          <w:rStyle w:val="rynqvb"/>
          <w:b/>
          <w:bCs/>
        </w:rPr>
        <w:t xml:space="preserve">osiągnięcia </w:t>
      </w:r>
      <w:r>
        <w:rPr>
          <w:rStyle w:val="rynqvb"/>
          <w:b/>
          <w:bCs/>
        </w:rPr>
        <w:t>w</w:t>
      </w:r>
      <w:r w:rsidR="00070AAD" w:rsidRPr="00E35197">
        <w:rPr>
          <w:rStyle w:val="rynqvb"/>
          <w:b/>
          <w:bCs/>
        </w:rPr>
        <w:t xml:space="preserve"> latach 202</w:t>
      </w:r>
      <w:r>
        <w:rPr>
          <w:rStyle w:val="rynqvb"/>
          <w:b/>
          <w:bCs/>
        </w:rPr>
        <w:t>1</w:t>
      </w:r>
      <w:r w:rsidR="00070AAD">
        <w:rPr>
          <w:rStyle w:val="rynqvb"/>
          <w:b/>
          <w:bCs/>
        </w:rPr>
        <w:t>–</w:t>
      </w:r>
      <w:r w:rsidR="00070AAD" w:rsidRPr="00E35197">
        <w:rPr>
          <w:rStyle w:val="rynqvb"/>
          <w:b/>
          <w:bCs/>
        </w:rPr>
        <w:t>2030</w:t>
      </w:r>
      <w:r>
        <w:rPr>
          <w:rStyle w:val="rynqvb"/>
          <w:b/>
          <w:bCs/>
        </w:rPr>
        <w:t xml:space="preserve"> na poziomie </w:t>
      </w:r>
      <w:r w:rsidR="00070AAD">
        <w:rPr>
          <w:rStyle w:val="rynqvb"/>
          <w:b/>
          <w:bCs/>
        </w:rPr>
        <w:t>44 </w:t>
      </w:r>
      <w:r w:rsidR="00527F4F">
        <w:rPr>
          <w:rStyle w:val="rynqvb"/>
          <w:b/>
          <w:bCs/>
        </w:rPr>
        <w:t>465</w:t>
      </w:r>
      <w:r w:rsidR="00070AAD">
        <w:rPr>
          <w:rStyle w:val="rynqvb"/>
          <w:b/>
          <w:bCs/>
        </w:rPr>
        <w:t xml:space="preserve"> ktoe</w:t>
      </w:r>
      <w:r>
        <w:rPr>
          <w:rStyle w:val="rynqvb"/>
          <w:b/>
          <w:bCs/>
        </w:rPr>
        <w:t>, według trajektorii w tabeli poniżej.</w:t>
      </w:r>
    </w:p>
    <w:tbl>
      <w:tblPr>
        <w:tblpPr w:leftFromText="141" w:rightFromText="141" w:vertAnchor="text" w:horzAnchor="margin" w:tblpY="19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37"/>
        <w:gridCol w:w="607"/>
        <w:gridCol w:w="604"/>
        <w:gridCol w:w="604"/>
        <w:gridCol w:w="604"/>
        <w:gridCol w:w="604"/>
        <w:gridCol w:w="604"/>
        <w:gridCol w:w="602"/>
        <w:gridCol w:w="602"/>
        <w:gridCol w:w="602"/>
        <w:gridCol w:w="604"/>
        <w:gridCol w:w="1688"/>
      </w:tblGrid>
      <w:tr w:rsidR="00F142BC" w:rsidRPr="00860A2E" w14:paraId="69522666" w14:textId="77777777" w:rsidTr="00F142BC">
        <w:trPr>
          <w:trHeight w:val="132"/>
        </w:trPr>
        <w:tc>
          <w:tcPr>
            <w:tcW w:w="1337" w:type="dxa"/>
            <w:shd w:val="clear" w:color="auto" w:fill="F2F2F2" w:themeFill="background1" w:themeFillShade="F2"/>
            <w:noWrap/>
            <w:vAlign w:val="center"/>
            <w:hideMark/>
          </w:tcPr>
          <w:p w14:paraId="3D2F6FF0" w14:textId="77777777" w:rsidR="00070AAD" w:rsidRPr="003142A0" w:rsidRDefault="00070AAD" w:rsidP="00627F55">
            <w:pPr>
              <w:spacing w:after="0"/>
              <w:jc w:val="center"/>
              <w:rPr>
                <w:b/>
                <w:bCs/>
                <w:color w:val="2F5496" w:themeColor="accent1" w:themeShade="BF"/>
                <w:szCs w:val="20"/>
                <w:lang w:eastAsia="pl-PL"/>
              </w:rPr>
            </w:pPr>
            <w:r w:rsidRPr="003142A0">
              <w:rPr>
                <w:b/>
                <w:bCs/>
                <w:color w:val="2F5496" w:themeColor="accent1" w:themeShade="BF"/>
                <w:sz w:val="18"/>
                <w:szCs w:val="18"/>
                <w:lang w:eastAsia="pl-PL"/>
              </w:rPr>
              <w:t>rok</w:t>
            </w:r>
          </w:p>
        </w:tc>
        <w:tc>
          <w:tcPr>
            <w:tcW w:w="607" w:type="dxa"/>
            <w:shd w:val="clear" w:color="auto" w:fill="F2F2F2" w:themeFill="background1" w:themeFillShade="F2"/>
            <w:noWrap/>
            <w:vAlign w:val="center"/>
            <w:hideMark/>
          </w:tcPr>
          <w:p w14:paraId="5FE628AC" w14:textId="77777777" w:rsidR="00070AAD" w:rsidRPr="003142A0" w:rsidRDefault="00070AAD" w:rsidP="00627F55">
            <w:pPr>
              <w:spacing w:after="0"/>
              <w:jc w:val="center"/>
              <w:rPr>
                <w:b/>
                <w:bCs/>
                <w:color w:val="2F5496" w:themeColor="accent1" w:themeShade="BF"/>
                <w:sz w:val="18"/>
                <w:szCs w:val="18"/>
                <w:lang w:eastAsia="pl-PL"/>
              </w:rPr>
            </w:pPr>
            <w:r w:rsidRPr="003142A0">
              <w:rPr>
                <w:b/>
                <w:bCs/>
                <w:color w:val="2F5496" w:themeColor="accent1" w:themeShade="BF"/>
                <w:sz w:val="18"/>
                <w:szCs w:val="18"/>
                <w:lang w:eastAsia="pl-PL"/>
              </w:rPr>
              <w:t>2021</w:t>
            </w:r>
          </w:p>
        </w:tc>
        <w:tc>
          <w:tcPr>
            <w:tcW w:w="604" w:type="dxa"/>
            <w:shd w:val="clear" w:color="auto" w:fill="F2F2F2" w:themeFill="background1" w:themeFillShade="F2"/>
            <w:noWrap/>
            <w:vAlign w:val="center"/>
            <w:hideMark/>
          </w:tcPr>
          <w:p w14:paraId="1BB32A33" w14:textId="77777777" w:rsidR="00070AAD" w:rsidRPr="003142A0" w:rsidRDefault="00070AAD" w:rsidP="00627F55">
            <w:pPr>
              <w:spacing w:after="0"/>
              <w:jc w:val="center"/>
              <w:rPr>
                <w:b/>
                <w:bCs/>
                <w:color w:val="2F5496" w:themeColor="accent1" w:themeShade="BF"/>
                <w:sz w:val="18"/>
                <w:szCs w:val="18"/>
                <w:lang w:eastAsia="pl-PL"/>
              </w:rPr>
            </w:pPr>
            <w:r w:rsidRPr="003142A0">
              <w:rPr>
                <w:b/>
                <w:bCs/>
                <w:color w:val="2F5496" w:themeColor="accent1" w:themeShade="BF"/>
                <w:sz w:val="18"/>
                <w:szCs w:val="18"/>
                <w:lang w:eastAsia="pl-PL"/>
              </w:rPr>
              <w:t>2022</w:t>
            </w:r>
          </w:p>
        </w:tc>
        <w:tc>
          <w:tcPr>
            <w:tcW w:w="604" w:type="dxa"/>
            <w:shd w:val="clear" w:color="auto" w:fill="F2F2F2" w:themeFill="background1" w:themeFillShade="F2"/>
            <w:noWrap/>
            <w:vAlign w:val="center"/>
            <w:hideMark/>
          </w:tcPr>
          <w:p w14:paraId="4366A697" w14:textId="77777777" w:rsidR="00070AAD" w:rsidRPr="003142A0" w:rsidRDefault="00070AAD" w:rsidP="00627F55">
            <w:pPr>
              <w:spacing w:after="0"/>
              <w:jc w:val="center"/>
              <w:rPr>
                <w:b/>
                <w:bCs/>
                <w:color w:val="2F5496" w:themeColor="accent1" w:themeShade="BF"/>
                <w:sz w:val="18"/>
                <w:szCs w:val="18"/>
                <w:lang w:eastAsia="pl-PL"/>
              </w:rPr>
            </w:pPr>
            <w:r w:rsidRPr="003142A0">
              <w:rPr>
                <w:b/>
                <w:bCs/>
                <w:color w:val="2F5496" w:themeColor="accent1" w:themeShade="BF"/>
                <w:sz w:val="18"/>
                <w:szCs w:val="18"/>
                <w:lang w:eastAsia="pl-PL"/>
              </w:rPr>
              <w:t>2023</w:t>
            </w:r>
          </w:p>
        </w:tc>
        <w:tc>
          <w:tcPr>
            <w:tcW w:w="604" w:type="dxa"/>
            <w:shd w:val="clear" w:color="auto" w:fill="F2F2F2" w:themeFill="background1" w:themeFillShade="F2"/>
            <w:noWrap/>
            <w:vAlign w:val="center"/>
            <w:hideMark/>
          </w:tcPr>
          <w:p w14:paraId="5411D44F" w14:textId="77777777" w:rsidR="00070AAD" w:rsidRPr="003142A0" w:rsidRDefault="00070AAD" w:rsidP="00627F55">
            <w:pPr>
              <w:spacing w:after="0"/>
              <w:jc w:val="center"/>
              <w:rPr>
                <w:b/>
                <w:bCs/>
                <w:color w:val="2F5496" w:themeColor="accent1" w:themeShade="BF"/>
                <w:sz w:val="18"/>
                <w:szCs w:val="18"/>
                <w:lang w:eastAsia="pl-PL"/>
              </w:rPr>
            </w:pPr>
            <w:r w:rsidRPr="003142A0">
              <w:rPr>
                <w:b/>
                <w:bCs/>
                <w:color w:val="2F5496" w:themeColor="accent1" w:themeShade="BF"/>
                <w:sz w:val="18"/>
                <w:szCs w:val="18"/>
                <w:lang w:eastAsia="pl-PL"/>
              </w:rPr>
              <w:t>2024</w:t>
            </w:r>
          </w:p>
        </w:tc>
        <w:tc>
          <w:tcPr>
            <w:tcW w:w="604" w:type="dxa"/>
            <w:shd w:val="clear" w:color="auto" w:fill="F2F2F2" w:themeFill="background1" w:themeFillShade="F2"/>
            <w:noWrap/>
            <w:vAlign w:val="center"/>
            <w:hideMark/>
          </w:tcPr>
          <w:p w14:paraId="4B0AB24A" w14:textId="77777777" w:rsidR="00070AAD" w:rsidRPr="003142A0" w:rsidRDefault="00070AAD" w:rsidP="00627F55">
            <w:pPr>
              <w:spacing w:after="0"/>
              <w:jc w:val="center"/>
              <w:rPr>
                <w:b/>
                <w:bCs/>
                <w:color w:val="2F5496" w:themeColor="accent1" w:themeShade="BF"/>
                <w:sz w:val="18"/>
                <w:szCs w:val="18"/>
                <w:lang w:eastAsia="pl-PL"/>
              </w:rPr>
            </w:pPr>
            <w:r w:rsidRPr="003142A0">
              <w:rPr>
                <w:b/>
                <w:bCs/>
                <w:color w:val="2F5496" w:themeColor="accent1" w:themeShade="BF"/>
                <w:sz w:val="18"/>
                <w:szCs w:val="18"/>
                <w:lang w:eastAsia="pl-PL"/>
              </w:rPr>
              <w:t>2025</w:t>
            </w:r>
          </w:p>
        </w:tc>
        <w:tc>
          <w:tcPr>
            <w:tcW w:w="604" w:type="dxa"/>
            <w:shd w:val="clear" w:color="auto" w:fill="F2F2F2" w:themeFill="background1" w:themeFillShade="F2"/>
            <w:noWrap/>
            <w:vAlign w:val="center"/>
            <w:hideMark/>
          </w:tcPr>
          <w:p w14:paraId="7466A7AE" w14:textId="77777777" w:rsidR="00070AAD" w:rsidRPr="003142A0" w:rsidRDefault="00070AAD" w:rsidP="00627F55">
            <w:pPr>
              <w:spacing w:after="0"/>
              <w:jc w:val="center"/>
              <w:rPr>
                <w:b/>
                <w:bCs/>
                <w:color w:val="2F5496" w:themeColor="accent1" w:themeShade="BF"/>
                <w:sz w:val="18"/>
                <w:szCs w:val="18"/>
                <w:lang w:eastAsia="pl-PL"/>
              </w:rPr>
            </w:pPr>
            <w:r w:rsidRPr="003142A0">
              <w:rPr>
                <w:b/>
                <w:bCs/>
                <w:color w:val="2F5496" w:themeColor="accent1" w:themeShade="BF"/>
                <w:sz w:val="18"/>
                <w:szCs w:val="18"/>
                <w:lang w:eastAsia="pl-PL"/>
              </w:rPr>
              <w:t>2026</w:t>
            </w:r>
          </w:p>
        </w:tc>
        <w:tc>
          <w:tcPr>
            <w:tcW w:w="602" w:type="dxa"/>
            <w:shd w:val="clear" w:color="auto" w:fill="F2F2F2" w:themeFill="background1" w:themeFillShade="F2"/>
            <w:vAlign w:val="center"/>
          </w:tcPr>
          <w:p w14:paraId="213BC682" w14:textId="77777777" w:rsidR="00070AAD" w:rsidRPr="003142A0" w:rsidRDefault="00070AAD" w:rsidP="00627F55">
            <w:pPr>
              <w:spacing w:after="0"/>
              <w:jc w:val="center"/>
              <w:rPr>
                <w:b/>
                <w:bCs/>
                <w:color w:val="2F5496" w:themeColor="accent1" w:themeShade="BF"/>
                <w:sz w:val="18"/>
                <w:szCs w:val="18"/>
                <w:lang w:eastAsia="pl-PL"/>
              </w:rPr>
            </w:pPr>
            <w:r w:rsidRPr="003142A0">
              <w:rPr>
                <w:b/>
                <w:bCs/>
                <w:color w:val="2F5496" w:themeColor="accent1" w:themeShade="BF"/>
                <w:sz w:val="18"/>
                <w:szCs w:val="18"/>
                <w:lang w:eastAsia="pl-PL"/>
              </w:rPr>
              <w:t>2027</w:t>
            </w:r>
          </w:p>
        </w:tc>
        <w:tc>
          <w:tcPr>
            <w:tcW w:w="602" w:type="dxa"/>
            <w:shd w:val="clear" w:color="auto" w:fill="F2F2F2" w:themeFill="background1" w:themeFillShade="F2"/>
            <w:vAlign w:val="center"/>
          </w:tcPr>
          <w:p w14:paraId="0D3B2C4A" w14:textId="77777777" w:rsidR="00070AAD" w:rsidRPr="003142A0" w:rsidRDefault="00070AAD" w:rsidP="00627F55">
            <w:pPr>
              <w:spacing w:after="0"/>
              <w:jc w:val="center"/>
              <w:rPr>
                <w:b/>
                <w:bCs/>
                <w:color w:val="2F5496" w:themeColor="accent1" w:themeShade="BF"/>
                <w:sz w:val="18"/>
                <w:szCs w:val="18"/>
                <w:lang w:eastAsia="pl-PL"/>
              </w:rPr>
            </w:pPr>
            <w:r w:rsidRPr="003142A0">
              <w:rPr>
                <w:b/>
                <w:bCs/>
                <w:color w:val="2F5496" w:themeColor="accent1" w:themeShade="BF"/>
                <w:sz w:val="18"/>
                <w:szCs w:val="18"/>
                <w:lang w:eastAsia="pl-PL"/>
              </w:rPr>
              <w:t>2028</w:t>
            </w:r>
          </w:p>
        </w:tc>
        <w:tc>
          <w:tcPr>
            <w:tcW w:w="602" w:type="dxa"/>
            <w:shd w:val="clear" w:color="auto" w:fill="F2F2F2" w:themeFill="background1" w:themeFillShade="F2"/>
            <w:vAlign w:val="center"/>
          </w:tcPr>
          <w:p w14:paraId="321EDC2A" w14:textId="77777777" w:rsidR="00070AAD" w:rsidRPr="003142A0" w:rsidRDefault="00070AAD" w:rsidP="00627F55">
            <w:pPr>
              <w:spacing w:after="0"/>
              <w:jc w:val="center"/>
              <w:rPr>
                <w:b/>
                <w:bCs/>
                <w:color w:val="2F5496" w:themeColor="accent1" w:themeShade="BF"/>
                <w:sz w:val="18"/>
                <w:szCs w:val="18"/>
                <w:lang w:eastAsia="pl-PL"/>
              </w:rPr>
            </w:pPr>
            <w:r w:rsidRPr="003142A0">
              <w:rPr>
                <w:b/>
                <w:bCs/>
                <w:color w:val="2F5496" w:themeColor="accent1" w:themeShade="BF"/>
                <w:sz w:val="18"/>
                <w:szCs w:val="18"/>
                <w:lang w:eastAsia="pl-PL"/>
              </w:rPr>
              <w:t>2029</w:t>
            </w:r>
          </w:p>
        </w:tc>
        <w:tc>
          <w:tcPr>
            <w:tcW w:w="604" w:type="dxa"/>
            <w:shd w:val="clear" w:color="auto" w:fill="F2F2F2" w:themeFill="background1" w:themeFillShade="F2"/>
            <w:noWrap/>
            <w:vAlign w:val="center"/>
            <w:hideMark/>
          </w:tcPr>
          <w:p w14:paraId="64F10375" w14:textId="77777777" w:rsidR="00070AAD" w:rsidRPr="003142A0" w:rsidRDefault="00070AAD" w:rsidP="00627F55">
            <w:pPr>
              <w:spacing w:after="0"/>
              <w:jc w:val="center"/>
              <w:rPr>
                <w:b/>
                <w:bCs/>
                <w:color w:val="2F5496" w:themeColor="accent1" w:themeShade="BF"/>
                <w:sz w:val="18"/>
                <w:szCs w:val="18"/>
                <w:lang w:eastAsia="pl-PL"/>
              </w:rPr>
            </w:pPr>
            <w:r w:rsidRPr="003142A0">
              <w:rPr>
                <w:b/>
                <w:bCs/>
                <w:color w:val="2F5496" w:themeColor="accent1" w:themeShade="BF"/>
                <w:sz w:val="18"/>
                <w:szCs w:val="18"/>
                <w:lang w:eastAsia="pl-PL"/>
              </w:rPr>
              <w:t>2030</w:t>
            </w:r>
          </w:p>
        </w:tc>
        <w:tc>
          <w:tcPr>
            <w:tcW w:w="1688" w:type="dxa"/>
            <w:shd w:val="clear" w:color="auto" w:fill="F2F2F2" w:themeFill="background1" w:themeFillShade="F2"/>
            <w:noWrap/>
            <w:vAlign w:val="center"/>
            <w:hideMark/>
          </w:tcPr>
          <w:p w14:paraId="0D1E954B" w14:textId="77777777" w:rsidR="00070AAD" w:rsidRPr="00EF584C" w:rsidRDefault="00070AAD" w:rsidP="00627F55">
            <w:pPr>
              <w:spacing w:after="0"/>
              <w:jc w:val="center"/>
              <w:rPr>
                <w:color w:val="000000"/>
                <w:szCs w:val="20"/>
                <w:lang w:eastAsia="pl-PL"/>
              </w:rPr>
            </w:pPr>
          </w:p>
        </w:tc>
      </w:tr>
      <w:tr w:rsidR="00356B54" w:rsidRPr="00860A2E" w14:paraId="711F405F" w14:textId="77777777" w:rsidTr="00F142BC">
        <w:trPr>
          <w:trHeight w:val="343"/>
        </w:trPr>
        <w:tc>
          <w:tcPr>
            <w:tcW w:w="1337" w:type="dxa"/>
            <w:vMerge w:val="restart"/>
            <w:shd w:val="clear" w:color="auto" w:fill="F2F2F2" w:themeFill="background1" w:themeFillShade="F2"/>
            <w:vAlign w:val="center"/>
            <w:hideMark/>
          </w:tcPr>
          <w:p w14:paraId="0F981430" w14:textId="77777777" w:rsidR="00356B54" w:rsidRPr="003142A0" w:rsidRDefault="00356B54" w:rsidP="00356B54">
            <w:pPr>
              <w:spacing w:after="0"/>
              <w:jc w:val="center"/>
              <w:rPr>
                <w:color w:val="000000"/>
                <w:sz w:val="18"/>
                <w:szCs w:val="18"/>
                <w:lang w:eastAsia="pl-PL"/>
              </w:rPr>
            </w:pPr>
            <w:r>
              <w:rPr>
                <w:color w:val="000000"/>
                <w:sz w:val="18"/>
                <w:szCs w:val="18"/>
                <w:lang w:eastAsia="pl-PL"/>
              </w:rPr>
              <w:t>O</w:t>
            </w:r>
            <w:r w:rsidRPr="003142A0">
              <w:rPr>
                <w:color w:val="000000"/>
                <w:sz w:val="18"/>
                <w:szCs w:val="18"/>
                <w:lang w:eastAsia="pl-PL"/>
              </w:rPr>
              <w:t>szczędności końcowego zużycia energii (ktoe)</w:t>
            </w:r>
          </w:p>
        </w:tc>
        <w:tc>
          <w:tcPr>
            <w:tcW w:w="607" w:type="dxa"/>
            <w:shd w:val="clear" w:color="auto" w:fill="F2F2F2" w:themeFill="background1" w:themeFillShade="F2"/>
            <w:noWrap/>
            <w:vAlign w:val="center"/>
          </w:tcPr>
          <w:p w14:paraId="584B35F3" w14:textId="77777777" w:rsidR="00356B54" w:rsidRPr="00070AAD" w:rsidRDefault="00356B54" w:rsidP="00356B54">
            <w:pPr>
              <w:spacing w:after="0"/>
              <w:jc w:val="center"/>
              <w:rPr>
                <w:color w:val="000000"/>
                <w:sz w:val="18"/>
                <w:szCs w:val="18"/>
                <w:lang w:eastAsia="pl-PL"/>
              </w:rPr>
            </w:pPr>
          </w:p>
        </w:tc>
        <w:tc>
          <w:tcPr>
            <w:tcW w:w="604" w:type="dxa"/>
            <w:shd w:val="clear" w:color="auto" w:fill="F2F2F2" w:themeFill="background1" w:themeFillShade="F2"/>
            <w:noWrap/>
            <w:vAlign w:val="center"/>
          </w:tcPr>
          <w:p w14:paraId="5861942D" w14:textId="77777777" w:rsidR="00356B54" w:rsidRPr="00070AAD" w:rsidRDefault="00356B54" w:rsidP="00356B54">
            <w:pPr>
              <w:spacing w:after="0"/>
              <w:jc w:val="center"/>
              <w:rPr>
                <w:color w:val="000000"/>
                <w:sz w:val="18"/>
                <w:szCs w:val="18"/>
                <w:lang w:eastAsia="pl-PL"/>
              </w:rPr>
            </w:pPr>
          </w:p>
        </w:tc>
        <w:tc>
          <w:tcPr>
            <w:tcW w:w="604" w:type="dxa"/>
            <w:shd w:val="clear" w:color="auto" w:fill="F2F2F2" w:themeFill="background1" w:themeFillShade="F2"/>
            <w:noWrap/>
            <w:vAlign w:val="center"/>
          </w:tcPr>
          <w:p w14:paraId="327E6794" w14:textId="77777777" w:rsidR="00356B54" w:rsidRPr="00070AAD" w:rsidRDefault="00356B54" w:rsidP="00356B54">
            <w:pPr>
              <w:spacing w:after="0"/>
              <w:jc w:val="center"/>
              <w:rPr>
                <w:color w:val="000000"/>
                <w:sz w:val="18"/>
                <w:szCs w:val="18"/>
                <w:lang w:eastAsia="pl-PL"/>
              </w:rPr>
            </w:pPr>
          </w:p>
        </w:tc>
        <w:tc>
          <w:tcPr>
            <w:tcW w:w="604" w:type="dxa"/>
            <w:shd w:val="clear" w:color="auto" w:fill="F2F2F2" w:themeFill="background1" w:themeFillShade="F2"/>
            <w:noWrap/>
            <w:vAlign w:val="center"/>
          </w:tcPr>
          <w:p w14:paraId="36585B74" w14:textId="77777777" w:rsidR="00356B54" w:rsidRPr="00070AAD" w:rsidRDefault="00356B54" w:rsidP="00356B54">
            <w:pPr>
              <w:spacing w:after="0"/>
              <w:jc w:val="center"/>
              <w:rPr>
                <w:color w:val="000000"/>
                <w:sz w:val="18"/>
                <w:szCs w:val="18"/>
                <w:lang w:eastAsia="pl-PL"/>
              </w:rPr>
            </w:pPr>
          </w:p>
        </w:tc>
        <w:tc>
          <w:tcPr>
            <w:tcW w:w="604" w:type="dxa"/>
            <w:shd w:val="clear" w:color="auto" w:fill="F2F2F2" w:themeFill="background1" w:themeFillShade="F2"/>
            <w:noWrap/>
            <w:vAlign w:val="center"/>
          </w:tcPr>
          <w:p w14:paraId="76B93DF0" w14:textId="77777777" w:rsidR="00356B54" w:rsidRPr="00070AAD" w:rsidRDefault="00356B54" w:rsidP="00356B54">
            <w:pPr>
              <w:spacing w:after="0"/>
              <w:jc w:val="center"/>
              <w:rPr>
                <w:color w:val="000000"/>
                <w:sz w:val="18"/>
                <w:szCs w:val="18"/>
                <w:lang w:eastAsia="pl-PL"/>
              </w:rPr>
            </w:pPr>
          </w:p>
        </w:tc>
        <w:tc>
          <w:tcPr>
            <w:tcW w:w="604" w:type="dxa"/>
            <w:shd w:val="clear" w:color="auto" w:fill="F2F2F2" w:themeFill="background1" w:themeFillShade="F2"/>
            <w:noWrap/>
            <w:vAlign w:val="center"/>
          </w:tcPr>
          <w:p w14:paraId="3B8A275C" w14:textId="77777777" w:rsidR="00356B54" w:rsidRPr="00070AAD" w:rsidRDefault="00356B54" w:rsidP="00356B54">
            <w:pPr>
              <w:spacing w:after="0"/>
              <w:jc w:val="center"/>
              <w:rPr>
                <w:color w:val="000000"/>
                <w:sz w:val="18"/>
                <w:szCs w:val="18"/>
                <w:lang w:eastAsia="pl-PL"/>
              </w:rPr>
            </w:pPr>
          </w:p>
        </w:tc>
        <w:tc>
          <w:tcPr>
            <w:tcW w:w="602" w:type="dxa"/>
            <w:shd w:val="clear" w:color="auto" w:fill="F2F2F2" w:themeFill="background1" w:themeFillShade="F2"/>
            <w:vAlign w:val="center"/>
          </w:tcPr>
          <w:p w14:paraId="3E14C1F9" w14:textId="77777777" w:rsidR="00356B54" w:rsidRPr="00070AAD" w:rsidRDefault="00356B54" w:rsidP="00356B54">
            <w:pPr>
              <w:spacing w:after="0"/>
              <w:jc w:val="center"/>
              <w:rPr>
                <w:color w:val="000000"/>
                <w:sz w:val="18"/>
                <w:szCs w:val="18"/>
                <w:lang w:eastAsia="pl-PL"/>
              </w:rPr>
            </w:pPr>
          </w:p>
        </w:tc>
        <w:tc>
          <w:tcPr>
            <w:tcW w:w="602" w:type="dxa"/>
            <w:shd w:val="clear" w:color="auto" w:fill="F2F2F2" w:themeFill="background1" w:themeFillShade="F2"/>
            <w:vAlign w:val="center"/>
          </w:tcPr>
          <w:p w14:paraId="3D624739" w14:textId="77777777" w:rsidR="00356B54" w:rsidRPr="00070AAD" w:rsidRDefault="00356B54" w:rsidP="00356B54">
            <w:pPr>
              <w:spacing w:after="0"/>
              <w:jc w:val="center"/>
              <w:rPr>
                <w:color w:val="000000"/>
                <w:sz w:val="18"/>
                <w:szCs w:val="18"/>
                <w:lang w:eastAsia="pl-PL"/>
              </w:rPr>
            </w:pPr>
          </w:p>
        </w:tc>
        <w:tc>
          <w:tcPr>
            <w:tcW w:w="602" w:type="dxa"/>
            <w:shd w:val="clear" w:color="auto" w:fill="F2F2F2" w:themeFill="background1" w:themeFillShade="F2"/>
            <w:vAlign w:val="center"/>
          </w:tcPr>
          <w:p w14:paraId="7E532068" w14:textId="77777777" w:rsidR="00356B54" w:rsidRPr="00070AAD" w:rsidRDefault="00356B54" w:rsidP="00356B54">
            <w:pPr>
              <w:spacing w:after="0"/>
              <w:jc w:val="center"/>
              <w:rPr>
                <w:color w:val="000000"/>
                <w:sz w:val="18"/>
                <w:szCs w:val="18"/>
                <w:lang w:eastAsia="pl-PL"/>
              </w:rPr>
            </w:pPr>
          </w:p>
        </w:tc>
        <w:tc>
          <w:tcPr>
            <w:tcW w:w="604" w:type="dxa"/>
            <w:shd w:val="clear" w:color="auto" w:fill="F2F2F2" w:themeFill="background1" w:themeFillShade="F2"/>
            <w:noWrap/>
            <w:vAlign w:val="center"/>
          </w:tcPr>
          <w:p w14:paraId="560F39A7" w14:textId="07D6EECD" w:rsidR="00356B54" w:rsidRPr="00070AAD" w:rsidRDefault="00356B54" w:rsidP="00356B54">
            <w:pPr>
              <w:spacing w:after="0"/>
              <w:jc w:val="center"/>
              <w:rPr>
                <w:color w:val="000000"/>
                <w:sz w:val="18"/>
                <w:szCs w:val="18"/>
                <w:lang w:eastAsia="pl-PL"/>
              </w:rPr>
            </w:pPr>
            <w:r w:rsidRPr="00070AAD">
              <w:rPr>
                <w:rFonts w:cs="Calibri"/>
                <w:color w:val="000000"/>
                <w:sz w:val="18"/>
                <w:szCs w:val="18"/>
              </w:rPr>
              <w:t>1255</w:t>
            </w:r>
          </w:p>
        </w:tc>
        <w:tc>
          <w:tcPr>
            <w:tcW w:w="1688" w:type="dxa"/>
            <w:vMerge w:val="restart"/>
            <w:shd w:val="clear" w:color="auto" w:fill="F2F2F2" w:themeFill="background1" w:themeFillShade="F2"/>
            <w:vAlign w:val="center"/>
            <w:hideMark/>
          </w:tcPr>
          <w:p w14:paraId="2123AFE2" w14:textId="77777777" w:rsidR="00356B54" w:rsidRPr="003142A0" w:rsidRDefault="00356B54" w:rsidP="00356B54">
            <w:pPr>
              <w:spacing w:after="0"/>
              <w:jc w:val="center"/>
              <w:rPr>
                <w:color w:val="000000"/>
                <w:sz w:val="18"/>
                <w:szCs w:val="18"/>
                <w:lang w:eastAsia="pl-PL"/>
              </w:rPr>
            </w:pPr>
            <w:r w:rsidRPr="003142A0">
              <w:rPr>
                <w:color w:val="000000"/>
                <w:sz w:val="18"/>
                <w:szCs w:val="18"/>
                <w:lang w:eastAsia="pl-PL"/>
              </w:rPr>
              <w:t xml:space="preserve"> Całkowite skumulowane oszczędności końcowego zużycia energii (do 2030 r.)</w:t>
            </w:r>
          </w:p>
        </w:tc>
      </w:tr>
      <w:tr w:rsidR="00356B54" w:rsidRPr="00860A2E" w14:paraId="4110A147" w14:textId="77777777" w:rsidTr="00F142BC">
        <w:trPr>
          <w:trHeight w:val="343"/>
        </w:trPr>
        <w:tc>
          <w:tcPr>
            <w:tcW w:w="1337" w:type="dxa"/>
            <w:vMerge/>
            <w:shd w:val="clear" w:color="auto" w:fill="F2F2F2" w:themeFill="background1" w:themeFillShade="F2"/>
            <w:vAlign w:val="center"/>
            <w:hideMark/>
          </w:tcPr>
          <w:p w14:paraId="56F58375" w14:textId="77777777" w:rsidR="00356B54" w:rsidRPr="003142A0" w:rsidRDefault="00356B54" w:rsidP="00356B54">
            <w:pPr>
              <w:spacing w:after="0"/>
              <w:jc w:val="center"/>
              <w:rPr>
                <w:color w:val="000000"/>
                <w:sz w:val="18"/>
                <w:szCs w:val="18"/>
                <w:lang w:eastAsia="pl-PL"/>
              </w:rPr>
            </w:pPr>
          </w:p>
        </w:tc>
        <w:tc>
          <w:tcPr>
            <w:tcW w:w="607" w:type="dxa"/>
            <w:shd w:val="clear" w:color="auto" w:fill="F2F2F2" w:themeFill="background1" w:themeFillShade="F2"/>
            <w:noWrap/>
            <w:vAlign w:val="center"/>
          </w:tcPr>
          <w:p w14:paraId="23C0FE97" w14:textId="77777777" w:rsidR="00356B54" w:rsidRPr="00070AAD" w:rsidRDefault="00356B54" w:rsidP="00356B54">
            <w:pPr>
              <w:spacing w:after="0"/>
              <w:jc w:val="center"/>
              <w:rPr>
                <w:color w:val="000000"/>
                <w:sz w:val="18"/>
                <w:szCs w:val="18"/>
                <w:lang w:eastAsia="pl-PL"/>
              </w:rPr>
            </w:pPr>
          </w:p>
        </w:tc>
        <w:tc>
          <w:tcPr>
            <w:tcW w:w="604" w:type="dxa"/>
            <w:shd w:val="clear" w:color="auto" w:fill="F2F2F2" w:themeFill="background1" w:themeFillShade="F2"/>
            <w:noWrap/>
            <w:vAlign w:val="center"/>
          </w:tcPr>
          <w:p w14:paraId="3DF3AD97" w14:textId="77777777" w:rsidR="00356B54" w:rsidRPr="00070AAD" w:rsidRDefault="00356B54" w:rsidP="00356B54">
            <w:pPr>
              <w:spacing w:after="0"/>
              <w:jc w:val="center"/>
              <w:rPr>
                <w:color w:val="000000"/>
                <w:sz w:val="18"/>
                <w:szCs w:val="18"/>
                <w:lang w:eastAsia="pl-PL"/>
              </w:rPr>
            </w:pPr>
          </w:p>
        </w:tc>
        <w:tc>
          <w:tcPr>
            <w:tcW w:w="604" w:type="dxa"/>
            <w:shd w:val="clear" w:color="auto" w:fill="F2F2F2" w:themeFill="background1" w:themeFillShade="F2"/>
            <w:noWrap/>
            <w:vAlign w:val="center"/>
          </w:tcPr>
          <w:p w14:paraId="48573F50" w14:textId="77777777" w:rsidR="00356B54" w:rsidRPr="00070AAD" w:rsidRDefault="00356B54" w:rsidP="00356B54">
            <w:pPr>
              <w:spacing w:after="0"/>
              <w:jc w:val="center"/>
              <w:rPr>
                <w:color w:val="000000"/>
                <w:sz w:val="18"/>
                <w:szCs w:val="18"/>
                <w:lang w:eastAsia="pl-PL"/>
              </w:rPr>
            </w:pPr>
          </w:p>
        </w:tc>
        <w:tc>
          <w:tcPr>
            <w:tcW w:w="604" w:type="dxa"/>
            <w:shd w:val="clear" w:color="auto" w:fill="F2F2F2" w:themeFill="background1" w:themeFillShade="F2"/>
            <w:noWrap/>
            <w:vAlign w:val="center"/>
          </w:tcPr>
          <w:p w14:paraId="5624C883" w14:textId="77777777" w:rsidR="00356B54" w:rsidRPr="00070AAD" w:rsidRDefault="00356B54" w:rsidP="00356B54">
            <w:pPr>
              <w:spacing w:after="0"/>
              <w:jc w:val="center"/>
              <w:rPr>
                <w:color w:val="000000"/>
                <w:sz w:val="18"/>
                <w:szCs w:val="18"/>
                <w:lang w:eastAsia="pl-PL"/>
              </w:rPr>
            </w:pPr>
          </w:p>
        </w:tc>
        <w:tc>
          <w:tcPr>
            <w:tcW w:w="604" w:type="dxa"/>
            <w:shd w:val="clear" w:color="auto" w:fill="F2F2F2" w:themeFill="background1" w:themeFillShade="F2"/>
            <w:noWrap/>
            <w:vAlign w:val="center"/>
          </w:tcPr>
          <w:p w14:paraId="5C2D2B5F" w14:textId="77777777" w:rsidR="00356B54" w:rsidRPr="00070AAD" w:rsidRDefault="00356B54" w:rsidP="00356B54">
            <w:pPr>
              <w:spacing w:after="0"/>
              <w:jc w:val="center"/>
              <w:rPr>
                <w:color w:val="000000"/>
                <w:sz w:val="18"/>
                <w:szCs w:val="18"/>
                <w:lang w:eastAsia="pl-PL"/>
              </w:rPr>
            </w:pPr>
          </w:p>
        </w:tc>
        <w:tc>
          <w:tcPr>
            <w:tcW w:w="604" w:type="dxa"/>
            <w:shd w:val="clear" w:color="auto" w:fill="F2F2F2" w:themeFill="background1" w:themeFillShade="F2"/>
            <w:noWrap/>
            <w:vAlign w:val="center"/>
          </w:tcPr>
          <w:p w14:paraId="4BE5B6ED" w14:textId="77777777" w:rsidR="00356B54" w:rsidRPr="00070AAD" w:rsidRDefault="00356B54" w:rsidP="00356B54">
            <w:pPr>
              <w:spacing w:after="0"/>
              <w:jc w:val="center"/>
              <w:rPr>
                <w:color w:val="000000"/>
                <w:sz w:val="18"/>
                <w:szCs w:val="18"/>
                <w:lang w:eastAsia="pl-PL"/>
              </w:rPr>
            </w:pPr>
          </w:p>
        </w:tc>
        <w:tc>
          <w:tcPr>
            <w:tcW w:w="602" w:type="dxa"/>
            <w:shd w:val="clear" w:color="auto" w:fill="F2F2F2" w:themeFill="background1" w:themeFillShade="F2"/>
            <w:vAlign w:val="center"/>
          </w:tcPr>
          <w:p w14:paraId="46A76CA7" w14:textId="77777777" w:rsidR="00356B54" w:rsidRPr="00070AAD" w:rsidRDefault="00356B54" w:rsidP="00356B54">
            <w:pPr>
              <w:spacing w:after="0"/>
              <w:jc w:val="center"/>
              <w:rPr>
                <w:color w:val="000000"/>
                <w:sz w:val="18"/>
                <w:szCs w:val="18"/>
                <w:lang w:eastAsia="pl-PL"/>
              </w:rPr>
            </w:pPr>
          </w:p>
        </w:tc>
        <w:tc>
          <w:tcPr>
            <w:tcW w:w="602" w:type="dxa"/>
            <w:shd w:val="clear" w:color="auto" w:fill="F2F2F2" w:themeFill="background1" w:themeFillShade="F2"/>
            <w:vAlign w:val="center"/>
          </w:tcPr>
          <w:p w14:paraId="2000123E" w14:textId="77777777" w:rsidR="00356B54" w:rsidRPr="00070AAD" w:rsidRDefault="00356B54" w:rsidP="00356B54">
            <w:pPr>
              <w:spacing w:after="0"/>
              <w:jc w:val="center"/>
              <w:rPr>
                <w:color w:val="000000"/>
                <w:sz w:val="18"/>
                <w:szCs w:val="18"/>
                <w:lang w:eastAsia="pl-PL"/>
              </w:rPr>
            </w:pPr>
          </w:p>
        </w:tc>
        <w:tc>
          <w:tcPr>
            <w:tcW w:w="602" w:type="dxa"/>
            <w:shd w:val="clear" w:color="auto" w:fill="F2F2F2" w:themeFill="background1" w:themeFillShade="F2"/>
            <w:vAlign w:val="center"/>
          </w:tcPr>
          <w:p w14:paraId="3DC8AA9E" w14:textId="5B93E41F" w:rsidR="00356B54" w:rsidRPr="00070AAD" w:rsidRDefault="00356B54" w:rsidP="00356B54">
            <w:pPr>
              <w:spacing w:after="0"/>
              <w:jc w:val="center"/>
              <w:rPr>
                <w:color w:val="000000"/>
                <w:sz w:val="18"/>
                <w:szCs w:val="18"/>
                <w:lang w:eastAsia="pl-PL"/>
              </w:rPr>
            </w:pPr>
            <w:r w:rsidRPr="00070AAD">
              <w:rPr>
                <w:rFonts w:cs="Calibri"/>
                <w:color w:val="000000"/>
                <w:sz w:val="18"/>
                <w:szCs w:val="18"/>
              </w:rPr>
              <w:t>1225</w:t>
            </w:r>
          </w:p>
        </w:tc>
        <w:tc>
          <w:tcPr>
            <w:tcW w:w="604" w:type="dxa"/>
            <w:shd w:val="clear" w:color="auto" w:fill="F2F2F2" w:themeFill="background1" w:themeFillShade="F2"/>
            <w:noWrap/>
            <w:vAlign w:val="center"/>
          </w:tcPr>
          <w:p w14:paraId="56463DEC" w14:textId="53A35533" w:rsidR="00356B54" w:rsidRPr="00070AAD" w:rsidRDefault="00356B54" w:rsidP="00356B54">
            <w:pPr>
              <w:spacing w:after="0"/>
              <w:jc w:val="center"/>
              <w:rPr>
                <w:color w:val="000000"/>
                <w:sz w:val="18"/>
                <w:szCs w:val="18"/>
                <w:lang w:eastAsia="pl-PL"/>
              </w:rPr>
            </w:pPr>
            <w:r w:rsidRPr="00070AAD">
              <w:rPr>
                <w:rFonts w:cs="Calibri"/>
                <w:color w:val="000000"/>
                <w:sz w:val="18"/>
                <w:szCs w:val="18"/>
              </w:rPr>
              <w:t>1225</w:t>
            </w:r>
          </w:p>
        </w:tc>
        <w:tc>
          <w:tcPr>
            <w:tcW w:w="1688" w:type="dxa"/>
            <w:vMerge/>
            <w:shd w:val="clear" w:color="auto" w:fill="F2F2F2" w:themeFill="background1" w:themeFillShade="F2"/>
            <w:vAlign w:val="center"/>
            <w:hideMark/>
          </w:tcPr>
          <w:p w14:paraId="5FC26E5C" w14:textId="77777777" w:rsidR="00356B54" w:rsidRPr="00EF584C" w:rsidRDefault="00356B54" w:rsidP="00356B54">
            <w:pPr>
              <w:spacing w:after="0"/>
              <w:jc w:val="center"/>
              <w:rPr>
                <w:color w:val="000000"/>
                <w:szCs w:val="20"/>
                <w:lang w:eastAsia="pl-PL"/>
              </w:rPr>
            </w:pPr>
          </w:p>
        </w:tc>
      </w:tr>
      <w:tr w:rsidR="00356B54" w:rsidRPr="00860A2E" w14:paraId="1D321D13" w14:textId="77777777" w:rsidTr="00F142BC">
        <w:trPr>
          <w:trHeight w:val="343"/>
        </w:trPr>
        <w:tc>
          <w:tcPr>
            <w:tcW w:w="1337" w:type="dxa"/>
            <w:vMerge/>
            <w:shd w:val="clear" w:color="auto" w:fill="F2F2F2" w:themeFill="background1" w:themeFillShade="F2"/>
            <w:vAlign w:val="center"/>
            <w:hideMark/>
          </w:tcPr>
          <w:p w14:paraId="3608032D" w14:textId="77777777" w:rsidR="00356B54" w:rsidRPr="003142A0" w:rsidRDefault="00356B54" w:rsidP="00356B54">
            <w:pPr>
              <w:spacing w:after="0"/>
              <w:jc w:val="center"/>
              <w:rPr>
                <w:color w:val="000000"/>
                <w:sz w:val="18"/>
                <w:szCs w:val="18"/>
                <w:lang w:eastAsia="pl-PL"/>
              </w:rPr>
            </w:pPr>
          </w:p>
        </w:tc>
        <w:tc>
          <w:tcPr>
            <w:tcW w:w="607" w:type="dxa"/>
            <w:shd w:val="clear" w:color="auto" w:fill="F2F2F2" w:themeFill="background1" w:themeFillShade="F2"/>
            <w:noWrap/>
            <w:vAlign w:val="center"/>
          </w:tcPr>
          <w:p w14:paraId="6C6E9BC7" w14:textId="77777777" w:rsidR="00356B54" w:rsidRPr="00070AAD" w:rsidRDefault="00356B54" w:rsidP="00356B54">
            <w:pPr>
              <w:spacing w:after="0"/>
              <w:jc w:val="center"/>
              <w:rPr>
                <w:color w:val="000000"/>
                <w:sz w:val="18"/>
                <w:szCs w:val="18"/>
                <w:lang w:eastAsia="pl-PL"/>
              </w:rPr>
            </w:pPr>
          </w:p>
        </w:tc>
        <w:tc>
          <w:tcPr>
            <w:tcW w:w="604" w:type="dxa"/>
            <w:shd w:val="clear" w:color="auto" w:fill="F2F2F2" w:themeFill="background1" w:themeFillShade="F2"/>
            <w:noWrap/>
            <w:vAlign w:val="center"/>
          </w:tcPr>
          <w:p w14:paraId="6A5B179A" w14:textId="77777777" w:rsidR="00356B54" w:rsidRPr="00070AAD" w:rsidRDefault="00356B54" w:rsidP="00356B54">
            <w:pPr>
              <w:spacing w:after="0"/>
              <w:jc w:val="center"/>
              <w:rPr>
                <w:color w:val="000000"/>
                <w:sz w:val="18"/>
                <w:szCs w:val="18"/>
                <w:lang w:eastAsia="pl-PL"/>
              </w:rPr>
            </w:pPr>
          </w:p>
        </w:tc>
        <w:tc>
          <w:tcPr>
            <w:tcW w:w="604" w:type="dxa"/>
            <w:shd w:val="clear" w:color="auto" w:fill="F2F2F2" w:themeFill="background1" w:themeFillShade="F2"/>
            <w:noWrap/>
            <w:vAlign w:val="center"/>
          </w:tcPr>
          <w:p w14:paraId="43A567F4" w14:textId="77777777" w:rsidR="00356B54" w:rsidRPr="00070AAD" w:rsidRDefault="00356B54" w:rsidP="00356B54">
            <w:pPr>
              <w:spacing w:after="0"/>
              <w:jc w:val="center"/>
              <w:rPr>
                <w:color w:val="000000"/>
                <w:sz w:val="18"/>
                <w:szCs w:val="18"/>
                <w:lang w:eastAsia="pl-PL"/>
              </w:rPr>
            </w:pPr>
          </w:p>
        </w:tc>
        <w:tc>
          <w:tcPr>
            <w:tcW w:w="604" w:type="dxa"/>
            <w:shd w:val="clear" w:color="auto" w:fill="F2F2F2" w:themeFill="background1" w:themeFillShade="F2"/>
            <w:noWrap/>
            <w:vAlign w:val="center"/>
          </w:tcPr>
          <w:p w14:paraId="3B91E2E4" w14:textId="77777777" w:rsidR="00356B54" w:rsidRPr="00070AAD" w:rsidRDefault="00356B54" w:rsidP="00356B54">
            <w:pPr>
              <w:spacing w:after="0"/>
              <w:jc w:val="center"/>
              <w:rPr>
                <w:color w:val="000000"/>
                <w:sz w:val="18"/>
                <w:szCs w:val="18"/>
                <w:lang w:eastAsia="pl-PL"/>
              </w:rPr>
            </w:pPr>
          </w:p>
        </w:tc>
        <w:tc>
          <w:tcPr>
            <w:tcW w:w="604" w:type="dxa"/>
            <w:shd w:val="clear" w:color="auto" w:fill="F2F2F2" w:themeFill="background1" w:themeFillShade="F2"/>
            <w:noWrap/>
            <w:vAlign w:val="center"/>
          </w:tcPr>
          <w:p w14:paraId="66BA2A34" w14:textId="77777777" w:rsidR="00356B54" w:rsidRPr="00070AAD" w:rsidRDefault="00356B54" w:rsidP="00356B54">
            <w:pPr>
              <w:spacing w:after="0"/>
              <w:jc w:val="center"/>
              <w:rPr>
                <w:color w:val="000000"/>
                <w:sz w:val="18"/>
                <w:szCs w:val="18"/>
                <w:lang w:eastAsia="pl-PL"/>
              </w:rPr>
            </w:pPr>
          </w:p>
        </w:tc>
        <w:tc>
          <w:tcPr>
            <w:tcW w:w="604" w:type="dxa"/>
            <w:shd w:val="clear" w:color="auto" w:fill="F2F2F2" w:themeFill="background1" w:themeFillShade="F2"/>
            <w:noWrap/>
            <w:vAlign w:val="center"/>
          </w:tcPr>
          <w:p w14:paraId="0EF203E1" w14:textId="77777777" w:rsidR="00356B54" w:rsidRPr="00070AAD" w:rsidRDefault="00356B54" w:rsidP="00356B54">
            <w:pPr>
              <w:spacing w:after="0"/>
              <w:jc w:val="center"/>
              <w:rPr>
                <w:color w:val="000000"/>
                <w:sz w:val="18"/>
                <w:szCs w:val="18"/>
                <w:lang w:eastAsia="pl-PL"/>
              </w:rPr>
            </w:pPr>
          </w:p>
        </w:tc>
        <w:tc>
          <w:tcPr>
            <w:tcW w:w="602" w:type="dxa"/>
            <w:shd w:val="clear" w:color="auto" w:fill="F2F2F2" w:themeFill="background1" w:themeFillShade="F2"/>
            <w:vAlign w:val="center"/>
          </w:tcPr>
          <w:p w14:paraId="758B934B" w14:textId="77777777" w:rsidR="00356B54" w:rsidRPr="00070AAD" w:rsidRDefault="00356B54" w:rsidP="00356B54">
            <w:pPr>
              <w:spacing w:after="0"/>
              <w:jc w:val="center"/>
              <w:rPr>
                <w:color w:val="000000"/>
                <w:sz w:val="18"/>
                <w:szCs w:val="18"/>
                <w:lang w:eastAsia="pl-PL"/>
              </w:rPr>
            </w:pPr>
          </w:p>
        </w:tc>
        <w:tc>
          <w:tcPr>
            <w:tcW w:w="602" w:type="dxa"/>
            <w:shd w:val="clear" w:color="auto" w:fill="F2F2F2" w:themeFill="background1" w:themeFillShade="F2"/>
            <w:vAlign w:val="center"/>
          </w:tcPr>
          <w:p w14:paraId="069EAC2B" w14:textId="3C085A7F" w:rsidR="00356B54" w:rsidRPr="00070AAD" w:rsidRDefault="00356B54" w:rsidP="00356B54">
            <w:pPr>
              <w:spacing w:after="0"/>
              <w:jc w:val="center"/>
              <w:rPr>
                <w:color w:val="000000"/>
                <w:sz w:val="18"/>
                <w:szCs w:val="18"/>
                <w:lang w:eastAsia="pl-PL"/>
              </w:rPr>
            </w:pPr>
            <w:r w:rsidRPr="00070AAD">
              <w:rPr>
                <w:rFonts w:cs="Calibri"/>
                <w:color w:val="000000"/>
                <w:sz w:val="18"/>
                <w:szCs w:val="18"/>
              </w:rPr>
              <w:t>1205</w:t>
            </w:r>
          </w:p>
        </w:tc>
        <w:tc>
          <w:tcPr>
            <w:tcW w:w="602" w:type="dxa"/>
            <w:shd w:val="clear" w:color="auto" w:fill="F2F2F2" w:themeFill="background1" w:themeFillShade="F2"/>
            <w:vAlign w:val="center"/>
          </w:tcPr>
          <w:p w14:paraId="103FB448" w14:textId="2784933A" w:rsidR="00356B54" w:rsidRPr="00070AAD" w:rsidRDefault="00356B54" w:rsidP="00356B54">
            <w:pPr>
              <w:spacing w:after="0"/>
              <w:jc w:val="center"/>
              <w:rPr>
                <w:color w:val="000000"/>
                <w:sz w:val="18"/>
                <w:szCs w:val="18"/>
                <w:lang w:eastAsia="pl-PL"/>
              </w:rPr>
            </w:pPr>
            <w:r w:rsidRPr="00070AAD">
              <w:rPr>
                <w:rFonts w:cs="Calibri"/>
                <w:color w:val="000000"/>
                <w:sz w:val="18"/>
                <w:szCs w:val="18"/>
              </w:rPr>
              <w:t>1205</w:t>
            </w:r>
          </w:p>
        </w:tc>
        <w:tc>
          <w:tcPr>
            <w:tcW w:w="604" w:type="dxa"/>
            <w:shd w:val="clear" w:color="auto" w:fill="F2F2F2" w:themeFill="background1" w:themeFillShade="F2"/>
            <w:noWrap/>
            <w:vAlign w:val="center"/>
          </w:tcPr>
          <w:p w14:paraId="76F3ECA5" w14:textId="2410F0CA" w:rsidR="00356B54" w:rsidRPr="00070AAD" w:rsidRDefault="00356B54" w:rsidP="00356B54">
            <w:pPr>
              <w:spacing w:after="0"/>
              <w:jc w:val="center"/>
              <w:rPr>
                <w:color w:val="000000"/>
                <w:sz w:val="18"/>
                <w:szCs w:val="18"/>
                <w:lang w:eastAsia="pl-PL"/>
              </w:rPr>
            </w:pPr>
            <w:r w:rsidRPr="00070AAD">
              <w:rPr>
                <w:rFonts w:cs="Calibri"/>
                <w:color w:val="000000"/>
                <w:sz w:val="18"/>
                <w:szCs w:val="18"/>
              </w:rPr>
              <w:t>1205</w:t>
            </w:r>
          </w:p>
        </w:tc>
        <w:tc>
          <w:tcPr>
            <w:tcW w:w="1688" w:type="dxa"/>
            <w:vMerge/>
            <w:shd w:val="clear" w:color="auto" w:fill="F2F2F2" w:themeFill="background1" w:themeFillShade="F2"/>
            <w:vAlign w:val="center"/>
            <w:hideMark/>
          </w:tcPr>
          <w:p w14:paraId="06CA6284" w14:textId="77777777" w:rsidR="00356B54" w:rsidRPr="00EF584C" w:rsidRDefault="00356B54" w:rsidP="00356B54">
            <w:pPr>
              <w:spacing w:after="0"/>
              <w:jc w:val="center"/>
              <w:rPr>
                <w:color w:val="000000"/>
                <w:szCs w:val="20"/>
                <w:lang w:eastAsia="pl-PL"/>
              </w:rPr>
            </w:pPr>
          </w:p>
        </w:tc>
      </w:tr>
      <w:tr w:rsidR="00356B54" w:rsidRPr="00860A2E" w14:paraId="008805E7" w14:textId="77777777" w:rsidTr="00F142BC">
        <w:trPr>
          <w:trHeight w:val="343"/>
        </w:trPr>
        <w:tc>
          <w:tcPr>
            <w:tcW w:w="1337" w:type="dxa"/>
            <w:vMerge/>
            <w:shd w:val="clear" w:color="auto" w:fill="F2F2F2" w:themeFill="background1" w:themeFillShade="F2"/>
            <w:vAlign w:val="center"/>
            <w:hideMark/>
          </w:tcPr>
          <w:p w14:paraId="26922172" w14:textId="77777777" w:rsidR="00356B54" w:rsidRPr="003142A0" w:rsidRDefault="00356B54" w:rsidP="00356B54">
            <w:pPr>
              <w:spacing w:after="0"/>
              <w:jc w:val="center"/>
              <w:rPr>
                <w:color w:val="000000"/>
                <w:sz w:val="18"/>
                <w:szCs w:val="18"/>
                <w:lang w:eastAsia="pl-PL"/>
              </w:rPr>
            </w:pPr>
          </w:p>
        </w:tc>
        <w:tc>
          <w:tcPr>
            <w:tcW w:w="607" w:type="dxa"/>
            <w:shd w:val="clear" w:color="auto" w:fill="F2F2F2" w:themeFill="background1" w:themeFillShade="F2"/>
            <w:noWrap/>
            <w:vAlign w:val="center"/>
          </w:tcPr>
          <w:p w14:paraId="4F19C717" w14:textId="77777777" w:rsidR="00356B54" w:rsidRPr="00070AAD" w:rsidRDefault="00356B54" w:rsidP="00356B54">
            <w:pPr>
              <w:spacing w:after="0"/>
              <w:jc w:val="center"/>
              <w:rPr>
                <w:color w:val="000000"/>
                <w:sz w:val="18"/>
                <w:szCs w:val="18"/>
                <w:lang w:eastAsia="pl-PL"/>
              </w:rPr>
            </w:pPr>
          </w:p>
        </w:tc>
        <w:tc>
          <w:tcPr>
            <w:tcW w:w="604" w:type="dxa"/>
            <w:shd w:val="clear" w:color="auto" w:fill="F2F2F2" w:themeFill="background1" w:themeFillShade="F2"/>
            <w:noWrap/>
            <w:vAlign w:val="center"/>
          </w:tcPr>
          <w:p w14:paraId="2AF78B6F" w14:textId="77777777" w:rsidR="00356B54" w:rsidRPr="00070AAD" w:rsidRDefault="00356B54" w:rsidP="00356B54">
            <w:pPr>
              <w:spacing w:after="0"/>
              <w:jc w:val="center"/>
              <w:rPr>
                <w:color w:val="000000"/>
                <w:sz w:val="18"/>
                <w:szCs w:val="18"/>
                <w:lang w:eastAsia="pl-PL"/>
              </w:rPr>
            </w:pPr>
          </w:p>
        </w:tc>
        <w:tc>
          <w:tcPr>
            <w:tcW w:w="604" w:type="dxa"/>
            <w:shd w:val="clear" w:color="auto" w:fill="F2F2F2" w:themeFill="background1" w:themeFillShade="F2"/>
            <w:noWrap/>
            <w:vAlign w:val="center"/>
          </w:tcPr>
          <w:p w14:paraId="75ACDF23" w14:textId="77777777" w:rsidR="00356B54" w:rsidRPr="00070AAD" w:rsidRDefault="00356B54" w:rsidP="00356B54">
            <w:pPr>
              <w:spacing w:after="0"/>
              <w:jc w:val="center"/>
              <w:rPr>
                <w:color w:val="000000"/>
                <w:sz w:val="18"/>
                <w:szCs w:val="18"/>
                <w:lang w:eastAsia="pl-PL"/>
              </w:rPr>
            </w:pPr>
          </w:p>
        </w:tc>
        <w:tc>
          <w:tcPr>
            <w:tcW w:w="604" w:type="dxa"/>
            <w:shd w:val="clear" w:color="auto" w:fill="F2F2F2" w:themeFill="background1" w:themeFillShade="F2"/>
            <w:noWrap/>
            <w:vAlign w:val="center"/>
          </w:tcPr>
          <w:p w14:paraId="03F93C4D" w14:textId="77777777" w:rsidR="00356B54" w:rsidRPr="00070AAD" w:rsidRDefault="00356B54" w:rsidP="00356B54">
            <w:pPr>
              <w:spacing w:after="0"/>
              <w:jc w:val="center"/>
              <w:rPr>
                <w:color w:val="000000"/>
                <w:sz w:val="18"/>
                <w:szCs w:val="18"/>
                <w:lang w:eastAsia="pl-PL"/>
              </w:rPr>
            </w:pPr>
          </w:p>
        </w:tc>
        <w:tc>
          <w:tcPr>
            <w:tcW w:w="604" w:type="dxa"/>
            <w:shd w:val="clear" w:color="auto" w:fill="F2F2F2" w:themeFill="background1" w:themeFillShade="F2"/>
            <w:noWrap/>
            <w:vAlign w:val="center"/>
          </w:tcPr>
          <w:p w14:paraId="0B8B0FBF" w14:textId="77777777" w:rsidR="00356B54" w:rsidRPr="00070AAD" w:rsidRDefault="00356B54" w:rsidP="00356B54">
            <w:pPr>
              <w:spacing w:after="0"/>
              <w:jc w:val="center"/>
              <w:rPr>
                <w:color w:val="000000"/>
                <w:sz w:val="18"/>
                <w:szCs w:val="18"/>
                <w:lang w:eastAsia="pl-PL"/>
              </w:rPr>
            </w:pPr>
          </w:p>
        </w:tc>
        <w:tc>
          <w:tcPr>
            <w:tcW w:w="604" w:type="dxa"/>
            <w:shd w:val="clear" w:color="auto" w:fill="F2F2F2" w:themeFill="background1" w:themeFillShade="F2"/>
            <w:noWrap/>
            <w:vAlign w:val="center"/>
          </w:tcPr>
          <w:p w14:paraId="70E7C795" w14:textId="77777777" w:rsidR="00356B54" w:rsidRPr="00070AAD" w:rsidRDefault="00356B54" w:rsidP="00356B54">
            <w:pPr>
              <w:spacing w:after="0"/>
              <w:jc w:val="center"/>
              <w:rPr>
                <w:color w:val="000000"/>
                <w:sz w:val="18"/>
                <w:szCs w:val="18"/>
                <w:lang w:eastAsia="pl-PL"/>
              </w:rPr>
            </w:pPr>
          </w:p>
        </w:tc>
        <w:tc>
          <w:tcPr>
            <w:tcW w:w="602" w:type="dxa"/>
            <w:shd w:val="clear" w:color="auto" w:fill="F2F2F2" w:themeFill="background1" w:themeFillShade="F2"/>
            <w:vAlign w:val="center"/>
          </w:tcPr>
          <w:p w14:paraId="06E09DFC" w14:textId="38F22B42" w:rsidR="00356B54" w:rsidRPr="00070AAD" w:rsidRDefault="00356B54" w:rsidP="00356B54">
            <w:pPr>
              <w:spacing w:after="0"/>
              <w:jc w:val="center"/>
              <w:rPr>
                <w:color w:val="000000"/>
                <w:sz w:val="18"/>
                <w:szCs w:val="18"/>
                <w:lang w:eastAsia="pl-PL"/>
              </w:rPr>
            </w:pPr>
            <w:r w:rsidRPr="00070AAD">
              <w:rPr>
                <w:rFonts w:cs="Calibri"/>
                <w:color w:val="000000"/>
                <w:sz w:val="18"/>
                <w:szCs w:val="18"/>
              </w:rPr>
              <w:t>1180</w:t>
            </w:r>
          </w:p>
        </w:tc>
        <w:tc>
          <w:tcPr>
            <w:tcW w:w="602" w:type="dxa"/>
            <w:shd w:val="clear" w:color="auto" w:fill="F2F2F2" w:themeFill="background1" w:themeFillShade="F2"/>
            <w:vAlign w:val="center"/>
          </w:tcPr>
          <w:p w14:paraId="721993F3" w14:textId="3D724D75" w:rsidR="00356B54" w:rsidRPr="00070AAD" w:rsidRDefault="00356B54" w:rsidP="00356B54">
            <w:pPr>
              <w:spacing w:after="0"/>
              <w:jc w:val="center"/>
              <w:rPr>
                <w:color w:val="000000"/>
                <w:sz w:val="18"/>
                <w:szCs w:val="18"/>
                <w:lang w:eastAsia="pl-PL"/>
              </w:rPr>
            </w:pPr>
            <w:r w:rsidRPr="00070AAD">
              <w:rPr>
                <w:rFonts w:cs="Calibri"/>
                <w:color w:val="000000"/>
                <w:sz w:val="18"/>
                <w:szCs w:val="18"/>
              </w:rPr>
              <w:t>1180</w:t>
            </w:r>
          </w:p>
        </w:tc>
        <w:tc>
          <w:tcPr>
            <w:tcW w:w="602" w:type="dxa"/>
            <w:shd w:val="clear" w:color="auto" w:fill="F2F2F2" w:themeFill="background1" w:themeFillShade="F2"/>
            <w:vAlign w:val="center"/>
          </w:tcPr>
          <w:p w14:paraId="5A4DD573" w14:textId="65124A1C" w:rsidR="00356B54" w:rsidRPr="00070AAD" w:rsidRDefault="00356B54" w:rsidP="00356B54">
            <w:pPr>
              <w:spacing w:after="0"/>
              <w:jc w:val="center"/>
              <w:rPr>
                <w:color w:val="000000"/>
                <w:sz w:val="18"/>
                <w:szCs w:val="18"/>
                <w:lang w:eastAsia="pl-PL"/>
              </w:rPr>
            </w:pPr>
            <w:r w:rsidRPr="00070AAD">
              <w:rPr>
                <w:rFonts w:cs="Calibri"/>
                <w:color w:val="000000"/>
                <w:sz w:val="18"/>
                <w:szCs w:val="18"/>
              </w:rPr>
              <w:t>1180</w:t>
            </w:r>
          </w:p>
        </w:tc>
        <w:tc>
          <w:tcPr>
            <w:tcW w:w="604" w:type="dxa"/>
            <w:shd w:val="clear" w:color="auto" w:fill="F2F2F2" w:themeFill="background1" w:themeFillShade="F2"/>
            <w:noWrap/>
            <w:vAlign w:val="center"/>
          </w:tcPr>
          <w:p w14:paraId="77028680" w14:textId="09B1EE64" w:rsidR="00356B54" w:rsidRPr="00070AAD" w:rsidRDefault="00356B54" w:rsidP="00356B54">
            <w:pPr>
              <w:spacing w:after="0"/>
              <w:jc w:val="center"/>
              <w:rPr>
                <w:color w:val="000000"/>
                <w:sz w:val="18"/>
                <w:szCs w:val="18"/>
                <w:lang w:eastAsia="pl-PL"/>
              </w:rPr>
            </w:pPr>
            <w:r w:rsidRPr="00070AAD">
              <w:rPr>
                <w:rFonts w:cs="Calibri"/>
                <w:color w:val="000000"/>
                <w:sz w:val="18"/>
                <w:szCs w:val="18"/>
              </w:rPr>
              <w:t>1180</w:t>
            </w:r>
          </w:p>
        </w:tc>
        <w:tc>
          <w:tcPr>
            <w:tcW w:w="1688" w:type="dxa"/>
            <w:vMerge/>
            <w:shd w:val="clear" w:color="auto" w:fill="F2F2F2" w:themeFill="background1" w:themeFillShade="F2"/>
            <w:vAlign w:val="center"/>
            <w:hideMark/>
          </w:tcPr>
          <w:p w14:paraId="36EEC1A7" w14:textId="77777777" w:rsidR="00356B54" w:rsidRPr="00EF584C" w:rsidRDefault="00356B54" w:rsidP="00356B54">
            <w:pPr>
              <w:spacing w:after="0"/>
              <w:jc w:val="center"/>
              <w:rPr>
                <w:color w:val="000000"/>
                <w:szCs w:val="20"/>
                <w:lang w:eastAsia="pl-PL"/>
              </w:rPr>
            </w:pPr>
          </w:p>
        </w:tc>
      </w:tr>
      <w:tr w:rsidR="00356B54" w:rsidRPr="00860A2E" w14:paraId="15EBB530" w14:textId="77777777" w:rsidTr="00F142BC">
        <w:trPr>
          <w:trHeight w:val="343"/>
        </w:trPr>
        <w:tc>
          <w:tcPr>
            <w:tcW w:w="1337" w:type="dxa"/>
            <w:vMerge/>
            <w:shd w:val="clear" w:color="auto" w:fill="F2F2F2" w:themeFill="background1" w:themeFillShade="F2"/>
            <w:vAlign w:val="center"/>
            <w:hideMark/>
          </w:tcPr>
          <w:p w14:paraId="7D572769" w14:textId="77777777" w:rsidR="00356B54" w:rsidRPr="003142A0" w:rsidRDefault="00356B54" w:rsidP="00356B54">
            <w:pPr>
              <w:spacing w:after="0"/>
              <w:jc w:val="center"/>
              <w:rPr>
                <w:color w:val="000000"/>
                <w:sz w:val="18"/>
                <w:szCs w:val="18"/>
                <w:lang w:eastAsia="pl-PL"/>
              </w:rPr>
            </w:pPr>
          </w:p>
        </w:tc>
        <w:tc>
          <w:tcPr>
            <w:tcW w:w="607" w:type="dxa"/>
            <w:shd w:val="clear" w:color="auto" w:fill="F2F2F2" w:themeFill="background1" w:themeFillShade="F2"/>
            <w:noWrap/>
            <w:vAlign w:val="center"/>
          </w:tcPr>
          <w:p w14:paraId="138FE5B4" w14:textId="77777777" w:rsidR="00356B54" w:rsidRPr="00070AAD" w:rsidRDefault="00356B54" w:rsidP="00356B54">
            <w:pPr>
              <w:spacing w:after="0"/>
              <w:jc w:val="center"/>
              <w:rPr>
                <w:color w:val="000000"/>
                <w:sz w:val="18"/>
                <w:szCs w:val="18"/>
                <w:lang w:eastAsia="pl-PL"/>
              </w:rPr>
            </w:pPr>
          </w:p>
        </w:tc>
        <w:tc>
          <w:tcPr>
            <w:tcW w:w="604" w:type="dxa"/>
            <w:shd w:val="clear" w:color="auto" w:fill="F2F2F2" w:themeFill="background1" w:themeFillShade="F2"/>
            <w:noWrap/>
            <w:vAlign w:val="center"/>
          </w:tcPr>
          <w:p w14:paraId="126BE177" w14:textId="77777777" w:rsidR="00356B54" w:rsidRPr="00070AAD" w:rsidRDefault="00356B54" w:rsidP="00356B54">
            <w:pPr>
              <w:spacing w:after="0"/>
              <w:jc w:val="center"/>
              <w:rPr>
                <w:color w:val="000000"/>
                <w:sz w:val="18"/>
                <w:szCs w:val="18"/>
                <w:lang w:eastAsia="pl-PL"/>
              </w:rPr>
            </w:pPr>
          </w:p>
        </w:tc>
        <w:tc>
          <w:tcPr>
            <w:tcW w:w="604" w:type="dxa"/>
            <w:shd w:val="clear" w:color="auto" w:fill="F2F2F2" w:themeFill="background1" w:themeFillShade="F2"/>
            <w:noWrap/>
            <w:vAlign w:val="center"/>
          </w:tcPr>
          <w:p w14:paraId="4FB5591D" w14:textId="77777777" w:rsidR="00356B54" w:rsidRPr="00070AAD" w:rsidRDefault="00356B54" w:rsidP="00356B54">
            <w:pPr>
              <w:spacing w:after="0"/>
              <w:jc w:val="center"/>
              <w:rPr>
                <w:color w:val="000000"/>
                <w:sz w:val="18"/>
                <w:szCs w:val="18"/>
                <w:lang w:eastAsia="pl-PL"/>
              </w:rPr>
            </w:pPr>
          </w:p>
        </w:tc>
        <w:tc>
          <w:tcPr>
            <w:tcW w:w="604" w:type="dxa"/>
            <w:shd w:val="clear" w:color="auto" w:fill="F2F2F2" w:themeFill="background1" w:themeFillShade="F2"/>
            <w:noWrap/>
            <w:vAlign w:val="center"/>
          </w:tcPr>
          <w:p w14:paraId="7B2880ED" w14:textId="77777777" w:rsidR="00356B54" w:rsidRPr="00070AAD" w:rsidRDefault="00356B54" w:rsidP="00356B54">
            <w:pPr>
              <w:spacing w:after="0"/>
              <w:jc w:val="center"/>
              <w:rPr>
                <w:color w:val="000000"/>
                <w:sz w:val="18"/>
                <w:szCs w:val="18"/>
                <w:lang w:eastAsia="pl-PL"/>
              </w:rPr>
            </w:pPr>
          </w:p>
        </w:tc>
        <w:tc>
          <w:tcPr>
            <w:tcW w:w="604" w:type="dxa"/>
            <w:shd w:val="clear" w:color="auto" w:fill="F2F2F2" w:themeFill="background1" w:themeFillShade="F2"/>
            <w:noWrap/>
            <w:vAlign w:val="center"/>
          </w:tcPr>
          <w:p w14:paraId="5BE70AAB" w14:textId="77777777" w:rsidR="00356B54" w:rsidRPr="00070AAD" w:rsidRDefault="00356B54" w:rsidP="00356B54">
            <w:pPr>
              <w:spacing w:after="0"/>
              <w:jc w:val="center"/>
              <w:rPr>
                <w:color w:val="000000"/>
                <w:sz w:val="18"/>
                <w:szCs w:val="18"/>
                <w:lang w:eastAsia="pl-PL"/>
              </w:rPr>
            </w:pPr>
          </w:p>
        </w:tc>
        <w:tc>
          <w:tcPr>
            <w:tcW w:w="604" w:type="dxa"/>
            <w:shd w:val="clear" w:color="auto" w:fill="F2F2F2" w:themeFill="background1" w:themeFillShade="F2"/>
            <w:noWrap/>
            <w:vAlign w:val="center"/>
          </w:tcPr>
          <w:p w14:paraId="499124A7" w14:textId="0A131A1E" w:rsidR="00356B54" w:rsidRPr="00070AAD" w:rsidRDefault="00356B54" w:rsidP="00356B54">
            <w:pPr>
              <w:spacing w:after="0"/>
              <w:jc w:val="center"/>
              <w:rPr>
                <w:color w:val="000000"/>
                <w:sz w:val="18"/>
                <w:szCs w:val="18"/>
                <w:lang w:eastAsia="pl-PL"/>
              </w:rPr>
            </w:pPr>
            <w:r w:rsidRPr="00070AAD">
              <w:rPr>
                <w:rFonts w:cs="Calibri"/>
                <w:color w:val="000000"/>
                <w:sz w:val="18"/>
                <w:szCs w:val="18"/>
              </w:rPr>
              <w:t>1150</w:t>
            </w:r>
          </w:p>
        </w:tc>
        <w:tc>
          <w:tcPr>
            <w:tcW w:w="602" w:type="dxa"/>
            <w:shd w:val="clear" w:color="auto" w:fill="F2F2F2" w:themeFill="background1" w:themeFillShade="F2"/>
            <w:vAlign w:val="center"/>
          </w:tcPr>
          <w:p w14:paraId="6037EF09" w14:textId="19DDB5AF" w:rsidR="00356B54" w:rsidRPr="00070AAD" w:rsidRDefault="00356B54" w:rsidP="00356B54">
            <w:pPr>
              <w:spacing w:after="0"/>
              <w:jc w:val="center"/>
              <w:rPr>
                <w:color w:val="000000"/>
                <w:sz w:val="18"/>
                <w:szCs w:val="18"/>
                <w:lang w:eastAsia="pl-PL"/>
              </w:rPr>
            </w:pPr>
            <w:r w:rsidRPr="00070AAD">
              <w:rPr>
                <w:rFonts w:cs="Calibri"/>
                <w:color w:val="000000"/>
                <w:sz w:val="18"/>
                <w:szCs w:val="18"/>
              </w:rPr>
              <w:t>1150</w:t>
            </w:r>
          </w:p>
        </w:tc>
        <w:tc>
          <w:tcPr>
            <w:tcW w:w="602" w:type="dxa"/>
            <w:shd w:val="clear" w:color="auto" w:fill="F2F2F2" w:themeFill="background1" w:themeFillShade="F2"/>
            <w:vAlign w:val="center"/>
          </w:tcPr>
          <w:p w14:paraId="5CDA1A56" w14:textId="698FCAAC" w:rsidR="00356B54" w:rsidRPr="00070AAD" w:rsidRDefault="00356B54" w:rsidP="00356B54">
            <w:pPr>
              <w:spacing w:after="0"/>
              <w:jc w:val="center"/>
              <w:rPr>
                <w:color w:val="000000"/>
                <w:sz w:val="18"/>
                <w:szCs w:val="18"/>
                <w:lang w:eastAsia="pl-PL"/>
              </w:rPr>
            </w:pPr>
            <w:r w:rsidRPr="00070AAD">
              <w:rPr>
                <w:rFonts w:cs="Calibri"/>
                <w:color w:val="000000"/>
                <w:sz w:val="18"/>
                <w:szCs w:val="18"/>
              </w:rPr>
              <w:t>1150</w:t>
            </w:r>
          </w:p>
        </w:tc>
        <w:tc>
          <w:tcPr>
            <w:tcW w:w="602" w:type="dxa"/>
            <w:shd w:val="clear" w:color="auto" w:fill="F2F2F2" w:themeFill="background1" w:themeFillShade="F2"/>
            <w:vAlign w:val="center"/>
          </w:tcPr>
          <w:p w14:paraId="36314EED" w14:textId="4C5F08FE" w:rsidR="00356B54" w:rsidRPr="00070AAD" w:rsidRDefault="00356B54" w:rsidP="00356B54">
            <w:pPr>
              <w:spacing w:after="0"/>
              <w:jc w:val="center"/>
              <w:rPr>
                <w:color w:val="000000"/>
                <w:sz w:val="18"/>
                <w:szCs w:val="18"/>
                <w:lang w:eastAsia="pl-PL"/>
              </w:rPr>
            </w:pPr>
            <w:r w:rsidRPr="00070AAD">
              <w:rPr>
                <w:rFonts w:cs="Calibri"/>
                <w:color w:val="000000"/>
                <w:sz w:val="18"/>
                <w:szCs w:val="18"/>
              </w:rPr>
              <w:t>1150</w:t>
            </w:r>
          </w:p>
        </w:tc>
        <w:tc>
          <w:tcPr>
            <w:tcW w:w="604" w:type="dxa"/>
            <w:shd w:val="clear" w:color="auto" w:fill="F2F2F2" w:themeFill="background1" w:themeFillShade="F2"/>
            <w:noWrap/>
            <w:vAlign w:val="center"/>
          </w:tcPr>
          <w:p w14:paraId="1CADB357" w14:textId="74E8D050" w:rsidR="00356B54" w:rsidRPr="00070AAD" w:rsidRDefault="00356B54" w:rsidP="00356B54">
            <w:pPr>
              <w:spacing w:after="0"/>
              <w:jc w:val="center"/>
              <w:rPr>
                <w:color w:val="000000"/>
                <w:sz w:val="18"/>
                <w:szCs w:val="18"/>
                <w:lang w:eastAsia="pl-PL"/>
              </w:rPr>
            </w:pPr>
            <w:r w:rsidRPr="00070AAD">
              <w:rPr>
                <w:rFonts w:cs="Calibri"/>
                <w:color w:val="000000"/>
                <w:sz w:val="18"/>
                <w:szCs w:val="18"/>
              </w:rPr>
              <w:t>1150</w:t>
            </w:r>
          </w:p>
        </w:tc>
        <w:tc>
          <w:tcPr>
            <w:tcW w:w="1688" w:type="dxa"/>
            <w:vMerge/>
            <w:shd w:val="clear" w:color="auto" w:fill="F2F2F2" w:themeFill="background1" w:themeFillShade="F2"/>
            <w:vAlign w:val="center"/>
            <w:hideMark/>
          </w:tcPr>
          <w:p w14:paraId="4EC5D0E5" w14:textId="77777777" w:rsidR="00356B54" w:rsidRPr="00EF584C" w:rsidRDefault="00356B54" w:rsidP="00356B54">
            <w:pPr>
              <w:spacing w:after="0"/>
              <w:jc w:val="center"/>
              <w:rPr>
                <w:color w:val="000000"/>
                <w:szCs w:val="20"/>
                <w:lang w:eastAsia="pl-PL"/>
              </w:rPr>
            </w:pPr>
          </w:p>
        </w:tc>
      </w:tr>
      <w:tr w:rsidR="00356B54" w:rsidRPr="00860A2E" w14:paraId="6FE46AD4" w14:textId="77777777" w:rsidTr="00F142BC">
        <w:trPr>
          <w:trHeight w:val="343"/>
        </w:trPr>
        <w:tc>
          <w:tcPr>
            <w:tcW w:w="1337" w:type="dxa"/>
            <w:vMerge/>
            <w:shd w:val="clear" w:color="auto" w:fill="F2F2F2" w:themeFill="background1" w:themeFillShade="F2"/>
            <w:vAlign w:val="center"/>
            <w:hideMark/>
          </w:tcPr>
          <w:p w14:paraId="0E92BDAB" w14:textId="77777777" w:rsidR="00356B54" w:rsidRPr="003142A0" w:rsidRDefault="00356B54" w:rsidP="00356B54">
            <w:pPr>
              <w:spacing w:after="0"/>
              <w:jc w:val="center"/>
              <w:rPr>
                <w:color w:val="000000"/>
                <w:sz w:val="18"/>
                <w:szCs w:val="18"/>
                <w:lang w:eastAsia="pl-PL"/>
              </w:rPr>
            </w:pPr>
          </w:p>
        </w:tc>
        <w:tc>
          <w:tcPr>
            <w:tcW w:w="607" w:type="dxa"/>
            <w:shd w:val="clear" w:color="auto" w:fill="F2F2F2" w:themeFill="background1" w:themeFillShade="F2"/>
            <w:noWrap/>
            <w:vAlign w:val="center"/>
          </w:tcPr>
          <w:p w14:paraId="2E830AAF" w14:textId="77777777" w:rsidR="00356B54" w:rsidRPr="00070AAD" w:rsidRDefault="00356B54" w:rsidP="00356B54">
            <w:pPr>
              <w:spacing w:after="0"/>
              <w:jc w:val="center"/>
              <w:rPr>
                <w:color w:val="000000"/>
                <w:sz w:val="18"/>
                <w:szCs w:val="18"/>
                <w:lang w:eastAsia="pl-PL"/>
              </w:rPr>
            </w:pPr>
          </w:p>
        </w:tc>
        <w:tc>
          <w:tcPr>
            <w:tcW w:w="604" w:type="dxa"/>
            <w:shd w:val="clear" w:color="auto" w:fill="F2F2F2" w:themeFill="background1" w:themeFillShade="F2"/>
            <w:noWrap/>
            <w:vAlign w:val="center"/>
          </w:tcPr>
          <w:p w14:paraId="743DB2F0" w14:textId="77777777" w:rsidR="00356B54" w:rsidRPr="00070AAD" w:rsidRDefault="00356B54" w:rsidP="00356B54">
            <w:pPr>
              <w:spacing w:after="0"/>
              <w:jc w:val="center"/>
              <w:rPr>
                <w:color w:val="000000"/>
                <w:sz w:val="18"/>
                <w:szCs w:val="18"/>
                <w:lang w:eastAsia="pl-PL"/>
              </w:rPr>
            </w:pPr>
          </w:p>
        </w:tc>
        <w:tc>
          <w:tcPr>
            <w:tcW w:w="604" w:type="dxa"/>
            <w:shd w:val="clear" w:color="auto" w:fill="F2F2F2" w:themeFill="background1" w:themeFillShade="F2"/>
            <w:noWrap/>
            <w:vAlign w:val="center"/>
          </w:tcPr>
          <w:p w14:paraId="7E069972" w14:textId="77777777" w:rsidR="00356B54" w:rsidRPr="00070AAD" w:rsidRDefault="00356B54" w:rsidP="00356B54">
            <w:pPr>
              <w:spacing w:after="0"/>
              <w:jc w:val="center"/>
              <w:rPr>
                <w:color w:val="000000"/>
                <w:sz w:val="18"/>
                <w:szCs w:val="18"/>
                <w:lang w:eastAsia="pl-PL"/>
              </w:rPr>
            </w:pPr>
          </w:p>
        </w:tc>
        <w:tc>
          <w:tcPr>
            <w:tcW w:w="604" w:type="dxa"/>
            <w:shd w:val="clear" w:color="auto" w:fill="F2F2F2" w:themeFill="background1" w:themeFillShade="F2"/>
            <w:noWrap/>
            <w:vAlign w:val="center"/>
          </w:tcPr>
          <w:p w14:paraId="5E3998C8" w14:textId="77777777" w:rsidR="00356B54" w:rsidRPr="00070AAD" w:rsidRDefault="00356B54" w:rsidP="00356B54">
            <w:pPr>
              <w:spacing w:after="0"/>
              <w:jc w:val="center"/>
              <w:rPr>
                <w:color w:val="000000"/>
                <w:sz w:val="18"/>
                <w:szCs w:val="18"/>
                <w:lang w:eastAsia="pl-PL"/>
              </w:rPr>
            </w:pPr>
          </w:p>
        </w:tc>
        <w:tc>
          <w:tcPr>
            <w:tcW w:w="604" w:type="dxa"/>
            <w:shd w:val="clear" w:color="auto" w:fill="F2F2F2" w:themeFill="background1" w:themeFillShade="F2"/>
            <w:noWrap/>
            <w:vAlign w:val="center"/>
          </w:tcPr>
          <w:p w14:paraId="62A71FEC" w14:textId="228C7750" w:rsidR="00356B54" w:rsidRPr="00070AAD" w:rsidRDefault="00356B54" w:rsidP="00356B54">
            <w:pPr>
              <w:spacing w:after="0"/>
              <w:jc w:val="center"/>
              <w:rPr>
                <w:color w:val="000000"/>
                <w:sz w:val="18"/>
                <w:szCs w:val="18"/>
                <w:lang w:eastAsia="pl-PL"/>
              </w:rPr>
            </w:pPr>
            <w:r w:rsidRPr="00070AAD">
              <w:rPr>
                <w:rFonts w:cs="Calibri"/>
                <w:color w:val="000000"/>
                <w:sz w:val="18"/>
                <w:szCs w:val="18"/>
              </w:rPr>
              <w:t>1130</w:t>
            </w:r>
          </w:p>
        </w:tc>
        <w:tc>
          <w:tcPr>
            <w:tcW w:w="604" w:type="dxa"/>
            <w:shd w:val="clear" w:color="auto" w:fill="F2F2F2" w:themeFill="background1" w:themeFillShade="F2"/>
            <w:noWrap/>
            <w:vAlign w:val="center"/>
          </w:tcPr>
          <w:p w14:paraId="408096D2" w14:textId="01CA016C" w:rsidR="00356B54" w:rsidRPr="00070AAD" w:rsidRDefault="00356B54" w:rsidP="00356B54">
            <w:pPr>
              <w:spacing w:after="0"/>
              <w:jc w:val="center"/>
              <w:rPr>
                <w:color w:val="000000"/>
                <w:sz w:val="18"/>
                <w:szCs w:val="18"/>
                <w:lang w:eastAsia="pl-PL"/>
              </w:rPr>
            </w:pPr>
            <w:r w:rsidRPr="00070AAD">
              <w:rPr>
                <w:rFonts w:cs="Calibri"/>
                <w:color w:val="000000"/>
                <w:sz w:val="18"/>
                <w:szCs w:val="18"/>
              </w:rPr>
              <w:t>1130</w:t>
            </w:r>
          </w:p>
        </w:tc>
        <w:tc>
          <w:tcPr>
            <w:tcW w:w="602" w:type="dxa"/>
            <w:shd w:val="clear" w:color="auto" w:fill="F2F2F2" w:themeFill="background1" w:themeFillShade="F2"/>
            <w:vAlign w:val="center"/>
          </w:tcPr>
          <w:p w14:paraId="2026DA52" w14:textId="3DA5390B" w:rsidR="00356B54" w:rsidRPr="00070AAD" w:rsidRDefault="00356B54" w:rsidP="00356B54">
            <w:pPr>
              <w:spacing w:after="0"/>
              <w:jc w:val="center"/>
              <w:rPr>
                <w:color w:val="000000"/>
                <w:sz w:val="18"/>
                <w:szCs w:val="18"/>
                <w:lang w:eastAsia="pl-PL"/>
              </w:rPr>
            </w:pPr>
            <w:r w:rsidRPr="00070AAD">
              <w:rPr>
                <w:rFonts w:cs="Calibri"/>
                <w:color w:val="000000"/>
                <w:sz w:val="18"/>
                <w:szCs w:val="18"/>
              </w:rPr>
              <w:t>1130</w:t>
            </w:r>
          </w:p>
        </w:tc>
        <w:tc>
          <w:tcPr>
            <w:tcW w:w="602" w:type="dxa"/>
            <w:shd w:val="clear" w:color="auto" w:fill="F2F2F2" w:themeFill="background1" w:themeFillShade="F2"/>
            <w:vAlign w:val="center"/>
          </w:tcPr>
          <w:p w14:paraId="0D924213" w14:textId="068A264E" w:rsidR="00356B54" w:rsidRPr="00070AAD" w:rsidRDefault="00356B54" w:rsidP="00356B54">
            <w:pPr>
              <w:spacing w:after="0"/>
              <w:jc w:val="center"/>
              <w:rPr>
                <w:color w:val="000000"/>
                <w:sz w:val="18"/>
                <w:szCs w:val="18"/>
                <w:lang w:eastAsia="pl-PL"/>
              </w:rPr>
            </w:pPr>
            <w:r w:rsidRPr="00070AAD">
              <w:rPr>
                <w:rFonts w:cs="Calibri"/>
                <w:color w:val="000000"/>
                <w:sz w:val="18"/>
                <w:szCs w:val="18"/>
              </w:rPr>
              <w:t>1130</w:t>
            </w:r>
          </w:p>
        </w:tc>
        <w:tc>
          <w:tcPr>
            <w:tcW w:w="602" w:type="dxa"/>
            <w:shd w:val="clear" w:color="auto" w:fill="F2F2F2" w:themeFill="background1" w:themeFillShade="F2"/>
            <w:vAlign w:val="center"/>
          </w:tcPr>
          <w:p w14:paraId="3EFD94EA" w14:textId="7CEC3781" w:rsidR="00356B54" w:rsidRPr="00070AAD" w:rsidRDefault="00356B54" w:rsidP="00356B54">
            <w:pPr>
              <w:spacing w:after="0"/>
              <w:jc w:val="center"/>
              <w:rPr>
                <w:color w:val="000000"/>
                <w:sz w:val="18"/>
                <w:szCs w:val="18"/>
                <w:lang w:eastAsia="pl-PL"/>
              </w:rPr>
            </w:pPr>
            <w:r w:rsidRPr="00070AAD">
              <w:rPr>
                <w:rFonts w:cs="Calibri"/>
                <w:color w:val="000000"/>
                <w:sz w:val="18"/>
                <w:szCs w:val="18"/>
              </w:rPr>
              <w:t>1130</w:t>
            </w:r>
          </w:p>
        </w:tc>
        <w:tc>
          <w:tcPr>
            <w:tcW w:w="604" w:type="dxa"/>
            <w:shd w:val="clear" w:color="auto" w:fill="F2F2F2" w:themeFill="background1" w:themeFillShade="F2"/>
            <w:noWrap/>
            <w:vAlign w:val="center"/>
          </w:tcPr>
          <w:p w14:paraId="2146AFD3" w14:textId="0D1A4069" w:rsidR="00356B54" w:rsidRPr="00070AAD" w:rsidRDefault="00356B54" w:rsidP="00356B54">
            <w:pPr>
              <w:spacing w:after="0"/>
              <w:jc w:val="center"/>
              <w:rPr>
                <w:color w:val="000000"/>
                <w:sz w:val="18"/>
                <w:szCs w:val="18"/>
                <w:lang w:eastAsia="pl-PL"/>
              </w:rPr>
            </w:pPr>
            <w:r w:rsidRPr="00070AAD">
              <w:rPr>
                <w:rFonts w:cs="Calibri"/>
                <w:color w:val="000000"/>
                <w:sz w:val="18"/>
                <w:szCs w:val="18"/>
              </w:rPr>
              <w:t>1130</w:t>
            </w:r>
          </w:p>
        </w:tc>
        <w:tc>
          <w:tcPr>
            <w:tcW w:w="1688" w:type="dxa"/>
            <w:vMerge/>
            <w:shd w:val="clear" w:color="auto" w:fill="F2F2F2" w:themeFill="background1" w:themeFillShade="F2"/>
            <w:vAlign w:val="center"/>
            <w:hideMark/>
          </w:tcPr>
          <w:p w14:paraId="2FD3EAD3" w14:textId="77777777" w:rsidR="00356B54" w:rsidRPr="00EF584C" w:rsidRDefault="00356B54" w:rsidP="00356B54">
            <w:pPr>
              <w:spacing w:after="0"/>
              <w:jc w:val="center"/>
              <w:rPr>
                <w:color w:val="000000"/>
                <w:szCs w:val="20"/>
                <w:lang w:eastAsia="pl-PL"/>
              </w:rPr>
            </w:pPr>
          </w:p>
        </w:tc>
      </w:tr>
      <w:tr w:rsidR="00356B54" w:rsidRPr="00860A2E" w14:paraId="3F3BF96A" w14:textId="77777777" w:rsidTr="00F142BC">
        <w:trPr>
          <w:trHeight w:val="343"/>
        </w:trPr>
        <w:tc>
          <w:tcPr>
            <w:tcW w:w="1337" w:type="dxa"/>
            <w:vMerge/>
            <w:shd w:val="clear" w:color="auto" w:fill="F2F2F2" w:themeFill="background1" w:themeFillShade="F2"/>
            <w:vAlign w:val="center"/>
            <w:hideMark/>
          </w:tcPr>
          <w:p w14:paraId="28E3407A" w14:textId="77777777" w:rsidR="00356B54" w:rsidRPr="003142A0" w:rsidRDefault="00356B54" w:rsidP="00356B54">
            <w:pPr>
              <w:spacing w:after="0"/>
              <w:jc w:val="center"/>
              <w:rPr>
                <w:color w:val="000000"/>
                <w:sz w:val="18"/>
                <w:szCs w:val="18"/>
                <w:lang w:eastAsia="pl-PL"/>
              </w:rPr>
            </w:pPr>
          </w:p>
        </w:tc>
        <w:tc>
          <w:tcPr>
            <w:tcW w:w="607" w:type="dxa"/>
            <w:shd w:val="clear" w:color="auto" w:fill="F2F2F2" w:themeFill="background1" w:themeFillShade="F2"/>
            <w:noWrap/>
            <w:vAlign w:val="center"/>
          </w:tcPr>
          <w:p w14:paraId="312D4CBB" w14:textId="77777777" w:rsidR="00356B54" w:rsidRPr="00070AAD" w:rsidRDefault="00356B54" w:rsidP="00356B54">
            <w:pPr>
              <w:spacing w:after="0"/>
              <w:jc w:val="center"/>
              <w:rPr>
                <w:color w:val="000000"/>
                <w:sz w:val="18"/>
                <w:szCs w:val="18"/>
                <w:lang w:eastAsia="pl-PL"/>
              </w:rPr>
            </w:pPr>
          </w:p>
        </w:tc>
        <w:tc>
          <w:tcPr>
            <w:tcW w:w="604" w:type="dxa"/>
            <w:shd w:val="clear" w:color="auto" w:fill="F2F2F2" w:themeFill="background1" w:themeFillShade="F2"/>
            <w:noWrap/>
            <w:vAlign w:val="center"/>
          </w:tcPr>
          <w:p w14:paraId="31E5758E" w14:textId="77777777" w:rsidR="00356B54" w:rsidRPr="00070AAD" w:rsidRDefault="00356B54" w:rsidP="00356B54">
            <w:pPr>
              <w:spacing w:after="0"/>
              <w:jc w:val="center"/>
              <w:rPr>
                <w:color w:val="000000"/>
                <w:sz w:val="18"/>
                <w:szCs w:val="18"/>
                <w:lang w:eastAsia="pl-PL"/>
              </w:rPr>
            </w:pPr>
          </w:p>
        </w:tc>
        <w:tc>
          <w:tcPr>
            <w:tcW w:w="604" w:type="dxa"/>
            <w:shd w:val="clear" w:color="auto" w:fill="F2F2F2" w:themeFill="background1" w:themeFillShade="F2"/>
            <w:noWrap/>
            <w:vAlign w:val="center"/>
          </w:tcPr>
          <w:p w14:paraId="4ADB9756" w14:textId="77777777" w:rsidR="00356B54" w:rsidRPr="00070AAD" w:rsidRDefault="00356B54" w:rsidP="00356B54">
            <w:pPr>
              <w:spacing w:after="0"/>
              <w:jc w:val="center"/>
              <w:rPr>
                <w:color w:val="000000"/>
                <w:sz w:val="18"/>
                <w:szCs w:val="18"/>
                <w:lang w:eastAsia="pl-PL"/>
              </w:rPr>
            </w:pPr>
          </w:p>
        </w:tc>
        <w:tc>
          <w:tcPr>
            <w:tcW w:w="604" w:type="dxa"/>
            <w:shd w:val="clear" w:color="auto" w:fill="F2F2F2" w:themeFill="background1" w:themeFillShade="F2"/>
            <w:noWrap/>
            <w:vAlign w:val="center"/>
          </w:tcPr>
          <w:p w14:paraId="65499468" w14:textId="4325A907" w:rsidR="00356B54" w:rsidRPr="00070AAD" w:rsidRDefault="00356B54" w:rsidP="00356B54">
            <w:pPr>
              <w:spacing w:after="0"/>
              <w:jc w:val="center"/>
              <w:rPr>
                <w:color w:val="000000"/>
                <w:sz w:val="18"/>
                <w:szCs w:val="18"/>
                <w:lang w:eastAsia="pl-PL"/>
              </w:rPr>
            </w:pPr>
            <w:r>
              <w:rPr>
                <w:rFonts w:cs="Calibri"/>
                <w:color w:val="000000"/>
                <w:sz w:val="18"/>
                <w:szCs w:val="18"/>
              </w:rPr>
              <w:t>926</w:t>
            </w:r>
          </w:p>
        </w:tc>
        <w:tc>
          <w:tcPr>
            <w:tcW w:w="604" w:type="dxa"/>
            <w:shd w:val="clear" w:color="auto" w:fill="F2F2F2" w:themeFill="background1" w:themeFillShade="F2"/>
            <w:noWrap/>
            <w:vAlign w:val="center"/>
          </w:tcPr>
          <w:p w14:paraId="52CF55A3" w14:textId="16D243D1" w:rsidR="00356B54" w:rsidRPr="00070AAD" w:rsidRDefault="00356B54" w:rsidP="00356B54">
            <w:pPr>
              <w:spacing w:after="0"/>
              <w:jc w:val="center"/>
              <w:rPr>
                <w:color w:val="000000"/>
                <w:sz w:val="18"/>
                <w:szCs w:val="18"/>
                <w:lang w:eastAsia="pl-PL"/>
              </w:rPr>
            </w:pPr>
            <w:r w:rsidRPr="00070AAD">
              <w:rPr>
                <w:rFonts w:cs="Calibri"/>
                <w:color w:val="000000"/>
                <w:sz w:val="18"/>
                <w:szCs w:val="18"/>
              </w:rPr>
              <w:t>9</w:t>
            </w:r>
            <w:r>
              <w:rPr>
                <w:rFonts w:cs="Calibri"/>
                <w:color w:val="000000"/>
                <w:sz w:val="18"/>
                <w:szCs w:val="18"/>
              </w:rPr>
              <w:t>26</w:t>
            </w:r>
          </w:p>
        </w:tc>
        <w:tc>
          <w:tcPr>
            <w:tcW w:w="604" w:type="dxa"/>
            <w:shd w:val="clear" w:color="auto" w:fill="F2F2F2" w:themeFill="background1" w:themeFillShade="F2"/>
            <w:noWrap/>
            <w:vAlign w:val="center"/>
          </w:tcPr>
          <w:p w14:paraId="771531B7" w14:textId="1B806D56" w:rsidR="00356B54" w:rsidRPr="00070AAD" w:rsidRDefault="00356B54" w:rsidP="00356B54">
            <w:pPr>
              <w:spacing w:after="0"/>
              <w:jc w:val="center"/>
              <w:rPr>
                <w:color w:val="000000"/>
                <w:sz w:val="18"/>
                <w:szCs w:val="18"/>
                <w:lang w:eastAsia="pl-PL"/>
              </w:rPr>
            </w:pPr>
            <w:r>
              <w:rPr>
                <w:rFonts w:cs="Calibri"/>
                <w:color w:val="000000"/>
                <w:sz w:val="18"/>
                <w:szCs w:val="18"/>
              </w:rPr>
              <w:t>926</w:t>
            </w:r>
          </w:p>
        </w:tc>
        <w:tc>
          <w:tcPr>
            <w:tcW w:w="602" w:type="dxa"/>
            <w:shd w:val="clear" w:color="auto" w:fill="F2F2F2" w:themeFill="background1" w:themeFillShade="F2"/>
            <w:vAlign w:val="center"/>
          </w:tcPr>
          <w:p w14:paraId="03214214" w14:textId="28EF4FDD" w:rsidR="00356B54" w:rsidRPr="00070AAD" w:rsidRDefault="00356B54" w:rsidP="00356B54">
            <w:pPr>
              <w:spacing w:after="0"/>
              <w:jc w:val="center"/>
              <w:rPr>
                <w:color w:val="000000"/>
                <w:sz w:val="18"/>
                <w:szCs w:val="18"/>
                <w:lang w:eastAsia="pl-PL"/>
              </w:rPr>
            </w:pPr>
            <w:r>
              <w:rPr>
                <w:rFonts w:cs="Calibri"/>
                <w:color w:val="000000"/>
                <w:sz w:val="18"/>
                <w:szCs w:val="18"/>
              </w:rPr>
              <w:t>926</w:t>
            </w:r>
          </w:p>
        </w:tc>
        <w:tc>
          <w:tcPr>
            <w:tcW w:w="602" w:type="dxa"/>
            <w:shd w:val="clear" w:color="auto" w:fill="F2F2F2" w:themeFill="background1" w:themeFillShade="F2"/>
            <w:vAlign w:val="center"/>
          </w:tcPr>
          <w:p w14:paraId="2DF0B1D7" w14:textId="7FD7A008" w:rsidR="00356B54" w:rsidRPr="00070AAD" w:rsidRDefault="00356B54" w:rsidP="00356B54">
            <w:pPr>
              <w:spacing w:after="0"/>
              <w:jc w:val="center"/>
              <w:rPr>
                <w:color w:val="000000"/>
                <w:sz w:val="18"/>
                <w:szCs w:val="18"/>
                <w:lang w:eastAsia="pl-PL"/>
              </w:rPr>
            </w:pPr>
            <w:r w:rsidRPr="00070AAD">
              <w:rPr>
                <w:rFonts w:cs="Calibri"/>
                <w:color w:val="000000"/>
                <w:sz w:val="18"/>
                <w:szCs w:val="18"/>
              </w:rPr>
              <w:t>9</w:t>
            </w:r>
            <w:r>
              <w:rPr>
                <w:rFonts w:cs="Calibri"/>
                <w:color w:val="000000"/>
                <w:sz w:val="18"/>
                <w:szCs w:val="18"/>
              </w:rPr>
              <w:t>26</w:t>
            </w:r>
          </w:p>
        </w:tc>
        <w:tc>
          <w:tcPr>
            <w:tcW w:w="602" w:type="dxa"/>
            <w:shd w:val="clear" w:color="auto" w:fill="F2F2F2" w:themeFill="background1" w:themeFillShade="F2"/>
            <w:vAlign w:val="center"/>
          </w:tcPr>
          <w:p w14:paraId="05E33DE8" w14:textId="0E234F71" w:rsidR="00356B54" w:rsidRPr="00070AAD" w:rsidRDefault="00356B54" w:rsidP="00356B54">
            <w:pPr>
              <w:spacing w:after="0"/>
              <w:jc w:val="center"/>
              <w:rPr>
                <w:color w:val="000000"/>
                <w:sz w:val="18"/>
                <w:szCs w:val="18"/>
                <w:lang w:eastAsia="pl-PL"/>
              </w:rPr>
            </w:pPr>
            <w:r w:rsidRPr="00070AAD">
              <w:rPr>
                <w:rFonts w:cs="Calibri"/>
                <w:color w:val="000000"/>
                <w:sz w:val="18"/>
                <w:szCs w:val="18"/>
              </w:rPr>
              <w:t>9</w:t>
            </w:r>
            <w:r>
              <w:rPr>
                <w:rFonts w:cs="Calibri"/>
                <w:color w:val="000000"/>
                <w:sz w:val="18"/>
                <w:szCs w:val="18"/>
              </w:rPr>
              <w:t>26</w:t>
            </w:r>
          </w:p>
        </w:tc>
        <w:tc>
          <w:tcPr>
            <w:tcW w:w="604" w:type="dxa"/>
            <w:shd w:val="clear" w:color="auto" w:fill="F2F2F2" w:themeFill="background1" w:themeFillShade="F2"/>
            <w:noWrap/>
            <w:vAlign w:val="center"/>
          </w:tcPr>
          <w:p w14:paraId="79CAAB9E" w14:textId="7BAB5154" w:rsidR="00356B54" w:rsidRPr="00070AAD" w:rsidRDefault="00356B54" w:rsidP="00356B54">
            <w:pPr>
              <w:spacing w:after="0"/>
              <w:jc w:val="center"/>
              <w:rPr>
                <w:color w:val="000000"/>
                <w:sz w:val="18"/>
                <w:szCs w:val="18"/>
                <w:lang w:eastAsia="pl-PL"/>
              </w:rPr>
            </w:pPr>
            <w:r w:rsidRPr="00070AAD">
              <w:rPr>
                <w:rFonts w:cs="Calibri"/>
                <w:color w:val="000000"/>
                <w:sz w:val="18"/>
                <w:szCs w:val="18"/>
              </w:rPr>
              <w:t>9</w:t>
            </w:r>
            <w:r>
              <w:rPr>
                <w:rFonts w:cs="Calibri"/>
                <w:color w:val="000000"/>
                <w:sz w:val="18"/>
                <w:szCs w:val="18"/>
              </w:rPr>
              <w:t>26</w:t>
            </w:r>
          </w:p>
        </w:tc>
        <w:tc>
          <w:tcPr>
            <w:tcW w:w="1688" w:type="dxa"/>
            <w:vMerge/>
            <w:shd w:val="clear" w:color="auto" w:fill="F2F2F2" w:themeFill="background1" w:themeFillShade="F2"/>
            <w:vAlign w:val="center"/>
            <w:hideMark/>
          </w:tcPr>
          <w:p w14:paraId="6F26D165" w14:textId="77777777" w:rsidR="00356B54" w:rsidRPr="00EF584C" w:rsidRDefault="00356B54" w:rsidP="00356B54">
            <w:pPr>
              <w:spacing w:after="0"/>
              <w:jc w:val="center"/>
              <w:rPr>
                <w:color w:val="000000"/>
                <w:szCs w:val="20"/>
                <w:lang w:eastAsia="pl-PL"/>
              </w:rPr>
            </w:pPr>
          </w:p>
        </w:tc>
      </w:tr>
      <w:tr w:rsidR="00356B54" w:rsidRPr="00860A2E" w14:paraId="0D5EA232" w14:textId="77777777" w:rsidTr="00F142BC">
        <w:trPr>
          <w:trHeight w:val="343"/>
        </w:trPr>
        <w:tc>
          <w:tcPr>
            <w:tcW w:w="1337" w:type="dxa"/>
            <w:vMerge/>
            <w:shd w:val="clear" w:color="auto" w:fill="F2F2F2" w:themeFill="background1" w:themeFillShade="F2"/>
            <w:vAlign w:val="center"/>
          </w:tcPr>
          <w:p w14:paraId="7ADC3CBC" w14:textId="77777777" w:rsidR="00356B54" w:rsidRPr="003142A0" w:rsidRDefault="00356B54" w:rsidP="00356B54">
            <w:pPr>
              <w:spacing w:after="0"/>
              <w:jc w:val="center"/>
              <w:rPr>
                <w:color w:val="000000"/>
                <w:sz w:val="18"/>
                <w:szCs w:val="18"/>
                <w:lang w:eastAsia="pl-PL"/>
              </w:rPr>
            </w:pPr>
          </w:p>
        </w:tc>
        <w:tc>
          <w:tcPr>
            <w:tcW w:w="607" w:type="dxa"/>
            <w:shd w:val="clear" w:color="auto" w:fill="F2F2F2" w:themeFill="background1" w:themeFillShade="F2"/>
            <w:noWrap/>
            <w:vAlign w:val="center"/>
          </w:tcPr>
          <w:p w14:paraId="6E12E158" w14:textId="77777777" w:rsidR="00356B54" w:rsidRPr="00070AAD" w:rsidRDefault="00356B54" w:rsidP="00356B54">
            <w:pPr>
              <w:spacing w:after="0"/>
              <w:jc w:val="center"/>
              <w:rPr>
                <w:color w:val="000000"/>
                <w:sz w:val="18"/>
                <w:szCs w:val="18"/>
                <w:lang w:eastAsia="pl-PL"/>
              </w:rPr>
            </w:pPr>
          </w:p>
        </w:tc>
        <w:tc>
          <w:tcPr>
            <w:tcW w:w="604" w:type="dxa"/>
            <w:shd w:val="clear" w:color="auto" w:fill="F2F2F2" w:themeFill="background1" w:themeFillShade="F2"/>
            <w:noWrap/>
            <w:vAlign w:val="center"/>
          </w:tcPr>
          <w:p w14:paraId="655BE048" w14:textId="77777777" w:rsidR="00356B54" w:rsidRPr="00070AAD" w:rsidRDefault="00356B54" w:rsidP="00356B54">
            <w:pPr>
              <w:spacing w:after="0"/>
              <w:jc w:val="center"/>
              <w:rPr>
                <w:color w:val="000000"/>
                <w:sz w:val="18"/>
                <w:szCs w:val="18"/>
                <w:lang w:eastAsia="pl-PL"/>
              </w:rPr>
            </w:pPr>
          </w:p>
        </w:tc>
        <w:tc>
          <w:tcPr>
            <w:tcW w:w="604" w:type="dxa"/>
            <w:shd w:val="clear" w:color="auto" w:fill="F2F2F2" w:themeFill="background1" w:themeFillShade="F2"/>
            <w:noWrap/>
            <w:vAlign w:val="center"/>
          </w:tcPr>
          <w:p w14:paraId="10B818FA" w14:textId="7136B019" w:rsidR="00356B54" w:rsidRPr="00070AAD" w:rsidRDefault="00356B54" w:rsidP="00356B54">
            <w:pPr>
              <w:spacing w:after="0"/>
              <w:jc w:val="center"/>
              <w:rPr>
                <w:color w:val="000000"/>
                <w:sz w:val="18"/>
                <w:szCs w:val="18"/>
                <w:lang w:eastAsia="pl-PL"/>
              </w:rPr>
            </w:pPr>
            <w:r w:rsidRPr="00070AAD">
              <w:rPr>
                <w:color w:val="000000"/>
                <w:sz w:val="18"/>
                <w:szCs w:val="18"/>
                <w:lang w:eastAsia="pl-PL"/>
              </w:rPr>
              <w:t>552</w:t>
            </w:r>
          </w:p>
        </w:tc>
        <w:tc>
          <w:tcPr>
            <w:tcW w:w="604" w:type="dxa"/>
            <w:shd w:val="clear" w:color="auto" w:fill="F2F2F2" w:themeFill="background1" w:themeFillShade="F2"/>
            <w:noWrap/>
            <w:vAlign w:val="center"/>
          </w:tcPr>
          <w:p w14:paraId="01A2FB1A" w14:textId="765BF4F4" w:rsidR="00356B54" w:rsidRPr="00070AAD" w:rsidRDefault="00356B54" w:rsidP="00356B54">
            <w:pPr>
              <w:spacing w:after="0"/>
              <w:jc w:val="center"/>
              <w:rPr>
                <w:color w:val="000000"/>
                <w:sz w:val="18"/>
                <w:szCs w:val="18"/>
                <w:lang w:eastAsia="pl-PL"/>
              </w:rPr>
            </w:pPr>
            <w:r w:rsidRPr="00070AAD">
              <w:rPr>
                <w:color w:val="000000"/>
                <w:sz w:val="18"/>
                <w:szCs w:val="18"/>
                <w:lang w:eastAsia="pl-PL"/>
              </w:rPr>
              <w:t>552</w:t>
            </w:r>
          </w:p>
        </w:tc>
        <w:tc>
          <w:tcPr>
            <w:tcW w:w="604" w:type="dxa"/>
            <w:shd w:val="clear" w:color="auto" w:fill="F2F2F2" w:themeFill="background1" w:themeFillShade="F2"/>
            <w:noWrap/>
            <w:vAlign w:val="center"/>
          </w:tcPr>
          <w:p w14:paraId="6487C479" w14:textId="40D13525" w:rsidR="00356B54" w:rsidRPr="00070AAD" w:rsidRDefault="00356B54" w:rsidP="00356B54">
            <w:pPr>
              <w:spacing w:after="0"/>
              <w:jc w:val="center"/>
              <w:rPr>
                <w:color w:val="000000"/>
                <w:sz w:val="18"/>
                <w:szCs w:val="18"/>
                <w:lang w:eastAsia="pl-PL"/>
              </w:rPr>
            </w:pPr>
            <w:r w:rsidRPr="00070AAD">
              <w:rPr>
                <w:color w:val="000000"/>
                <w:sz w:val="18"/>
                <w:szCs w:val="18"/>
                <w:lang w:eastAsia="pl-PL"/>
              </w:rPr>
              <w:t>552</w:t>
            </w:r>
          </w:p>
        </w:tc>
        <w:tc>
          <w:tcPr>
            <w:tcW w:w="604" w:type="dxa"/>
            <w:shd w:val="clear" w:color="auto" w:fill="F2F2F2" w:themeFill="background1" w:themeFillShade="F2"/>
            <w:noWrap/>
            <w:vAlign w:val="center"/>
          </w:tcPr>
          <w:p w14:paraId="4789405B" w14:textId="34F093B3" w:rsidR="00356B54" w:rsidRPr="00070AAD" w:rsidRDefault="00356B54" w:rsidP="00356B54">
            <w:pPr>
              <w:spacing w:after="0"/>
              <w:jc w:val="center"/>
              <w:rPr>
                <w:color w:val="000000"/>
                <w:sz w:val="18"/>
                <w:szCs w:val="18"/>
                <w:lang w:eastAsia="pl-PL"/>
              </w:rPr>
            </w:pPr>
            <w:r w:rsidRPr="00070AAD">
              <w:rPr>
                <w:color w:val="000000"/>
                <w:sz w:val="18"/>
                <w:szCs w:val="18"/>
                <w:lang w:eastAsia="pl-PL"/>
              </w:rPr>
              <w:t>552</w:t>
            </w:r>
          </w:p>
        </w:tc>
        <w:tc>
          <w:tcPr>
            <w:tcW w:w="602" w:type="dxa"/>
            <w:shd w:val="clear" w:color="auto" w:fill="F2F2F2" w:themeFill="background1" w:themeFillShade="F2"/>
            <w:vAlign w:val="center"/>
          </w:tcPr>
          <w:p w14:paraId="7776C5A9" w14:textId="0C5F09E8" w:rsidR="00356B54" w:rsidRPr="00070AAD" w:rsidRDefault="00356B54" w:rsidP="00356B54">
            <w:pPr>
              <w:spacing w:after="0"/>
              <w:jc w:val="center"/>
              <w:rPr>
                <w:color w:val="000000"/>
                <w:sz w:val="18"/>
                <w:szCs w:val="18"/>
                <w:lang w:eastAsia="pl-PL"/>
              </w:rPr>
            </w:pPr>
            <w:r w:rsidRPr="00070AAD">
              <w:rPr>
                <w:color w:val="000000"/>
                <w:sz w:val="18"/>
                <w:szCs w:val="18"/>
                <w:lang w:eastAsia="pl-PL"/>
              </w:rPr>
              <w:t>552</w:t>
            </w:r>
          </w:p>
        </w:tc>
        <w:tc>
          <w:tcPr>
            <w:tcW w:w="602" w:type="dxa"/>
            <w:shd w:val="clear" w:color="auto" w:fill="F2F2F2" w:themeFill="background1" w:themeFillShade="F2"/>
            <w:vAlign w:val="center"/>
          </w:tcPr>
          <w:p w14:paraId="2289E619" w14:textId="350BAE86" w:rsidR="00356B54" w:rsidRPr="00070AAD" w:rsidRDefault="00356B54" w:rsidP="00356B54">
            <w:pPr>
              <w:spacing w:after="0"/>
              <w:jc w:val="center"/>
              <w:rPr>
                <w:color w:val="000000"/>
                <w:sz w:val="18"/>
                <w:szCs w:val="18"/>
                <w:lang w:eastAsia="pl-PL"/>
              </w:rPr>
            </w:pPr>
            <w:r w:rsidRPr="00070AAD">
              <w:rPr>
                <w:color w:val="000000"/>
                <w:sz w:val="18"/>
                <w:szCs w:val="18"/>
                <w:lang w:eastAsia="pl-PL"/>
              </w:rPr>
              <w:t>552</w:t>
            </w:r>
          </w:p>
        </w:tc>
        <w:tc>
          <w:tcPr>
            <w:tcW w:w="602" w:type="dxa"/>
            <w:shd w:val="clear" w:color="auto" w:fill="F2F2F2" w:themeFill="background1" w:themeFillShade="F2"/>
            <w:vAlign w:val="center"/>
          </w:tcPr>
          <w:p w14:paraId="1F4D10BF" w14:textId="1C3308B9" w:rsidR="00356B54" w:rsidRPr="00070AAD" w:rsidRDefault="00356B54" w:rsidP="00356B54">
            <w:pPr>
              <w:spacing w:after="0"/>
              <w:jc w:val="center"/>
              <w:rPr>
                <w:color w:val="000000"/>
                <w:sz w:val="18"/>
                <w:szCs w:val="18"/>
                <w:lang w:eastAsia="pl-PL"/>
              </w:rPr>
            </w:pPr>
            <w:r w:rsidRPr="00070AAD">
              <w:rPr>
                <w:color w:val="000000"/>
                <w:sz w:val="18"/>
                <w:szCs w:val="18"/>
                <w:lang w:eastAsia="pl-PL"/>
              </w:rPr>
              <w:t>552</w:t>
            </w:r>
          </w:p>
        </w:tc>
        <w:tc>
          <w:tcPr>
            <w:tcW w:w="604" w:type="dxa"/>
            <w:shd w:val="clear" w:color="auto" w:fill="F2F2F2" w:themeFill="background1" w:themeFillShade="F2"/>
            <w:noWrap/>
            <w:vAlign w:val="center"/>
          </w:tcPr>
          <w:p w14:paraId="6A8823AF" w14:textId="6CE263F7" w:rsidR="00356B54" w:rsidRPr="00070AAD" w:rsidRDefault="00356B54" w:rsidP="00356B54">
            <w:pPr>
              <w:spacing w:after="0"/>
              <w:jc w:val="center"/>
              <w:rPr>
                <w:color w:val="000000"/>
                <w:sz w:val="18"/>
                <w:szCs w:val="18"/>
                <w:lang w:eastAsia="pl-PL"/>
              </w:rPr>
            </w:pPr>
            <w:r w:rsidRPr="00070AAD">
              <w:rPr>
                <w:color w:val="000000"/>
                <w:sz w:val="18"/>
                <w:szCs w:val="18"/>
                <w:lang w:eastAsia="pl-PL"/>
              </w:rPr>
              <w:t>552</w:t>
            </w:r>
          </w:p>
        </w:tc>
        <w:tc>
          <w:tcPr>
            <w:tcW w:w="1688" w:type="dxa"/>
            <w:vMerge/>
            <w:shd w:val="clear" w:color="auto" w:fill="F2F2F2" w:themeFill="background1" w:themeFillShade="F2"/>
            <w:vAlign w:val="center"/>
          </w:tcPr>
          <w:p w14:paraId="03CDE88A" w14:textId="77777777" w:rsidR="00356B54" w:rsidRPr="00EF584C" w:rsidRDefault="00356B54" w:rsidP="00356B54">
            <w:pPr>
              <w:spacing w:after="0"/>
              <w:jc w:val="center"/>
              <w:rPr>
                <w:color w:val="000000"/>
                <w:szCs w:val="20"/>
                <w:lang w:eastAsia="pl-PL"/>
              </w:rPr>
            </w:pPr>
          </w:p>
        </w:tc>
      </w:tr>
      <w:tr w:rsidR="00356B54" w:rsidRPr="00860A2E" w14:paraId="3C8C5CEB" w14:textId="77777777" w:rsidTr="00F142BC">
        <w:trPr>
          <w:trHeight w:val="343"/>
        </w:trPr>
        <w:tc>
          <w:tcPr>
            <w:tcW w:w="1337" w:type="dxa"/>
            <w:vMerge/>
            <w:shd w:val="clear" w:color="auto" w:fill="F2F2F2" w:themeFill="background1" w:themeFillShade="F2"/>
            <w:vAlign w:val="center"/>
          </w:tcPr>
          <w:p w14:paraId="02810427" w14:textId="77777777" w:rsidR="00356B54" w:rsidRPr="003142A0" w:rsidRDefault="00356B54" w:rsidP="00356B54">
            <w:pPr>
              <w:spacing w:after="0"/>
              <w:jc w:val="center"/>
              <w:rPr>
                <w:color w:val="000000"/>
                <w:sz w:val="18"/>
                <w:szCs w:val="18"/>
                <w:lang w:eastAsia="pl-PL"/>
              </w:rPr>
            </w:pPr>
          </w:p>
        </w:tc>
        <w:tc>
          <w:tcPr>
            <w:tcW w:w="607" w:type="dxa"/>
            <w:shd w:val="clear" w:color="auto" w:fill="F2F2F2" w:themeFill="background1" w:themeFillShade="F2"/>
            <w:noWrap/>
            <w:vAlign w:val="center"/>
          </w:tcPr>
          <w:p w14:paraId="2A88F12F" w14:textId="77777777" w:rsidR="00356B54" w:rsidRPr="00070AAD" w:rsidRDefault="00356B54" w:rsidP="00356B54">
            <w:pPr>
              <w:spacing w:after="0"/>
              <w:jc w:val="center"/>
              <w:rPr>
                <w:color w:val="000000"/>
                <w:sz w:val="18"/>
                <w:szCs w:val="18"/>
                <w:lang w:eastAsia="pl-PL"/>
              </w:rPr>
            </w:pPr>
          </w:p>
        </w:tc>
        <w:tc>
          <w:tcPr>
            <w:tcW w:w="604" w:type="dxa"/>
            <w:shd w:val="clear" w:color="auto" w:fill="F2F2F2" w:themeFill="background1" w:themeFillShade="F2"/>
            <w:noWrap/>
            <w:vAlign w:val="center"/>
          </w:tcPr>
          <w:p w14:paraId="62996793" w14:textId="6973CD59" w:rsidR="00356B54" w:rsidRPr="00070AAD" w:rsidRDefault="00356B54" w:rsidP="00356B54">
            <w:pPr>
              <w:spacing w:after="0"/>
              <w:jc w:val="center"/>
              <w:rPr>
                <w:color w:val="000000"/>
                <w:sz w:val="18"/>
                <w:szCs w:val="18"/>
                <w:lang w:eastAsia="pl-PL"/>
              </w:rPr>
            </w:pPr>
            <w:r w:rsidRPr="00070AAD">
              <w:rPr>
                <w:color w:val="000000"/>
                <w:sz w:val="18"/>
                <w:szCs w:val="18"/>
                <w:lang w:eastAsia="pl-PL"/>
              </w:rPr>
              <w:t>503</w:t>
            </w:r>
          </w:p>
        </w:tc>
        <w:tc>
          <w:tcPr>
            <w:tcW w:w="604" w:type="dxa"/>
            <w:shd w:val="clear" w:color="auto" w:fill="F2F2F2" w:themeFill="background1" w:themeFillShade="F2"/>
            <w:noWrap/>
            <w:vAlign w:val="center"/>
          </w:tcPr>
          <w:p w14:paraId="32275888" w14:textId="19796F6B" w:rsidR="00356B54" w:rsidRPr="00070AAD" w:rsidRDefault="00356B54" w:rsidP="00356B54">
            <w:pPr>
              <w:spacing w:after="0"/>
              <w:jc w:val="center"/>
              <w:rPr>
                <w:color w:val="000000"/>
                <w:sz w:val="18"/>
                <w:szCs w:val="18"/>
                <w:lang w:eastAsia="pl-PL"/>
              </w:rPr>
            </w:pPr>
            <w:r w:rsidRPr="00070AAD">
              <w:rPr>
                <w:color w:val="000000"/>
                <w:sz w:val="18"/>
                <w:szCs w:val="18"/>
                <w:lang w:eastAsia="pl-PL"/>
              </w:rPr>
              <w:t>503</w:t>
            </w:r>
          </w:p>
        </w:tc>
        <w:tc>
          <w:tcPr>
            <w:tcW w:w="604" w:type="dxa"/>
            <w:shd w:val="clear" w:color="auto" w:fill="F2F2F2" w:themeFill="background1" w:themeFillShade="F2"/>
            <w:noWrap/>
            <w:vAlign w:val="center"/>
          </w:tcPr>
          <w:p w14:paraId="2A7C22FD" w14:textId="4421F4DD" w:rsidR="00356B54" w:rsidRPr="00070AAD" w:rsidRDefault="00356B54" w:rsidP="00356B54">
            <w:pPr>
              <w:spacing w:after="0"/>
              <w:jc w:val="center"/>
              <w:rPr>
                <w:color w:val="000000"/>
                <w:sz w:val="18"/>
                <w:szCs w:val="18"/>
                <w:lang w:eastAsia="pl-PL"/>
              </w:rPr>
            </w:pPr>
            <w:r w:rsidRPr="00070AAD">
              <w:rPr>
                <w:color w:val="000000"/>
                <w:sz w:val="18"/>
                <w:szCs w:val="18"/>
                <w:lang w:eastAsia="pl-PL"/>
              </w:rPr>
              <w:t>503</w:t>
            </w:r>
          </w:p>
        </w:tc>
        <w:tc>
          <w:tcPr>
            <w:tcW w:w="604" w:type="dxa"/>
            <w:shd w:val="clear" w:color="auto" w:fill="F2F2F2" w:themeFill="background1" w:themeFillShade="F2"/>
            <w:noWrap/>
            <w:vAlign w:val="center"/>
          </w:tcPr>
          <w:p w14:paraId="7757059F" w14:textId="65BB9F1F" w:rsidR="00356B54" w:rsidRPr="00070AAD" w:rsidRDefault="00356B54" w:rsidP="00356B54">
            <w:pPr>
              <w:spacing w:after="0"/>
              <w:jc w:val="center"/>
              <w:rPr>
                <w:color w:val="000000"/>
                <w:sz w:val="18"/>
                <w:szCs w:val="18"/>
                <w:lang w:eastAsia="pl-PL"/>
              </w:rPr>
            </w:pPr>
            <w:r w:rsidRPr="00070AAD">
              <w:rPr>
                <w:color w:val="000000"/>
                <w:sz w:val="18"/>
                <w:szCs w:val="18"/>
                <w:lang w:eastAsia="pl-PL"/>
              </w:rPr>
              <w:t>503</w:t>
            </w:r>
          </w:p>
        </w:tc>
        <w:tc>
          <w:tcPr>
            <w:tcW w:w="604" w:type="dxa"/>
            <w:shd w:val="clear" w:color="auto" w:fill="F2F2F2" w:themeFill="background1" w:themeFillShade="F2"/>
            <w:noWrap/>
            <w:vAlign w:val="center"/>
          </w:tcPr>
          <w:p w14:paraId="607F8A10" w14:textId="69D4441F" w:rsidR="00356B54" w:rsidRPr="00070AAD" w:rsidRDefault="00356B54" w:rsidP="00356B54">
            <w:pPr>
              <w:spacing w:after="0"/>
              <w:jc w:val="center"/>
              <w:rPr>
                <w:color w:val="000000"/>
                <w:sz w:val="18"/>
                <w:szCs w:val="18"/>
                <w:lang w:eastAsia="pl-PL"/>
              </w:rPr>
            </w:pPr>
            <w:r w:rsidRPr="00070AAD">
              <w:rPr>
                <w:color w:val="000000"/>
                <w:sz w:val="18"/>
                <w:szCs w:val="18"/>
                <w:lang w:eastAsia="pl-PL"/>
              </w:rPr>
              <w:t>503</w:t>
            </w:r>
          </w:p>
        </w:tc>
        <w:tc>
          <w:tcPr>
            <w:tcW w:w="602" w:type="dxa"/>
            <w:shd w:val="clear" w:color="auto" w:fill="F2F2F2" w:themeFill="background1" w:themeFillShade="F2"/>
            <w:vAlign w:val="center"/>
          </w:tcPr>
          <w:p w14:paraId="17E077D5" w14:textId="0F464DA1" w:rsidR="00356B54" w:rsidRPr="00070AAD" w:rsidRDefault="00356B54" w:rsidP="00356B54">
            <w:pPr>
              <w:spacing w:after="0"/>
              <w:jc w:val="center"/>
              <w:rPr>
                <w:color w:val="000000"/>
                <w:sz w:val="18"/>
                <w:szCs w:val="18"/>
                <w:lang w:eastAsia="pl-PL"/>
              </w:rPr>
            </w:pPr>
            <w:r w:rsidRPr="00070AAD">
              <w:rPr>
                <w:color w:val="000000"/>
                <w:sz w:val="18"/>
                <w:szCs w:val="18"/>
                <w:lang w:eastAsia="pl-PL"/>
              </w:rPr>
              <w:t>503</w:t>
            </w:r>
          </w:p>
        </w:tc>
        <w:tc>
          <w:tcPr>
            <w:tcW w:w="602" w:type="dxa"/>
            <w:shd w:val="clear" w:color="auto" w:fill="F2F2F2" w:themeFill="background1" w:themeFillShade="F2"/>
            <w:vAlign w:val="center"/>
          </w:tcPr>
          <w:p w14:paraId="1961EF10" w14:textId="171CD057" w:rsidR="00356B54" w:rsidRPr="00070AAD" w:rsidRDefault="00356B54" w:rsidP="00356B54">
            <w:pPr>
              <w:spacing w:after="0"/>
              <w:jc w:val="center"/>
              <w:rPr>
                <w:color w:val="000000"/>
                <w:sz w:val="18"/>
                <w:szCs w:val="18"/>
                <w:lang w:eastAsia="pl-PL"/>
              </w:rPr>
            </w:pPr>
            <w:r w:rsidRPr="00070AAD">
              <w:rPr>
                <w:color w:val="000000"/>
                <w:sz w:val="18"/>
                <w:szCs w:val="18"/>
                <w:lang w:eastAsia="pl-PL"/>
              </w:rPr>
              <w:t>503</w:t>
            </w:r>
          </w:p>
        </w:tc>
        <w:tc>
          <w:tcPr>
            <w:tcW w:w="602" w:type="dxa"/>
            <w:shd w:val="clear" w:color="auto" w:fill="F2F2F2" w:themeFill="background1" w:themeFillShade="F2"/>
            <w:vAlign w:val="center"/>
          </w:tcPr>
          <w:p w14:paraId="5D1CF3A1" w14:textId="47714B95" w:rsidR="00356B54" w:rsidRPr="00070AAD" w:rsidRDefault="00356B54" w:rsidP="00356B54">
            <w:pPr>
              <w:spacing w:after="0"/>
              <w:jc w:val="center"/>
              <w:rPr>
                <w:color w:val="000000"/>
                <w:sz w:val="18"/>
                <w:szCs w:val="18"/>
                <w:lang w:eastAsia="pl-PL"/>
              </w:rPr>
            </w:pPr>
            <w:r w:rsidRPr="00070AAD">
              <w:rPr>
                <w:color w:val="000000"/>
                <w:sz w:val="18"/>
                <w:szCs w:val="18"/>
                <w:lang w:eastAsia="pl-PL"/>
              </w:rPr>
              <w:t>503</w:t>
            </w:r>
          </w:p>
        </w:tc>
        <w:tc>
          <w:tcPr>
            <w:tcW w:w="604" w:type="dxa"/>
            <w:shd w:val="clear" w:color="auto" w:fill="F2F2F2" w:themeFill="background1" w:themeFillShade="F2"/>
            <w:noWrap/>
            <w:vAlign w:val="center"/>
          </w:tcPr>
          <w:p w14:paraId="3ABB57E2" w14:textId="606D72E3" w:rsidR="00356B54" w:rsidRPr="00070AAD" w:rsidRDefault="00356B54" w:rsidP="00356B54">
            <w:pPr>
              <w:spacing w:after="0"/>
              <w:jc w:val="center"/>
              <w:rPr>
                <w:color w:val="000000"/>
                <w:sz w:val="18"/>
                <w:szCs w:val="18"/>
                <w:lang w:eastAsia="pl-PL"/>
              </w:rPr>
            </w:pPr>
            <w:r w:rsidRPr="00070AAD">
              <w:rPr>
                <w:color w:val="000000"/>
                <w:sz w:val="18"/>
                <w:szCs w:val="18"/>
                <w:lang w:eastAsia="pl-PL"/>
              </w:rPr>
              <w:t>503</w:t>
            </w:r>
          </w:p>
        </w:tc>
        <w:tc>
          <w:tcPr>
            <w:tcW w:w="1688" w:type="dxa"/>
            <w:vMerge/>
            <w:shd w:val="clear" w:color="auto" w:fill="F2F2F2" w:themeFill="background1" w:themeFillShade="F2"/>
            <w:vAlign w:val="center"/>
          </w:tcPr>
          <w:p w14:paraId="40273E43" w14:textId="77777777" w:rsidR="00356B54" w:rsidRPr="00EF584C" w:rsidRDefault="00356B54" w:rsidP="00356B54">
            <w:pPr>
              <w:spacing w:after="0"/>
              <w:jc w:val="center"/>
              <w:rPr>
                <w:color w:val="000000"/>
                <w:szCs w:val="20"/>
                <w:lang w:eastAsia="pl-PL"/>
              </w:rPr>
            </w:pPr>
          </w:p>
        </w:tc>
      </w:tr>
      <w:tr w:rsidR="00356B54" w:rsidRPr="00860A2E" w14:paraId="642BCFA4" w14:textId="77777777" w:rsidTr="00F142BC">
        <w:trPr>
          <w:trHeight w:val="343"/>
        </w:trPr>
        <w:tc>
          <w:tcPr>
            <w:tcW w:w="1337" w:type="dxa"/>
            <w:vMerge/>
            <w:tcBorders>
              <w:bottom w:val="single" w:sz="12" w:space="0" w:color="auto"/>
            </w:tcBorders>
            <w:shd w:val="clear" w:color="auto" w:fill="F2F2F2" w:themeFill="background1" w:themeFillShade="F2"/>
            <w:vAlign w:val="center"/>
          </w:tcPr>
          <w:p w14:paraId="6FD56F45" w14:textId="77777777" w:rsidR="00356B54" w:rsidRPr="003142A0" w:rsidRDefault="00356B54" w:rsidP="00356B54">
            <w:pPr>
              <w:spacing w:after="0"/>
              <w:jc w:val="center"/>
              <w:rPr>
                <w:color w:val="000000"/>
                <w:sz w:val="18"/>
                <w:szCs w:val="18"/>
                <w:lang w:eastAsia="pl-PL"/>
              </w:rPr>
            </w:pPr>
          </w:p>
        </w:tc>
        <w:tc>
          <w:tcPr>
            <w:tcW w:w="607" w:type="dxa"/>
            <w:tcBorders>
              <w:bottom w:val="single" w:sz="12" w:space="0" w:color="auto"/>
            </w:tcBorders>
            <w:shd w:val="clear" w:color="auto" w:fill="F2F2F2" w:themeFill="background1" w:themeFillShade="F2"/>
            <w:noWrap/>
            <w:vAlign w:val="center"/>
          </w:tcPr>
          <w:p w14:paraId="6A1AAA57" w14:textId="29B2E2DC" w:rsidR="00356B54" w:rsidRPr="00070AAD" w:rsidRDefault="00356B54" w:rsidP="00356B54">
            <w:pPr>
              <w:spacing w:after="0"/>
              <w:jc w:val="center"/>
              <w:rPr>
                <w:color w:val="000000"/>
                <w:sz w:val="18"/>
                <w:szCs w:val="18"/>
                <w:lang w:eastAsia="pl-PL"/>
              </w:rPr>
            </w:pPr>
            <w:r w:rsidRPr="00070AAD">
              <w:rPr>
                <w:color w:val="000000"/>
                <w:sz w:val="18"/>
                <w:szCs w:val="18"/>
                <w:lang w:eastAsia="pl-PL"/>
              </w:rPr>
              <w:t>552</w:t>
            </w:r>
          </w:p>
        </w:tc>
        <w:tc>
          <w:tcPr>
            <w:tcW w:w="604" w:type="dxa"/>
            <w:tcBorders>
              <w:bottom w:val="single" w:sz="12" w:space="0" w:color="auto"/>
            </w:tcBorders>
            <w:shd w:val="clear" w:color="auto" w:fill="F2F2F2" w:themeFill="background1" w:themeFillShade="F2"/>
            <w:noWrap/>
            <w:vAlign w:val="center"/>
          </w:tcPr>
          <w:p w14:paraId="1C05CA9D" w14:textId="33BAEE2B" w:rsidR="00356B54" w:rsidRPr="00070AAD" w:rsidRDefault="00356B54" w:rsidP="00356B54">
            <w:pPr>
              <w:spacing w:after="0"/>
              <w:jc w:val="center"/>
              <w:rPr>
                <w:color w:val="000000"/>
                <w:sz w:val="18"/>
                <w:szCs w:val="18"/>
                <w:lang w:eastAsia="pl-PL"/>
              </w:rPr>
            </w:pPr>
            <w:r w:rsidRPr="00070AAD">
              <w:rPr>
                <w:color w:val="000000"/>
                <w:sz w:val="18"/>
                <w:szCs w:val="18"/>
                <w:lang w:eastAsia="pl-PL"/>
              </w:rPr>
              <w:t>552</w:t>
            </w:r>
          </w:p>
        </w:tc>
        <w:tc>
          <w:tcPr>
            <w:tcW w:w="604" w:type="dxa"/>
            <w:tcBorders>
              <w:bottom w:val="single" w:sz="12" w:space="0" w:color="auto"/>
            </w:tcBorders>
            <w:shd w:val="clear" w:color="auto" w:fill="F2F2F2" w:themeFill="background1" w:themeFillShade="F2"/>
            <w:noWrap/>
            <w:vAlign w:val="center"/>
          </w:tcPr>
          <w:p w14:paraId="253A97F1" w14:textId="7EE8E71B" w:rsidR="00356B54" w:rsidRPr="00070AAD" w:rsidRDefault="00356B54" w:rsidP="00356B54">
            <w:pPr>
              <w:spacing w:after="0"/>
              <w:jc w:val="center"/>
              <w:rPr>
                <w:color w:val="000000"/>
                <w:sz w:val="18"/>
                <w:szCs w:val="18"/>
                <w:lang w:eastAsia="pl-PL"/>
              </w:rPr>
            </w:pPr>
            <w:r w:rsidRPr="00070AAD">
              <w:rPr>
                <w:color w:val="000000"/>
                <w:sz w:val="18"/>
                <w:szCs w:val="18"/>
                <w:lang w:eastAsia="pl-PL"/>
              </w:rPr>
              <w:t>437</w:t>
            </w:r>
          </w:p>
        </w:tc>
        <w:tc>
          <w:tcPr>
            <w:tcW w:w="604" w:type="dxa"/>
            <w:tcBorders>
              <w:bottom w:val="single" w:sz="12" w:space="0" w:color="auto"/>
            </w:tcBorders>
            <w:shd w:val="clear" w:color="auto" w:fill="F2F2F2" w:themeFill="background1" w:themeFillShade="F2"/>
            <w:noWrap/>
            <w:vAlign w:val="center"/>
          </w:tcPr>
          <w:p w14:paraId="53E3C726" w14:textId="61DD4D8C" w:rsidR="00356B54" w:rsidRPr="00070AAD" w:rsidRDefault="00356B54" w:rsidP="00356B54">
            <w:pPr>
              <w:spacing w:after="0"/>
              <w:jc w:val="center"/>
              <w:rPr>
                <w:color w:val="000000"/>
                <w:sz w:val="18"/>
                <w:szCs w:val="18"/>
                <w:lang w:eastAsia="pl-PL"/>
              </w:rPr>
            </w:pPr>
            <w:r w:rsidRPr="00070AAD">
              <w:rPr>
                <w:color w:val="000000"/>
                <w:sz w:val="18"/>
                <w:szCs w:val="18"/>
                <w:lang w:eastAsia="pl-PL"/>
              </w:rPr>
              <w:t>437</w:t>
            </w:r>
          </w:p>
        </w:tc>
        <w:tc>
          <w:tcPr>
            <w:tcW w:w="604" w:type="dxa"/>
            <w:tcBorders>
              <w:bottom w:val="single" w:sz="12" w:space="0" w:color="auto"/>
            </w:tcBorders>
            <w:shd w:val="clear" w:color="auto" w:fill="F2F2F2" w:themeFill="background1" w:themeFillShade="F2"/>
            <w:noWrap/>
            <w:vAlign w:val="center"/>
          </w:tcPr>
          <w:p w14:paraId="645BEB66" w14:textId="01F4E0F6" w:rsidR="00356B54" w:rsidRPr="00070AAD" w:rsidRDefault="00356B54" w:rsidP="00356B54">
            <w:pPr>
              <w:spacing w:after="0"/>
              <w:jc w:val="center"/>
              <w:rPr>
                <w:color w:val="000000"/>
                <w:sz w:val="18"/>
                <w:szCs w:val="18"/>
                <w:lang w:eastAsia="pl-PL"/>
              </w:rPr>
            </w:pPr>
            <w:r w:rsidRPr="00070AAD">
              <w:rPr>
                <w:color w:val="000000"/>
                <w:sz w:val="18"/>
                <w:szCs w:val="18"/>
                <w:lang w:eastAsia="pl-PL"/>
              </w:rPr>
              <w:t>437</w:t>
            </w:r>
          </w:p>
        </w:tc>
        <w:tc>
          <w:tcPr>
            <w:tcW w:w="604" w:type="dxa"/>
            <w:tcBorders>
              <w:bottom w:val="single" w:sz="12" w:space="0" w:color="auto"/>
            </w:tcBorders>
            <w:shd w:val="clear" w:color="auto" w:fill="F2F2F2" w:themeFill="background1" w:themeFillShade="F2"/>
            <w:noWrap/>
            <w:vAlign w:val="center"/>
          </w:tcPr>
          <w:p w14:paraId="356285CA" w14:textId="2A66DC77" w:rsidR="00356B54" w:rsidRPr="00070AAD" w:rsidRDefault="00356B54" w:rsidP="00356B54">
            <w:pPr>
              <w:spacing w:after="0"/>
              <w:jc w:val="center"/>
              <w:rPr>
                <w:color w:val="000000"/>
                <w:sz w:val="18"/>
                <w:szCs w:val="18"/>
                <w:lang w:eastAsia="pl-PL"/>
              </w:rPr>
            </w:pPr>
            <w:r w:rsidRPr="00070AAD">
              <w:rPr>
                <w:color w:val="000000"/>
                <w:sz w:val="18"/>
                <w:szCs w:val="18"/>
                <w:lang w:eastAsia="pl-PL"/>
              </w:rPr>
              <w:t>437</w:t>
            </w:r>
          </w:p>
        </w:tc>
        <w:tc>
          <w:tcPr>
            <w:tcW w:w="602" w:type="dxa"/>
            <w:tcBorders>
              <w:bottom w:val="single" w:sz="12" w:space="0" w:color="auto"/>
            </w:tcBorders>
            <w:shd w:val="clear" w:color="auto" w:fill="F2F2F2" w:themeFill="background1" w:themeFillShade="F2"/>
            <w:vAlign w:val="center"/>
          </w:tcPr>
          <w:p w14:paraId="1FB37924" w14:textId="47248352" w:rsidR="00356B54" w:rsidRPr="00070AAD" w:rsidRDefault="00356B54" w:rsidP="00356B54">
            <w:pPr>
              <w:spacing w:after="0"/>
              <w:jc w:val="center"/>
              <w:rPr>
                <w:color w:val="000000"/>
                <w:sz w:val="18"/>
                <w:szCs w:val="18"/>
                <w:lang w:eastAsia="pl-PL"/>
              </w:rPr>
            </w:pPr>
            <w:r w:rsidRPr="00070AAD">
              <w:rPr>
                <w:color w:val="000000"/>
                <w:sz w:val="18"/>
                <w:szCs w:val="18"/>
                <w:lang w:eastAsia="pl-PL"/>
              </w:rPr>
              <w:t>437</w:t>
            </w:r>
          </w:p>
        </w:tc>
        <w:tc>
          <w:tcPr>
            <w:tcW w:w="602" w:type="dxa"/>
            <w:tcBorders>
              <w:bottom w:val="single" w:sz="12" w:space="0" w:color="auto"/>
            </w:tcBorders>
            <w:shd w:val="clear" w:color="auto" w:fill="F2F2F2" w:themeFill="background1" w:themeFillShade="F2"/>
            <w:vAlign w:val="center"/>
          </w:tcPr>
          <w:p w14:paraId="433B1CFD" w14:textId="5ECEB335" w:rsidR="00356B54" w:rsidRPr="00070AAD" w:rsidRDefault="00356B54" w:rsidP="00356B54">
            <w:pPr>
              <w:spacing w:after="0"/>
              <w:jc w:val="center"/>
              <w:rPr>
                <w:color w:val="000000"/>
                <w:sz w:val="18"/>
                <w:szCs w:val="18"/>
                <w:lang w:eastAsia="pl-PL"/>
              </w:rPr>
            </w:pPr>
            <w:r w:rsidRPr="00070AAD">
              <w:rPr>
                <w:color w:val="000000"/>
                <w:sz w:val="18"/>
                <w:szCs w:val="18"/>
                <w:lang w:eastAsia="pl-PL"/>
              </w:rPr>
              <w:t>437</w:t>
            </w:r>
          </w:p>
        </w:tc>
        <w:tc>
          <w:tcPr>
            <w:tcW w:w="602" w:type="dxa"/>
            <w:tcBorders>
              <w:bottom w:val="single" w:sz="12" w:space="0" w:color="auto"/>
            </w:tcBorders>
            <w:shd w:val="clear" w:color="auto" w:fill="F2F2F2" w:themeFill="background1" w:themeFillShade="F2"/>
            <w:vAlign w:val="center"/>
          </w:tcPr>
          <w:p w14:paraId="4DD3F79E" w14:textId="3ABDF0F7" w:rsidR="00356B54" w:rsidRPr="00070AAD" w:rsidRDefault="00356B54" w:rsidP="00356B54">
            <w:pPr>
              <w:spacing w:after="0"/>
              <w:jc w:val="center"/>
              <w:rPr>
                <w:color w:val="000000"/>
                <w:sz w:val="18"/>
                <w:szCs w:val="18"/>
                <w:lang w:eastAsia="pl-PL"/>
              </w:rPr>
            </w:pPr>
            <w:r w:rsidRPr="00070AAD">
              <w:rPr>
                <w:color w:val="000000"/>
                <w:sz w:val="18"/>
                <w:szCs w:val="18"/>
                <w:lang w:eastAsia="pl-PL"/>
              </w:rPr>
              <w:t>372</w:t>
            </w:r>
          </w:p>
        </w:tc>
        <w:tc>
          <w:tcPr>
            <w:tcW w:w="604" w:type="dxa"/>
            <w:tcBorders>
              <w:bottom w:val="single" w:sz="12" w:space="0" w:color="auto"/>
            </w:tcBorders>
            <w:shd w:val="clear" w:color="auto" w:fill="F2F2F2" w:themeFill="background1" w:themeFillShade="F2"/>
            <w:noWrap/>
            <w:vAlign w:val="center"/>
          </w:tcPr>
          <w:p w14:paraId="57CF3CD7" w14:textId="23D1FF1C" w:rsidR="00356B54" w:rsidRPr="00070AAD" w:rsidRDefault="00356B54" w:rsidP="00356B54">
            <w:pPr>
              <w:spacing w:after="0"/>
              <w:jc w:val="center"/>
              <w:rPr>
                <w:color w:val="000000"/>
                <w:sz w:val="18"/>
                <w:szCs w:val="18"/>
                <w:lang w:eastAsia="pl-PL"/>
              </w:rPr>
            </w:pPr>
            <w:r w:rsidRPr="00070AAD">
              <w:rPr>
                <w:color w:val="000000"/>
                <w:sz w:val="18"/>
                <w:szCs w:val="18"/>
                <w:lang w:eastAsia="pl-PL"/>
              </w:rPr>
              <w:t>372</w:t>
            </w:r>
          </w:p>
        </w:tc>
        <w:tc>
          <w:tcPr>
            <w:tcW w:w="1688" w:type="dxa"/>
            <w:vMerge/>
            <w:tcBorders>
              <w:bottom w:val="single" w:sz="12" w:space="0" w:color="auto"/>
            </w:tcBorders>
            <w:shd w:val="clear" w:color="auto" w:fill="F2F2F2" w:themeFill="background1" w:themeFillShade="F2"/>
            <w:vAlign w:val="center"/>
          </w:tcPr>
          <w:p w14:paraId="445DF925" w14:textId="77777777" w:rsidR="00356B54" w:rsidRPr="00EF584C" w:rsidRDefault="00356B54" w:rsidP="00356B54">
            <w:pPr>
              <w:spacing w:after="0"/>
              <w:jc w:val="center"/>
              <w:rPr>
                <w:color w:val="000000"/>
                <w:szCs w:val="20"/>
                <w:lang w:eastAsia="pl-PL"/>
              </w:rPr>
            </w:pPr>
          </w:p>
        </w:tc>
      </w:tr>
      <w:tr w:rsidR="00356B54" w:rsidRPr="001F2FB3" w14:paraId="23E6B699" w14:textId="77777777" w:rsidTr="00F142BC">
        <w:trPr>
          <w:trHeight w:val="343"/>
        </w:trPr>
        <w:tc>
          <w:tcPr>
            <w:tcW w:w="1337" w:type="dxa"/>
            <w:tcBorders>
              <w:top w:val="single" w:sz="12" w:space="0" w:color="auto"/>
            </w:tcBorders>
            <w:shd w:val="clear" w:color="auto" w:fill="F2F2F2" w:themeFill="background1" w:themeFillShade="F2"/>
            <w:noWrap/>
            <w:vAlign w:val="center"/>
            <w:hideMark/>
          </w:tcPr>
          <w:p w14:paraId="7FC9A030" w14:textId="77777777" w:rsidR="00356B54" w:rsidRPr="003142A0" w:rsidRDefault="00356B54" w:rsidP="00356B54">
            <w:pPr>
              <w:spacing w:after="0"/>
              <w:jc w:val="center"/>
              <w:rPr>
                <w:color w:val="000000"/>
                <w:sz w:val="18"/>
                <w:szCs w:val="18"/>
                <w:lang w:eastAsia="pl-PL"/>
              </w:rPr>
            </w:pPr>
            <w:r w:rsidRPr="003142A0">
              <w:rPr>
                <w:color w:val="000000"/>
                <w:sz w:val="18"/>
                <w:szCs w:val="18"/>
                <w:lang w:eastAsia="pl-PL"/>
              </w:rPr>
              <w:t>razem (ktoe)</w:t>
            </w:r>
          </w:p>
        </w:tc>
        <w:tc>
          <w:tcPr>
            <w:tcW w:w="607" w:type="dxa"/>
            <w:tcBorders>
              <w:top w:val="single" w:sz="12" w:space="0" w:color="auto"/>
            </w:tcBorders>
            <w:shd w:val="clear" w:color="auto" w:fill="F2F2F2" w:themeFill="background1" w:themeFillShade="F2"/>
            <w:noWrap/>
            <w:vAlign w:val="center"/>
          </w:tcPr>
          <w:p w14:paraId="75135AEE" w14:textId="56125178" w:rsidR="00356B54" w:rsidRPr="00070AAD" w:rsidRDefault="00356B54" w:rsidP="00356B54">
            <w:pPr>
              <w:spacing w:after="0"/>
              <w:jc w:val="center"/>
              <w:rPr>
                <w:b/>
                <w:color w:val="1F3864" w:themeColor="accent1" w:themeShade="80"/>
                <w:sz w:val="18"/>
                <w:szCs w:val="18"/>
                <w:lang w:eastAsia="pl-PL"/>
              </w:rPr>
            </w:pPr>
            <w:r w:rsidRPr="00070AAD">
              <w:rPr>
                <w:rFonts w:cs="Calibri"/>
                <w:b/>
                <w:bCs/>
                <w:color w:val="1F3864" w:themeColor="accent1" w:themeShade="80"/>
                <w:sz w:val="18"/>
                <w:szCs w:val="18"/>
              </w:rPr>
              <w:t>552</w:t>
            </w:r>
          </w:p>
        </w:tc>
        <w:tc>
          <w:tcPr>
            <w:tcW w:w="604" w:type="dxa"/>
            <w:tcBorders>
              <w:top w:val="single" w:sz="12" w:space="0" w:color="auto"/>
            </w:tcBorders>
            <w:shd w:val="clear" w:color="auto" w:fill="F2F2F2" w:themeFill="background1" w:themeFillShade="F2"/>
            <w:noWrap/>
            <w:vAlign w:val="center"/>
          </w:tcPr>
          <w:p w14:paraId="0294424B" w14:textId="1398DCEE" w:rsidR="00356B54" w:rsidRPr="00070AAD" w:rsidRDefault="00356B54" w:rsidP="00356B54">
            <w:pPr>
              <w:spacing w:after="0"/>
              <w:jc w:val="center"/>
              <w:rPr>
                <w:b/>
                <w:color w:val="1F3864" w:themeColor="accent1" w:themeShade="80"/>
                <w:sz w:val="18"/>
                <w:szCs w:val="18"/>
                <w:lang w:eastAsia="pl-PL"/>
              </w:rPr>
            </w:pPr>
            <w:r w:rsidRPr="00070AAD">
              <w:rPr>
                <w:rFonts w:cs="Calibri"/>
                <w:b/>
                <w:bCs/>
                <w:color w:val="1F3864" w:themeColor="accent1" w:themeShade="80"/>
                <w:sz w:val="18"/>
                <w:szCs w:val="18"/>
              </w:rPr>
              <w:t>1055</w:t>
            </w:r>
          </w:p>
        </w:tc>
        <w:tc>
          <w:tcPr>
            <w:tcW w:w="604" w:type="dxa"/>
            <w:tcBorders>
              <w:top w:val="single" w:sz="12" w:space="0" w:color="auto"/>
            </w:tcBorders>
            <w:shd w:val="clear" w:color="auto" w:fill="F2F2F2" w:themeFill="background1" w:themeFillShade="F2"/>
            <w:noWrap/>
            <w:vAlign w:val="center"/>
          </w:tcPr>
          <w:p w14:paraId="0CBFE508" w14:textId="09E79A89" w:rsidR="00356B54" w:rsidRPr="00070AAD" w:rsidRDefault="00356B54" w:rsidP="00356B54">
            <w:pPr>
              <w:spacing w:after="0"/>
              <w:jc w:val="center"/>
              <w:rPr>
                <w:b/>
                <w:color w:val="1F3864" w:themeColor="accent1" w:themeShade="80"/>
                <w:sz w:val="18"/>
                <w:szCs w:val="18"/>
                <w:lang w:eastAsia="pl-PL"/>
              </w:rPr>
            </w:pPr>
            <w:r w:rsidRPr="00070AAD">
              <w:rPr>
                <w:rFonts w:cs="Calibri"/>
                <w:b/>
                <w:bCs/>
                <w:color w:val="1F3864" w:themeColor="accent1" w:themeShade="80"/>
                <w:sz w:val="18"/>
                <w:szCs w:val="18"/>
              </w:rPr>
              <w:t>1492</w:t>
            </w:r>
          </w:p>
        </w:tc>
        <w:tc>
          <w:tcPr>
            <w:tcW w:w="604" w:type="dxa"/>
            <w:tcBorders>
              <w:top w:val="single" w:sz="12" w:space="0" w:color="auto"/>
            </w:tcBorders>
            <w:shd w:val="clear" w:color="auto" w:fill="F2F2F2" w:themeFill="background1" w:themeFillShade="F2"/>
            <w:noWrap/>
            <w:vAlign w:val="center"/>
          </w:tcPr>
          <w:p w14:paraId="38C216B6" w14:textId="4A34A4AC" w:rsidR="00356B54" w:rsidRPr="00070AAD" w:rsidRDefault="00356B54" w:rsidP="00356B54">
            <w:pPr>
              <w:spacing w:after="0"/>
              <w:jc w:val="center"/>
              <w:rPr>
                <w:b/>
                <w:color w:val="1F3864" w:themeColor="accent1" w:themeShade="80"/>
                <w:sz w:val="18"/>
                <w:szCs w:val="18"/>
                <w:lang w:eastAsia="pl-PL"/>
              </w:rPr>
            </w:pPr>
            <w:r w:rsidRPr="00070AAD">
              <w:rPr>
                <w:rFonts w:cs="Calibri"/>
                <w:b/>
                <w:bCs/>
                <w:color w:val="1F3864" w:themeColor="accent1" w:themeShade="80"/>
                <w:sz w:val="18"/>
                <w:szCs w:val="18"/>
              </w:rPr>
              <w:t>24</w:t>
            </w:r>
            <w:r>
              <w:rPr>
                <w:rFonts w:cs="Calibri"/>
                <w:b/>
                <w:bCs/>
                <w:color w:val="1F3864" w:themeColor="accent1" w:themeShade="80"/>
                <w:sz w:val="18"/>
                <w:szCs w:val="18"/>
              </w:rPr>
              <w:t>19</w:t>
            </w:r>
          </w:p>
        </w:tc>
        <w:tc>
          <w:tcPr>
            <w:tcW w:w="604" w:type="dxa"/>
            <w:tcBorders>
              <w:top w:val="single" w:sz="12" w:space="0" w:color="auto"/>
            </w:tcBorders>
            <w:shd w:val="clear" w:color="auto" w:fill="F2F2F2" w:themeFill="background1" w:themeFillShade="F2"/>
            <w:noWrap/>
            <w:vAlign w:val="center"/>
          </w:tcPr>
          <w:p w14:paraId="08EE146F" w14:textId="609E299B" w:rsidR="00356B54" w:rsidRPr="00070AAD" w:rsidRDefault="00356B54" w:rsidP="00356B54">
            <w:pPr>
              <w:spacing w:after="0"/>
              <w:jc w:val="center"/>
              <w:rPr>
                <w:b/>
                <w:color w:val="1F3864" w:themeColor="accent1" w:themeShade="80"/>
                <w:sz w:val="18"/>
                <w:szCs w:val="18"/>
                <w:lang w:eastAsia="pl-PL"/>
              </w:rPr>
            </w:pPr>
            <w:r w:rsidRPr="00070AAD">
              <w:rPr>
                <w:rFonts w:cs="Calibri"/>
                <w:b/>
                <w:bCs/>
                <w:color w:val="1F3864" w:themeColor="accent1" w:themeShade="80"/>
                <w:sz w:val="18"/>
                <w:szCs w:val="18"/>
              </w:rPr>
              <w:t>3</w:t>
            </w:r>
            <w:r>
              <w:rPr>
                <w:rFonts w:cs="Calibri"/>
                <w:b/>
                <w:bCs/>
                <w:color w:val="1F3864" w:themeColor="accent1" w:themeShade="80"/>
                <w:sz w:val="18"/>
                <w:szCs w:val="18"/>
              </w:rPr>
              <w:t>548</w:t>
            </w:r>
          </w:p>
        </w:tc>
        <w:tc>
          <w:tcPr>
            <w:tcW w:w="604" w:type="dxa"/>
            <w:tcBorders>
              <w:top w:val="single" w:sz="12" w:space="0" w:color="auto"/>
            </w:tcBorders>
            <w:shd w:val="clear" w:color="auto" w:fill="F2F2F2" w:themeFill="background1" w:themeFillShade="F2"/>
            <w:noWrap/>
            <w:vAlign w:val="center"/>
          </w:tcPr>
          <w:p w14:paraId="3092A617" w14:textId="2EAF1852" w:rsidR="00356B54" w:rsidRPr="00070AAD" w:rsidRDefault="00356B54" w:rsidP="00356B54">
            <w:pPr>
              <w:spacing w:after="0"/>
              <w:jc w:val="center"/>
              <w:rPr>
                <w:b/>
                <w:color w:val="1F3864" w:themeColor="accent1" w:themeShade="80"/>
                <w:sz w:val="18"/>
                <w:szCs w:val="18"/>
                <w:lang w:eastAsia="pl-PL"/>
              </w:rPr>
            </w:pPr>
            <w:r w:rsidRPr="00070AAD">
              <w:rPr>
                <w:rFonts w:cs="Calibri"/>
                <w:b/>
                <w:bCs/>
                <w:color w:val="1F3864" w:themeColor="accent1" w:themeShade="80"/>
                <w:sz w:val="18"/>
                <w:szCs w:val="18"/>
              </w:rPr>
              <w:t>4</w:t>
            </w:r>
            <w:r>
              <w:rPr>
                <w:rFonts w:cs="Calibri"/>
                <w:b/>
                <w:bCs/>
                <w:color w:val="1F3864" w:themeColor="accent1" w:themeShade="80"/>
                <w:sz w:val="18"/>
                <w:szCs w:val="18"/>
              </w:rPr>
              <w:t>698</w:t>
            </w:r>
          </w:p>
        </w:tc>
        <w:tc>
          <w:tcPr>
            <w:tcW w:w="602" w:type="dxa"/>
            <w:tcBorders>
              <w:top w:val="single" w:sz="12" w:space="0" w:color="auto"/>
            </w:tcBorders>
            <w:shd w:val="clear" w:color="auto" w:fill="F2F2F2" w:themeFill="background1" w:themeFillShade="F2"/>
            <w:vAlign w:val="center"/>
          </w:tcPr>
          <w:p w14:paraId="04FA89F0" w14:textId="0E44C2AE" w:rsidR="00356B54" w:rsidRPr="00070AAD" w:rsidRDefault="00356B54" w:rsidP="00356B54">
            <w:pPr>
              <w:spacing w:after="0"/>
              <w:jc w:val="center"/>
              <w:rPr>
                <w:b/>
                <w:color w:val="1F3864" w:themeColor="accent1" w:themeShade="80"/>
                <w:sz w:val="18"/>
                <w:szCs w:val="18"/>
                <w:lang w:eastAsia="pl-PL"/>
              </w:rPr>
            </w:pPr>
            <w:r w:rsidRPr="00070AAD">
              <w:rPr>
                <w:rFonts w:cs="Calibri"/>
                <w:b/>
                <w:bCs/>
                <w:color w:val="1F3864" w:themeColor="accent1" w:themeShade="80"/>
                <w:sz w:val="18"/>
                <w:szCs w:val="18"/>
              </w:rPr>
              <w:t>5</w:t>
            </w:r>
            <w:r>
              <w:rPr>
                <w:rFonts w:cs="Calibri"/>
                <w:b/>
                <w:bCs/>
                <w:color w:val="1F3864" w:themeColor="accent1" w:themeShade="80"/>
                <w:sz w:val="18"/>
                <w:szCs w:val="18"/>
              </w:rPr>
              <w:t>878</w:t>
            </w:r>
          </w:p>
        </w:tc>
        <w:tc>
          <w:tcPr>
            <w:tcW w:w="602" w:type="dxa"/>
            <w:tcBorders>
              <w:top w:val="single" w:sz="12" w:space="0" w:color="auto"/>
            </w:tcBorders>
            <w:shd w:val="clear" w:color="auto" w:fill="F2F2F2" w:themeFill="background1" w:themeFillShade="F2"/>
            <w:vAlign w:val="center"/>
          </w:tcPr>
          <w:p w14:paraId="1A8A7DE7" w14:textId="7EED4C39" w:rsidR="00356B54" w:rsidRPr="00070AAD" w:rsidRDefault="00356B54" w:rsidP="00356B54">
            <w:pPr>
              <w:spacing w:after="0"/>
              <w:jc w:val="center"/>
              <w:rPr>
                <w:b/>
                <w:color w:val="1F3864" w:themeColor="accent1" w:themeShade="80"/>
                <w:sz w:val="18"/>
                <w:szCs w:val="18"/>
                <w:lang w:eastAsia="pl-PL"/>
              </w:rPr>
            </w:pPr>
            <w:r w:rsidRPr="00070AAD">
              <w:rPr>
                <w:rFonts w:cs="Calibri"/>
                <w:b/>
                <w:bCs/>
                <w:color w:val="1F3864" w:themeColor="accent1" w:themeShade="80"/>
                <w:sz w:val="18"/>
                <w:szCs w:val="18"/>
              </w:rPr>
              <w:t>7</w:t>
            </w:r>
            <w:r>
              <w:rPr>
                <w:rFonts w:cs="Calibri"/>
                <w:b/>
                <w:bCs/>
                <w:color w:val="1F3864" w:themeColor="accent1" w:themeShade="80"/>
                <w:sz w:val="18"/>
                <w:szCs w:val="18"/>
              </w:rPr>
              <w:t>083</w:t>
            </w:r>
          </w:p>
        </w:tc>
        <w:tc>
          <w:tcPr>
            <w:tcW w:w="602" w:type="dxa"/>
            <w:tcBorders>
              <w:top w:val="single" w:sz="12" w:space="0" w:color="auto"/>
            </w:tcBorders>
            <w:shd w:val="clear" w:color="auto" w:fill="F2F2F2" w:themeFill="background1" w:themeFillShade="F2"/>
            <w:vAlign w:val="center"/>
          </w:tcPr>
          <w:p w14:paraId="4E0CC5DB" w14:textId="70921DB1" w:rsidR="00356B54" w:rsidRPr="00070AAD" w:rsidRDefault="00356B54" w:rsidP="00356B54">
            <w:pPr>
              <w:spacing w:after="0"/>
              <w:jc w:val="center"/>
              <w:rPr>
                <w:b/>
                <w:color w:val="1F3864" w:themeColor="accent1" w:themeShade="80"/>
                <w:sz w:val="18"/>
                <w:szCs w:val="18"/>
                <w:lang w:eastAsia="pl-PL"/>
              </w:rPr>
            </w:pPr>
            <w:r w:rsidRPr="00070AAD">
              <w:rPr>
                <w:rFonts w:cs="Calibri"/>
                <w:b/>
                <w:bCs/>
                <w:color w:val="1F3864" w:themeColor="accent1" w:themeShade="80"/>
                <w:sz w:val="18"/>
                <w:szCs w:val="18"/>
              </w:rPr>
              <w:t>8</w:t>
            </w:r>
            <w:r>
              <w:rPr>
                <w:rFonts w:cs="Calibri"/>
                <w:b/>
                <w:bCs/>
                <w:color w:val="1F3864" w:themeColor="accent1" w:themeShade="80"/>
                <w:sz w:val="18"/>
                <w:szCs w:val="18"/>
              </w:rPr>
              <w:t>243</w:t>
            </w:r>
          </w:p>
        </w:tc>
        <w:tc>
          <w:tcPr>
            <w:tcW w:w="604" w:type="dxa"/>
            <w:tcBorders>
              <w:top w:val="single" w:sz="12" w:space="0" w:color="auto"/>
            </w:tcBorders>
            <w:shd w:val="clear" w:color="auto" w:fill="F2F2F2" w:themeFill="background1" w:themeFillShade="F2"/>
            <w:noWrap/>
            <w:vAlign w:val="center"/>
          </w:tcPr>
          <w:p w14:paraId="5B0F5293" w14:textId="3089FA3A" w:rsidR="00356B54" w:rsidRPr="00070AAD" w:rsidRDefault="00356B54" w:rsidP="00356B54">
            <w:pPr>
              <w:spacing w:after="0"/>
              <w:jc w:val="center"/>
              <w:rPr>
                <w:b/>
                <w:color w:val="1F3864" w:themeColor="accent1" w:themeShade="80"/>
                <w:sz w:val="18"/>
                <w:szCs w:val="18"/>
                <w:lang w:eastAsia="pl-PL"/>
              </w:rPr>
            </w:pPr>
            <w:r w:rsidRPr="00070AAD">
              <w:rPr>
                <w:rFonts w:cs="Calibri"/>
                <w:b/>
                <w:bCs/>
                <w:color w:val="1F3864" w:themeColor="accent1" w:themeShade="80"/>
                <w:sz w:val="18"/>
                <w:szCs w:val="18"/>
              </w:rPr>
              <w:t>9</w:t>
            </w:r>
            <w:r>
              <w:rPr>
                <w:rFonts w:cs="Calibri"/>
                <w:b/>
                <w:bCs/>
                <w:color w:val="1F3864" w:themeColor="accent1" w:themeShade="80"/>
                <w:sz w:val="18"/>
                <w:szCs w:val="18"/>
              </w:rPr>
              <w:t>498</w:t>
            </w:r>
          </w:p>
        </w:tc>
        <w:tc>
          <w:tcPr>
            <w:tcW w:w="1688" w:type="dxa"/>
            <w:tcBorders>
              <w:top w:val="single" w:sz="12" w:space="0" w:color="auto"/>
            </w:tcBorders>
            <w:shd w:val="clear" w:color="auto" w:fill="F2F2F2" w:themeFill="background1" w:themeFillShade="F2"/>
            <w:noWrap/>
            <w:vAlign w:val="center"/>
            <w:hideMark/>
          </w:tcPr>
          <w:p w14:paraId="75DFC071" w14:textId="1A7C8132" w:rsidR="00356B54" w:rsidRPr="00B86617" w:rsidRDefault="00356B54" w:rsidP="00356B54">
            <w:pPr>
              <w:spacing w:after="0"/>
              <w:jc w:val="center"/>
              <w:rPr>
                <w:rFonts w:cs="Calibri"/>
                <w:b/>
                <w:bCs/>
                <w:color w:val="2F5496" w:themeColor="accent1" w:themeShade="BF"/>
                <w:szCs w:val="20"/>
              </w:rPr>
            </w:pPr>
            <w:r w:rsidRPr="00B86617">
              <w:rPr>
                <w:rFonts w:cs="Calibri"/>
                <w:b/>
                <w:bCs/>
                <w:color w:val="2F5496" w:themeColor="accent1" w:themeShade="BF"/>
                <w:szCs w:val="20"/>
              </w:rPr>
              <w:t xml:space="preserve">44 </w:t>
            </w:r>
            <w:r>
              <w:rPr>
                <w:rFonts w:cs="Calibri"/>
                <w:b/>
                <w:bCs/>
                <w:color w:val="2F5496" w:themeColor="accent1" w:themeShade="BF"/>
                <w:szCs w:val="20"/>
              </w:rPr>
              <w:t>465</w:t>
            </w:r>
          </w:p>
        </w:tc>
      </w:tr>
    </w:tbl>
    <w:p w14:paraId="50C5F879" w14:textId="797E18DD" w:rsidR="00070AAD" w:rsidRDefault="00CF7E2C" w:rsidP="00EC2390">
      <w:pPr>
        <w:spacing w:before="480"/>
      </w:pPr>
      <w:r>
        <w:lastRenderedPageBreak/>
        <w:t>Redukcja potrzeb energetycznych jest również narzędziem walki z istniejącym ubóstwem energetycznym</w:t>
      </w:r>
      <w:r w:rsidR="00EC2390">
        <w:t xml:space="preserve">. </w:t>
      </w:r>
      <w:r>
        <w:t xml:space="preserve">Z tego względu art. 8 ust. </w:t>
      </w:r>
      <w:r w:rsidR="00D6641B">
        <w:t xml:space="preserve">3 </w:t>
      </w:r>
      <w:r>
        <w:t xml:space="preserve">EED </w:t>
      </w:r>
      <w:r w:rsidR="00EC2390">
        <w:t>obliguje</w:t>
      </w:r>
      <w:r w:rsidR="00D6641B">
        <w:t>, aby</w:t>
      </w:r>
      <w:r w:rsidR="00EC2390">
        <w:t xml:space="preserve"> </w:t>
      </w:r>
      <w:r w:rsidR="00EC2390">
        <w:rPr>
          <w:b/>
          <w:bCs/>
        </w:rPr>
        <w:t xml:space="preserve">określony odsetek </w:t>
      </w:r>
      <w:r w:rsidR="00EC2390" w:rsidRPr="00EC2390">
        <w:rPr>
          <w:b/>
          <w:bCs/>
        </w:rPr>
        <w:t xml:space="preserve">skumulowanej </w:t>
      </w:r>
      <w:r w:rsidR="00EC2390" w:rsidRPr="00F142BC">
        <w:rPr>
          <w:b/>
          <w:bCs/>
        </w:rPr>
        <w:t>oszczędności finalnego zużycia energii</w:t>
      </w:r>
      <w:r w:rsidR="00EC2390">
        <w:rPr>
          <w:b/>
          <w:bCs/>
        </w:rPr>
        <w:t xml:space="preserve"> wynikał z działań podjętych </w:t>
      </w:r>
      <w:r w:rsidR="00F142BC" w:rsidRPr="00F142BC">
        <w:rPr>
          <w:b/>
          <w:bCs/>
        </w:rPr>
        <w:t>wśród osób dotkniętych ubóstwem energetycznym, odbiorców wrażliwych oraz osób zajmujących mieszkania socjalne</w:t>
      </w:r>
      <w:r w:rsidR="00F142BC" w:rsidRPr="004D7678">
        <w:t xml:space="preserve">. </w:t>
      </w:r>
      <w:r w:rsidR="00F142BC">
        <w:t>J</w:t>
      </w:r>
      <w:r w:rsidR="00F142BC" w:rsidRPr="004D7678">
        <w:t xml:space="preserve">est </w:t>
      </w:r>
      <w:r w:rsidR="00F142BC">
        <w:t xml:space="preserve">on </w:t>
      </w:r>
      <w:r w:rsidR="00F142BC" w:rsidRPr="004D7678">
        <w:t xml:space="preserve">co najmniej równy średniej arytmetycznej udziału </w:t>
      </w:r>
      <w:r w:rsidR="00E0697B">
        <w:t xml:space="preserve">czterech </w:t>
      </w:r>
      <w:r w:rsidR="00F142BC" w:rsidRPr="004D7678">
        <w:t>wskaźników</w:t>
      </w:r>
      <w:r w:rsidR="00E0697B">
        <w:t xml:space="preserve"> odnoszących się do </w:t>
      </w:r>
      <w:r w:rsidR="00EC2390">
        <w:t>ubóstwa energetycznego</w:t>
      </w:r>
      <w:r w:rsidR="00F142BC" w:rsidRPr="004D7678">
        <w:t xml:space="preserve"> za 2019 r.</w:t>
      </w:r>
      <w:r w:rsidR="00904417">
        <w:t>, co w</w:t>
      </w:r>
      <w:r w:rsidR="00EC47D6">
        <w:t> </w:t>
      </w:r>
      <w:r w:rsidR="00904417">
        <w:t>przypadku Polski wynosi 9,05%</w:t>
      </w:r>
      <w:r w:rsidR="00EC2390">
        <w:rPr>
          <w:rStyle w:val="Odwoanieprzypisudolnego"/>
        </w:rPr>
        <w:footnoteReference w:id="67"/>
      </w:r>
      <w:r w:rsidR="00F142BC">
        <w:t xml:space="preserve"> .</w:t>
      </w:r>
      <w:r w:rsidR="00F142BC" w:rsidRPr="004D7678">
        <w:t xml:space="preserve">  </w:t>
      </w:r>
    </w:p>
    <w:p w14:paraId="349933CD" w14:textId="4599D025" w:rsidR="00192CC1" w:rsidRDefault="00192CC1" w:rsidP="00192CC1">
      <w:pPr>
        <w:pStyle w:val="Cele"/>
        <w:rPr>
          <w:rStyle w:val="CeleZnak"/>
          <w:b/>
        </w:rPr>
      </w:pPr>
      <w:r w:rsidRPr="00192CC1">
        <w:rPr>
          <w:rStyle w:val="CeleZnak"/>
          <w:bCs/>
        </w:rPr>
        <w:t>Polska będzie dążyć do osiągnięcia</w:t>
      </w:r>
      <w:r>
        <w:rPr>
          <w:rStyle w:val="CeleZnak"/>
          <w:b/>
        </w:rPr>
        <w:t xml:space="preserve"> w latach 2024-2030 całkowitych skumulowan</w:t>
      </w:r>
      <w:r w:rsidR="005F40C1">
        <w:rPr>
          <w:rStyle w:val="CeleZnak"/>
          <w:b/>
        </w:rPr>
        <w:t>ych</w:t>
      </w:r>
      <w:r>
        <w:rPr>
          <w:rStyle w:val="CeleZnak"/>
          <w:b/>
        </w:rPr>
        <w:t xml:space="preserve"> oszczędności końcowego zużycia energii wśród osób dotkniętych ubóstwem energetycznym na poziomie 2 678 ktoe.</w:t>
      </w:r>
    </w:p>
    <w:p w14:paraId="269755C2" w14:textId="77777777" w:rsidR="00F3711B" w:rsidRDefault="00F3711B" w:rsidP="004559D3">
      <w:pPr>
        <w:pStyle w:val="Polityka"/>
      </w:pPr>
      <w:r w:rsidRPr="00C46DAA">
        <w:t>POLITYKA</w:t>
      </w:r>
    </w:p>
    <w:p w14:paraId="56DF7706" w14:textId="6CABEC61" w:rsidR="004559D3" w:rsidRDefault="004559D3" w:rsidP="004559D3">
      <w:r w:rsidRPr="004559D3">
        <w:t xml:space="preserve">Obowiązek oszczędności energii finalnej w Polsce jest realizowany od 2021 r. poprzez system zobowiązujący do efektywności energetycznej </w:t>
      </w:r>
      <w:r w:rsidR="000557EE">
        <w:t xml:space="preserve">– </w:t>
      </w:r>
      <w:r w:rsidRPr="000557EE">
        <w:rPr>
          <w:b/>
          <w:bCs/>
        </w:rPr>
        <w:t>system świadectw efektywności energetycznej</w:t>
      </w:r>
      <w:r w:rsidR="000557EE">
        <w:t xml:space="preserve"> –</w:t>
      </w:r>
      <w:r w:rsidRPr="004559D3">
        <w:t xml:space="preserve"> oraz alternatywne środki z dziedziny polityki. Od 2024 roku Polska będzie kontynuować </w:t>
      </w:r>
      <w:r w:rsidR="000557EE">
        <w:t>przyjęte</w:t>
      </w:r>
      <w:r w:rsidRPr="004559D3">
        <w:t xml:space="preserve"> podejście w</w:t>
      </w:r>
      <w:r w:rsidR="000557EE">
        <w:t> </w:t>
      </w:r>
      <w:r w:rsidRPr="004559D3">
        <w:t xml:space="preserve">realizacji nowego celu wynikającego z art. 8 ust. 1 </w:t>
      </w:r>
      <w:r w:rsidR="000557EE">
        <w:t xml:space="preserve">dyrektywy </w:t>
      </w:r>
      <w:r w:rsidRPr="004559D3">
        <w:t>EED. Planowane jest zachowanie dotychczasowego poziomu obowiązku dla podmiotów zobowiązanych w ramach systemu świadectw efektywności energetycznej, pozostałą część wymaganych całkowitych skumulowanych oszczędności Polska zapewni poprzez alternatywne środki</w:t>
      </w:r>
      <w:r w:rsidR="00103ADD">
        <w:t xml:space="preserve">, które określono w załączniku </w:t>
      </w:r>
      <w:r w:rsidR="00904417">
        <w:t>4</w:t>
      </w:r>
      <w:r w:rsidR="00DF11DC">
        <w:t xml:space="preserve"> </w:t>
      </w:r>
      <w:r w:rsidR="00103ADD">
        <w:t>do niniejszego dokumentu</w:t>
      </w:r>
      <w:r w:rsidRPr="004559D3">
        <w:t>.</w:t>
      </w:r>
    </w:p>
    <w:p w14:paraId="0D7F02E7" w14:textId="491CAE69" w:rsidR="00F3711B" w:rsidRPr="00C46DAA" w:rsidRDefault="00F3711B" w:rsidP="004559D3">
      <w:pPr>
        <w:pStyle w:val="Polityka"/>
      </w:pPr>
      <w:r w:rsidRPr="00C46DAA">
        <w:t>DZIAŁANIA</w:t>
      </w:r>
    </w:p>
    <w:p w14:paraId="19A3CA95" w14:textId="111DF633" w:rsidR="00BD7B46" w:rsidRDefault="00BD7B46" w:rsidP="008340D5">
      <w:pPr>
        <w:pStyle w:val="Akapitzlist"/>
        <w:numPr>
          <w:ilvl w:val="0"/>
          <w:numId w:val="6"/>
        </w:numPr>
      </w:pPr>
      <w:r>
        <w:fldChar w:fldCharType="begin"/>
      </w:r>
      <w:r>
        <w:instrText xml:space="preserve"> REF _Ref157424731 \h </w:instrText>
      </w:r>
      <w:r>
        <w:fldChar w:fldCharType="separate"/>
      </w:r>
      <w:r w:rsidR="00DD3929" w:rsidRPr="00F12C9E">
        <w:t xml:space="preserve">Działanie </w:t>
      </w:r>
      <w:r w:rsidR="00DD3929">
        <w:rPr>
          <w:noProof/>
        </w:rPr>
        <w:t>33</w:t>
      </w:r>
      <w:r w:rsidR="00DD3929" w:rsidRPr="00F12C9E">
        <w:t xml:space="preserve">. Rozwój zeroemisyjnego transportu </w:t>
      </w:r>
      <w:r w:rsidR="00DD3929">
        <w:t xml:space="preserve">publicznego w </w:t>
      </w:r>
      <w:r w:rsidR="00DD3929" w:rsidRPr="00F12C9E">
        <w:t>mi</w:t>
      </w:r>
      <w:r w:rsidR="00DD3929">
        <w:t>astach</w:t>
      </w:r>
      <w:r w:rsidR="00DD3929" w:rsidRPr="00F12C9E">
        <w:t>.</w:t>
      </w:r>
      <w:r>
        <w:fldChar w:fldCharType="end"/>
      </w:r>
    </w:p>
    <w:p w14:paraId="0680C122" w14:textId="25442CDA" w:rsidR="00B35600" w:rsidRDefault="00BD7B46" w:rsidP="008340D5">
      <w:pPr>
        <w:pStyle w:val="Akapitzlist"/>
        <w:numPr>
          <w:ilvl w:val="0"/>
          <w:numId w:val="6"/>
        </w:numPr>
      </w:pPr>
      <w:r>
        <w:fldChar w:fldCharType="begin"/>
      </w:r>
      <w:r>
        <w:instrText xml:space="preserve"> REF _Ref157423332 \h </w:instrText>
      </w:r>
      <w:r>
        <w:fldChar w:fldCharType="separate"/>
      </w:r>
      <w:r w:rsidR="00DD3929" w:rsidRPr="00751886">
        <w:t xml:space="preserve">Działanie </w:t>
      </w:r>
      <w:r w:rsidR="00DD3929">
        <w:rPr>
          <w:noProof/>
        </w:rPr>
        <w:t>94</w:t>
      </w:r>
      <w:r w:rsidR="00DD3929" w:rsidRPr="00751886">
        <w:t xml:space="preserve">. </w:t>
      </w:r>
      <w:r w:rsidR="00DD3929" w:rsidRPr="00661B98">
        <w:t>Instrument</w:t>
      </w:r>
      <w:r w:rsidR="00DD3929" w:rsidRPr="00751886">
        <w:t xml:space="preserve"> finansowy – system białych certyfikatów.</w:t>
      </w:r>
      <w:r>
        <w:fldChar w:fldCharType="end"/>
      </w:r>
    </w:p>
    <w:p w14:paraId="7FF09272" w14:textId="014D0A1F" w:rsidR="00BD7B46" w:rsidRDefault="00BD7B46" w:rsidP="008340D5">
      <w:pPr>
        <w:pStyle w:val="Akapitzlist"/>
        <w:numPr>
          <w:ilvl w:val="0"/>
          <w:numId w:val="6"/>
        </w:numPr>
      </w:pPr>
      <w:r>
        <w:fldChar w:fldCharType="begin"/>
      </w:r>
      <w:r>
        <w:instrText xml:space="preserve"> REF _Ref157428491 \h </w:instrText>
      </w:r>
      <w:r>
        <w:fldChar w:fldCharType="separate"/>
      </w:r>
      <w:r w:rsidR="00DD3929" w:rsidRPr="00751886">
        <w:t xml:space="preserve">Działanie </w:t>
      </w:r>
      <w:r w:rsidR="00DD3929">
        <w:rPr>
          <w:noProof/>
        </w:rPr>
        <w:t>95</w:t>
      </w:r>
      <w:r w:rsidR="00DD3929" w:rsidRPr="00751886">
        <w:t xml:space="preserve">. Rozwój </w:t>
      </w:r>
      <w:r w:rsidR="00DD3929" w:rsidRPr="00661B98">
        <w:t>audytów</w:t>
      </w:r>
      <w:r w:rsidR="00DD3929" w:rsidRPr="00751886">
        <w:t xml:space="preserve"> energetycznych i systemów zarządzania energią.</w:t>
      </w:r>
      <w:r>
        <w:fldChar w:fldCharType="end"/>
      </w:r>
    </w:p>
    <w:p w14:paraId="0C1795F7" w14:textId="1693267A" w:rsidR="00BD7B46" w:rsidRDefault="00BD7B46" w:rsidP="008340D5">
      <w:pPr>
        <w:pStyle w:val="Akapitzlist"/>
        <w:numPr>
          <w:ilvl w:val="0"/>
          <w:numId w:val="6"/>
        </w:numPr>
      </w:pPr>
      <w:r>
        <w:fldChar w:fldCharType="begin"/>
      </w:r>
      <w:r>
        <w:instrText xml:space="preserve"> REF _Ref157423349 \h </w:instrText>
      </w:r>
      <w:r>
        <w:fldChar w:fldCharType="separate"/>
      </w:r>
      <w:r w:rsidR="00DD3929" w:rsidRPr="00751886">
        <w:t xml:space="preserve">Działanie </w:t>
      </w:r>
      <w:r w:rsidR="00DD3929">
        <w:rPr>
          <w:noProof/>
        </w:rPr>
        <w:t>96</w:t>
      </w:r>
      <w:r w:rsidR="00DD3929" w:rsidRPr="00751886">
        <w:t xml:space="preserve">. Instrument </w:t>
      </w:r>
      <w:r w:rsidR="00DD3929" w:rsidRPr="00661B98">
        <w:t>finansowy</w:t>
      </w:r>
      <w:r w:rsidR="00DD3929" w:rsidRPr="00751886">
        <w:t xml:space="preserve"> – Program Termo.</w:t>
      </w:r>
      <w:r>
        <w:fldChar w:fldCharType="end"/>
      </w:r>
    </w:p>
    <w:p w14:paraId="672E6EEA" w14:textId="443C4E07" w:rsidR="00BD7B46" w:rsidRDefault="00BD7B46" w:rsidP="008340D5">
      <w:pPr>
        <w:pStyle w:val="Akapitzlist"/>
        <w:numPr>
          <w:ilvl w:val="0"/>
          <w:numId w:val="6"/>
        </w:numPr>
      </w:pPr>
      <w:r>
        <w:fldChar w:fldCharType="begin"/>
      </w:r>
      <w:r>
        <w:instrText xml:space="preserve"> REF _Ref157423353 \h </w:instrText>
      </w:r>
      <w:r>
        <w:fldChar w:fldCharType="separate"/>
      </w:r>
      <w:r w:rsidR="00DD3929" w:rsidRPr="00DE3F08">
        <w:t xml:space="preserve">Działanie </w:t>
      </w:r>
      <w:r w:rsidR="00DD3929">
        <w:rPr>
          <w:noProof/>
        </w:rPr>
        <w:t>97</w:t>
      </w:r>
      <w:r w:rsidR="00DD3929" w:rsidRPr="00DE3F08">
        <w:t xml:space="preserve">. Instrument </w:t>
      </w:r>
      <w:r w:rsidR="00DD3929" w:rsidRPr="00661B98">
        <w:t>finansowy</w:t>
      </w:r>
      <w:r w:rsidR="00DD3929" w:rsidRPr="00DE3F08">
        <w:t xml:space="preserve"> – </w:t>
      </w:r>
      <w:r w:rsidR="00DD3929" w:rsidRPr="00D94B5E">
        <w:t xml:space="preserve">Ulga </w:t>
      </w:r>
      <w:r w:rsidR="00DD3929">
        <w:t>podatkowa dotycząca wydatków poniesionych na termomodernizację jednorodzinnych budynków mieszkalnych</w:t>
      </w:r>
      <w:r w:rsidR="00DD3929" w:rsidRPr="00DE3F08">
        <w:t>.</w:t>
      </w:r>
      <w:r>
        <w:fldChar w:fldCharType="end"/>
      </w:r>
    </w:p>
    <w:p w14:paraId="439225D6" w14:textId="7FBEE1B0" w:rsidR="00EC1DCF" w:rsidRDefault="00EC1DCF" w:rsidP="008340D5">
      <w:pPr>
        <w:pStyle w:val="Akapitzlist"/>
        <w:numPr>
          <w:ilvl w:val="0"/>
          <w:numId w:val="6"/>
        </w:numPr>
      </w:pPr>
      <w:r>
        <w:fldChar w:fldCharType="begin"/>
      </w:r>
      <w:r>
        <w:instrText xml:space="preserve"> REF _Ref157431455 \h </w:instrText>
      </w:r>
      <w:r>
        <w:fldChar w:fldCharType="separate"/>
      </w:r>
      <w:r w:rsidR="00DD3929" w:rsidRPr="00DE3F08">
        <w:t xml:space="preserve">Działanie </w:t>
      </w:r>
      <w:r w:rsidR="00DD3929">
        <w:rPr>
          <w:noProof/>
        </w:rPr>
        <w:t>98</w:t>
      </w:r>
      <w:r w:rsidR="00DD3929" w:rsidRPr="00DE3F08">
        <w:t xml:space="preserve">. </w:t>
      </w:r>
      <w:r w:rsidR="00DD3929">
        <w:t xml:space="preserve">Efektywny </w:t>
      </w:r>
      <w:r w:rsidR="00DD3929" w:rsidRPr="00661B98">
        <w:t>energetycznie</w:t>
      </w:r>
      <w:r w:rsidR="00DD3929">
        <w:t xml:space="preserve"> sektor publiczny</w:t>
      </w:r>
      <w:r w:rsidR="00DD3929" w:rsidRPr="00DE3F08">
        <w:t>.</w:t>
      </w:r>
      <w:r>
        <w:fldChar w:fldCharType="end"/>
      </w:r>
    </w:p>
    <w:p w14:paraId="433E216A" w14:textId="2A83418B" w:rsidR="00B25FD0" w:rsidRDefault="000E1799" w:rsidP="000E1799">
      <w:pPr>
        <w:pStyle w:val="Nagwek4"/>
      </w:pPr>
      <w:bookmarkStart w:id="129" w:name="_Toc179536958"/>
      <w:r>
        <w:t>Z</w:t>
      </w:r>
      <w:r w:rsidRPr="000E1799">
        <w:t>mniejszeni</w:t>
      </w:r>
      <w:r>
        <w:t>e</w:t>
      </w:r>
      <w:r w:rsidRPr="000E1799">
        <w:t xml:space="preserve"> </w:t>
      </w:r>
      <w:r>
        <w:t xml:space="preserve">finalnego </w:t>
      </w:r>
      <w:r w:rsidRPr="000E1799">
        <w:t>zużycia energii przez instytucje publiczne</w:t>
      </w:r>
      <w:bookmarkEnd w:id="129"/>
    </w:p>
    <w:tbl>
      <w:tblPr>
        <w:tblStyle w:val="Tabela-Siatka"/>
        <w:tblpPr w:leftFromText="141" w:rightFromText="141" w:vertAnchor="text" w:horzAnchor="margin" w:tblpXSpec="right" w:tblpYSpec="outside"/>
        <w:tblW w:w="0" w:type="auto"/>
        <w:tblCellMar>
          <w:top w:w="28" w:type="dxa"/>
          <w:bottom w:w="28" w:type="dxa"/>
        </w:tblCellMar>
        <w:tblLook w:val="04A0" w:firstRow="1" w:lastRow="0" w:firstColumn="1" w:lastColumn="0" w:noHBand="0" w:noVBand="1"/>
      </w:tblPr>
      <w:tblGrid>
        <w:gridCol w:w="781"/>
        <w:gridCol w:w="1595"/>
        <w:gridCol w:w="1588"/>
        <w:gridCol w:w="1532"/>
      </w:tblGrid>
      <w:tr w:rsidR="009371F9" w:rsidRPr="00CC6F86" w14:paraId="666A88DF" w14:textId="77777777" w:rsidTr="009371F9">
        <w:trPr>
          <w:trHeight w:val="841"/>
        </w:trPr>
        <w:tc>
          <w:tcPr>
            <w:tcW w:w="781" w:type="dxa"/>
            <w:vAlign w:val="center"/>
          </w:tcPr>
          <w:p w14:paraId="5EC6523F" w14:textId="77777777" w:rsidR="009371F9" w:rsidRPr="00CC6F86" w:rsidRDefault="009371F9" w:rsidP="009371F9">
            <w:pPr>
              <w:jc w:val="center"/>
              <w:rPr>
                <w:b/>
                <w:bCs/>
                <w:sz w:val="18"/>
                <w:szCs w:val="20"/>
              </w:rPr>
            </w:pPr>
            <w:r>
              <w:rPr>
                <w:b/>
                <w:bCs/>
                <w:sz w:val="18"/>
                <w:szCs w:val="20"/>
              </w:rPr>
              <w:t>grupa</w:t>
            </w:r>
          </w:p>
        </w:tc>
        <w:tc>
          <w:tcPr>
            <w:tcW w:w="1595" w:type="dxa"/>
            <w:vAlign w:val="center"/>
          </w:tcPr>
          <w:p w14:paraId="794E1CD1" w14:textId="77777777" w:rsidR="009371F9" w:rsidRPr="00CC6F86" w:rsidRDefault="009371F9" w:rsidP="009371F9">
            <w:pPr>
              <w:jc w:val="center"/>
              <w:rPr>
                <w:b/>
                <w:bCs/>
                <w:sz w:val="18"/>
                <w:szCs w:val="20"/>
              </w:rPr>
            </w:pPr>
            <w:r>
              <w:rPr>
                <w:b/>
                <w:bCs/>
                <w:sz w:val="18"/>
                <w:szCs w:val="20"/>
              </w:rPr>
              <w:t>typ i w</w:t>
            </w:r>
            <w:r w:rsidRPr="00CC6F86">
              <w:rPr>
                <w:b/>
                <w:bCs/>
                <w:sz w:val="18"/>
                <w:szCs w:val="20"/>
              </w:rPr>
              <w:t>ielkość jednostki administracyjnej</w:t>
            </w:r>
          </w:p>
        </w:tc>
        <w:tc>
          <w:tcPr>
            <w:tcW w:w="1588" w:type="dxa"/>
            <w:vAlign w:val="center"/>
          </w:tcPr>
          <w:p w14:paraId="44B46746" w14:textId="77777777" w:rsidR="009371F9" w:rsidRPr="00CC6F86" w:rsidRDefault="009371F9" w:rsidP="009371F9">
            <w:pPr>
              <w:jc w:val="center"/>
              <w:rPr>
                <w:b/>
                <w:bCs/>
                <w:sz w:val="18"/>
                <w:szCs w:val="20"/>
              </w:rPr>
            </w:pPr>
            <w:r>
              <w:rPr>
                <w:b/>
                <w:bCs/>
                <w:sz w:val="18"/>
                <w:szCs w:val="20"/>
              </w:rPr>
              <w:t>w</w:t>
            </w:r>
            <w:r w:rsidRPr="00CC6F86">
              <w:rPr>
                <w:b/>
                <w:bCs/>
                <w:sz w:val="18"/>
                <w:szCs w:val="20"/>
              </w:rPr>
              <w:t>ejścia w życie obowiązku</w:t>
            </w:r>
            <w:r>
              <w:rPr>
                <w:b/>
                <w:bCs/>
                <w:sz w:val="18"/>
                <w:szCs w:val="20"/>
              </w:rPr>
              <w:t xml:space="preserve"> oszczędności</w:t>
            </w:r>
          </w:p>
        </w:tc>
        <w:tc>
          <w:tcPr>
            <w:tcW w:w="1532" w:type="dxa"/>
            <w:vAlign w:val="center"/>
          </w:tcPr>
          <w:p w14:paraId="57EAD141" w14:textId="77777777" w:rsidR="009371F9" w:rsidRPr="00CC6F86" w:rsidRDefault="009371F9" w:rsidP="009371F9">
            <w:pPr>
              <w:jc w:val="center"/>
              <w:rPr>
                <w:b/>
                <w:bCs/>
                <w:sz w:val="18"/>
                <w:szCs w:val="20"/>
              </w:rPr>
            </w:pPr>
            <w:r>
              <w:rPr>
                <w:b/>
                <w:bCs/>
                <w:sz w:val="18"/>
                <w:szCs w:val="20"/>
              </w:rPr>
              <w:t>oszacowane zużycie energii w 2021 r.</w:t>
            </w:r>
          </w:p>
        </w:tc>
      </w:tr>
      <w:tr w:rsidR="009371F9" w:rsidRPr="00CC6F86" w14:paraId="11A73007" w14:textId="77777777" w:rsidTr="009371F9">
        <w:trPr>
          <w:trHeight w:val="315"/>
        </w:trPr>
        <w:tc>
          <w:tcPr>
            <w:tcW w:w="781" w:type="dxa"/>
            <w:vAlign w:val="center"/>
          </w:tcPr>
          <w:p w14:paraId="2011C02F" w14:textId="77777777" w:rsidR="009371F9" w:rsidRPr="00CC6F86" w:rsidRDefault="009371F9" w:rsidP="009371F9">
            <w:pPr>
              <w:jc w:val="center"/>
              <w:rPr>
                <w:sz w:val="18"/>
                <w:szCs w:val="20"/>
              </w:rPr>
            </w:pPr>
            <w:r>
              <w:rPr>
                <w:sz w:val="18"/>
                <w:szCs w:val="20"/>
              </w:rPr>
              <w:t>G1</w:t>
            </w:r>
          </w:p>
        </w:tc>
        <w:tc>
          <w:tcPr>
            <w:tcW w:w="1595" w:type="dxa"/>
            <w:vAlign w:val="center"/>
          </w:tcPr>
          <w:p w14:paraId="64069780" w14:textId="77777777" w:rsidR="009371F9" w:rsidRPr="00CC6F86" w:rsidRDefault="009371F9" w:rsidP="009371F9">
            <w:pPr>
              <w:jc w:val="center"/>
              <w:rPr>
                <w:sz w:val="18"/>
                <w:szCs w:val="20"/>
              </w:rPr>
            </w:pPr>
            <w:r>
              <w:rPr>
                <w:sz w:val="18"/>
                <w:szCs w:val="20"/>
              </w:rPr>
              <w:t>miasto &gt;</w:t>
            </w:r>
            <w:r w:rsidRPr="00CC6F86">
              <w:rPr>
                <w:sz w:val="18"/>
                <w:szCs w:val="20"/>
              </w:rPr>
              <w:t>50 000 mieszkańców</w:t>
            </w:r>
          </w:p>
        </w:tc>
        <w:tc>
          <w:tcPr>
            <w:tcW w:w="1588" w:type="dxa"/>
            <w:vAlign w:val="center"/>
          </w:tcPr>
          <w:p w14:paraId="6BEEEDD4" w14:textId="77777777" w:rsidR="009371F9" w:rsidRPr="00CC6F86" w:rsidRDefault="009371F9" w:rsidP="009371F9">
            <w:pPr>
              <w:jc w:val="center"/>
              <w:rPr>
                <w:sz w:val="18"/>
                <w:szCs w:val="20"/>
              </w:rPr>
            </w:pPr>
            <w:r>
              <w:rPr>
                <w:sz w:val="18"/>
                <w:szCs w:val="20"/>
              </w:rPr>
              <w:t>11 października 2025 r.</w:t>
            </w:r>
          </w:p>
        </w:tc>
        <w:tc>
          <w:tcPr>
            <w:tcW w:w="1532" w:type="dxa"/>
            <w:vAlign w:val="center"/>
          </w:tcPr>
          <w:p w14:paraId="4826C02C" w14:textId="77777777" w:rsidR="009371F9" w:rsidRDefault="009371F9" w:rsidP="009371F9">
            <w:pPr>
              <w:jc w:val="center"/>
              <w:rPr>
                <w:sz w:val="18"/>
                <w:szCs w:val="20"/>
              </w:rPr>
            </w:pPr>
            <w:r>
              <w:rPr>
                <w:sz w:val="18"/>
                <w:szCs w:val="20"/>
              </w:rPr>
              <w:t>1 309 ktoe</w:t>
            </w:r>
          </w:p>
        </w:tc>
      </w:tr>
      <w:tr w:rsidR="009371F9" w:rsidRPr="00CC6F86" w14:paraId="248FC3AB" w14:textId="77777777" w:rsidTr="009371F9">
        <w:trPr>
          <w:trHeight w:val="315"/>
        </w:trPr>
        <w:tc>
          <w:tcPr>
            <w:tcW w:w="781" w:type="dxa"/>
            <w:vAlign w:val="center"/>
          </w:tcPr>
          <w:p w14:paraId="55EA406D" w14:textId="77777777" w:rsidR="009371F9" w:rsidRDefault="009371F9" w:rsidP="009371F9">
            <w:pPr>
              <w:jc w:val="center"/>
              <w:rPr>
                <w:sz w:val="18"/>
                <w:szCs w:val="20"/>
              </w:rPr>
            </w:pPr>
            <w:r>
              <w:rPr>
                <w:sz w:val="18"/>
                <w:szCs w:val="20"/>
              </w:rPr>
              <w:t>G2</w:t>
            </w:r>
          </w:p>
        </w:tc>
        <w:tc>
          <w:tcPr>
            <w:tcW w:w="1595" w:type="dxa"/>
            <w:vAlign w:val="center"/>
          </w:tcPr>
          <w:p w14:paraId="16B6852B" w14:textId="77777777" w:rsidR="009371F9" w:rsidRPr="00CC6F86" w:rsidRDefault="009371F9" w:rsidP="009371F9">
            <w:pPr>
              <w:jc w:val="center"/>
              <w:rPr>
                <w:sz w:val="18"/>
                <w:szCs w:val="20"/>
              </w:rPr>
            </w:pPr>
            <w:r>
              <w:rPr>
                <w:sz w:val="18"/>
                <w:szCs w:val="20"/>
              </w:rPr>
              <w:t>miasto &lt;50 000 mieszkańców</w:t>
            </w:r>
          </w:p>
        </w:tc>
        <w:tc>
          <w:tcPr>
            <w:tcW w:w="1588" w:type="dxa"/>
            <w:vAlign w:val="center"/>
          </w:tcPr>
          <w:p w14:paraId="731F87DA" w14:textId="77777777" w:rsidR="009371F9" w:rsidRPr="00CC6F86" w:rsidRDefault="009371F9" w:rsidP="009371F9">
            <w:pPr>
              <w:jc w:val="center"/>
              <w:rPr>
                <w:sz w:val="18"/>
                <w:szCs w:val="20"/>
              </w:rPr>
            </w:pPr>
            <w:r>
              <w:rPr>
                <w:sz w:val="18"/>
                <w:szCs w:val="20"/>
              </w:rPr>
              <w:t>1 stycznia 2027 r.</w:t>
            </w:r>
          </w:p>
        </w:tc>
        <w:tc>
          <w:tcPr>
            <w:tcW w:w="1532" w:type="dxa"/>
            <w:vAlign w:val="center"/>
          </w:tcPr>
          <w:p w14:paraId="1BABB01B" w14:textId="77777777" w:rsidR="009371F9" w:rsidRDefault="009371F9" w:rsidP="009371F9">
            <w:pPr>
              <w:jc w:val="center"/>
              <w:rPr>
                <w:sz w:val="18"/>
                <w:szCs w:val="20"/>
              </w:rPr>
            </w:pPr>
            <w:r>
              <w:rPr>
                <w:sz w:val="18"/>
                <w:szCs w:val="20"/>
              </w:rPr>
              <w:t>1 702 ktoe</w:t>
            </w:r>
          </w:p>
        </w:tc>
      </w:tr>
      <w:tr w:rsidR="009371F9" w:rsidRPr="00CC6F86" w14:paraId="545FEE23" w14:textId="77777777" w:rsidTr="009371F9">
        <w:trPr>
          <w:trHeight w:val="315"/>
        </w:trPr>
        <w:tc>
          <w:tcPr>
            <w:tcW w:w="781" w:type="dxa"/>
            <w:tcBorders>
              <w:bottom w:val="single" w:sz="4" w:space="0" w:color="auto"/>
            </w:tcBorders>
            <w:vAlign w:val="center"/>
          </w:tcPr>
          <w:p w14:paraId="3A523204" w14:textId="77777777" w:rsidR="009371F9" w:rsidRDefault="009371F9" w:rsidP="009371F9">
            <w:pPr>
              <w:jc w:val="center"/>
              <w:rPr>
                <w:sz w:val="18"/>
                <w:szCs w:val="20"/>
              </w:rPr>
            </w:pPr>
            <w:r>
              <w:rPr>
                <w:sz w:val="18"/>
                <w:szCs w:val="20"/>
              </w:rPr>
              <w:t>G3</w:t>
            </w:r>
          </w:p>
        </w:tc>
        <w:tc>
          <w:tcPr>
            <w:tcW w:w="1595" w:type="dxa"/>
            <w:tcBorders>
              <w:bottom w:val="single" w:sz="4" w:space="0" w:color="auto"/>
            </w:tcBorders>
            <w:vAlign w:val="center"/>
          </w:tcPr>
          <w:p w14:paraId="7E559472" w14:textId="77777777" w:rsidR="009371F9" w:rsidRPr="00CC6F86" w:rsidRDefault="009371F9" w:rsidP="009371F9">
            <w:pPr>
              <w:jc w:val="center"/>
              <w:rPr>
                <w:sz w:val="18"/>
                <w:szCs w:val="20"/>
              </w:rPr>
            </w:pPr>
            <w:r>
              <w:rPr>
                <w:sz w:val="18"/>
                <w:szCs w:val="20"/>
              </w:rPr>
              <w:t>obszar wiejski</w:t>
            </w:r>
          </w:p>
        </w:tc>
        <w:tc>
          <w:tcPr>
            <w:tcW w:w="1588" w:type="dxa"/>
            <w:tcBorders>
              <w:bottom w:val="single" w:sz="4" w:space="0" w:color="auto"/>
            </w:tcBorders>
            <w:vAlign w:val="center"/>
          </w:tcPr>
          <w:p w14:paraId="342CE72E" w14:textId="77777777" w:rsidR="009371F9" w:rsidRPr="00CC6F86" w:rsidRDefault="009371F9" w:rsidP="009371F9">
            <w:pPr>
              <w:jc w:val="center"/>
              <w:rPr>
                <w:sz w:val="18"/>
                <w:szCs w:val="20"/>
              </w:rPr>
            </w:pPr>
            <w:r>
              <w:rPr>
                <w:sz w:val="18"/>
                <w:szCs w:val="20"/>
              </w:rPr>
              <w:t>1 stycznia 2030 r.</w:t>
            </w:r>
          </w:p>
        </w:tc>
        <w:tc>
          <w:tcPr>
            <w:tcW w:w="1532" w:type="dxa"/>
            <w:tcBorders>
              <w:bottom w:val="single" w:sz="4" w:space="0" w:color="auto"/>
            </w:tcBorders>
            <w:vAlign w:val="center"/>
          </w:tcPr>
          <w:p w14:paraId="39AD9CAA" w14:textId="77777777" w:rsidR="009371F9" w:rsidRDefault="009371F9" w:rsidP="009371F9">
            <w:pPr>
              <w:jc w:val="center"/>
              <w:rPr>
                <w:sz w:val="18"/>
                <w:szCs w:val="20"/>
              </w:rPr>
            </w:pPr>
            <w:r>
              <w:rPr>
                <w:sz w:val="18"/>
                <w:szCs w:val="20"/>
              </w:rPr>
              <w:t>1 103 ktoe</w:t>
            </w:r>
          </w:p>
        </w:tc>
      </w:tr>
    </w:tbl>
    <w:p w14:paraId="2B57EC3C" w14:textId="7F3FA062" w:rsidR="000E1799" w:rsidRDefault="009371F9" w:rsidP="000E1799">
      <w:r>
        <w:t xml:space="preserve"> </w:t>
      </w:r>
      <w:r w:rsidR="000E1799">
        <w:t>Instytucje publiczne powinny pełnić wzorcową rolę w zakresie efektywności energetycznej. Z tego względu a</w:t>
      </w:r>
      <w:r w:rsidR="000E1799" w:rsidRPr="000E1799">
        <w:t xml:space="preserve">rt. 5 dyrektywy EED </w:t>
      </w:r>
      <w:r w:rsidR="000E1799">
        <w:t xml:space="preserve">obliguje, aby </w:t>
      </w:r>
      <w:r w:rsidR="000E1799" w:rsidRPr="000E1799">
        <w:t>państwa członkowskie zapewni</w:t>
      </w:r>
      <w:r w:rsidR="000E1799">
        <w:t>ły</w:t>
      </w:r>
      <w:r w:rsidR="000E1799" w:rsidRPr="000E1799">
        <w:t>,</w:t>
      </w:r>
      <w:r w:rsidR="000E1799">
        <w:t xml:space="preserve"> </w:t>
      </w:r>
      <w:r w:rsidR="000E1799" w:rsidRPr="000E1799">
        <w:t xml:space="preserve">by całkowite </w:t>
      </w:r>
      <w:r w:rsidR="000E1799">
        <w:t xml:space="preserve">finalne </w:t>
      </w:r>
      <w:r w:rsidR="000E1799" w:rsidRPr="000E1799">
        <w:t>zużycie energii wszystkich instytucji publicznych łącznie zmniejszane było o co najmniej 1,9% rocznie w porównaniu z</w:t>
      </w:r>
      <w:r w:rsidR="000E1799">
        <w:t> </w:t>
      </w:r>
      <w:r w:rsidR="000E1799" w:rsidRPr="000E1799">
        <w:t>2021</w:t>
      </w:r>
      <w:r w:rsidR="000E1799">
        <w:t xml:space="preserve"> r</w:t>
      </w:r>
      <w:r w:rsidR="000E1799" w:rsidRPr="000E1799">
        <w:t>. Cel ilościowy ma za zadanie wzmocnić znaczenie wzorcowej roli sektora publicznego w zakresie efektywności energetycznej.</w:t>
      </w:r>
    </w:p>
    <w:p w14:paraId="6070B23C" w14:textId="596F025F" w:rsidR="000E1799" w:rsidRDefault="00BF508F" w:rsidP="000E1799">
      <w:r>
        <w:lastRenderedPageBreak/>
        <w:t>Finalne z</w:t>
      </w:r>
      <w:r w:rsidR="000E1799">
        <w:t xml:space="preserve">użycie energii przez instytucje publiczne w 2021 r. wyniosło łącznie </w:t>
      </w:r>
      <w:r w:rsidR="000E1799" w:rsidRPr="00326664">
        <w:rPr>
          <w:b/>
          <w:bCs/>
        </w:rPr>
        <w:t>4</w:t>
      </w:r>
      <w:r w:rsidR="00AC5409">
        <w:rPr>
          <w:b/>
          <w:bCs/>
        </w:rPr>
        <w:t> </w:t>
      </w:r>
      <w:r w:rsidR="000E1799" w:rsidRPr="00326664">
        <w:rPr>
          <w:b/>
          <w:bCs/>
        </w:rPr>
        <w:t>114 ktoe</w:t>
      </w:r>
      <w:r w:rsidR="000E1799" w:rsidRPr="00C056F5">
        <w:t xml:space="preserve"> </w:t>
      </w:r>
      <w:r w:rsidR="000E1799">
        <w:t>(</w:t>
      </w:r>
      <w:r w:rsidR="00FC16D2">
        <w:t>bez</w:t>
      </w:r>
      <w:r w:rsidR="000E1799">
        <w:t xml:space="preserve"> transportu publicznego oraz sił zbrojnych, zgodnie z</w:t>
      </w:r>
      <w:r w:rsidR="00FC16D2">
        <w:t> </w:t>
      </w:r>
      <w:r w:rsidR="000E1799">
        <w:t>wyłączeniem przewidzianym w art. 5 ust. 1 dyrektywy EED)</w:t>
      </w:r>
      <w:r>
        <w:t>.</w:t>
      </w:r>
    </w:p>
    <w:p w14:paraId="05B5B98D" w14:textId="7C14C5E2" w:rsidR="00BF508F" w:rsidRDefault="002F5F51" w:rsidP="000E1799">
      <w:r>
        <w:rPr>
          <w:noProof/>
        </w:rPr>
        <w:drawing>
          <wp:anchor distT="0" distB="0" distL="114300" distR="114300" simplePos="0" relativeHeight="251873280" behindDoc="0" locked="0" layoutInCell="1" allowOverlap="1" wp14:anchorId="0BBD3CC1" wp14:editId="4CEDE026">
            <wp:simplePos x="0" y="0"/>
            <wp:positionH relativeFrom="column">
              <wp:posOffset>2236470</wp:posOffset>
            </wp:positionH>
            <wp:positionV relativeFrom="paragraph">
              <wp:posOffset>73025</wp:posOffset>
            </wp:positionV>
            <wp:extent cx="3591560" cy="2487930"/>
            <wp:effectExtent l="0" t="0" r="8890" b="7620"/>
            <wp:wrapTight wrapText="bothSides">
              <wp:wrapPolygon edited="0">
                <wp:start x="0" y="0"/>
                <wp:lineTo x="0" y="21501"/>
                <wp:lineTo x="21539" y="21501"/>
                <wp:lineTo x="21539" y="0"/>
                <wp:lineTo x="0" y="0"/>
              </wp:wrapPolygon>
            </wp:wrapTight>
            <wp:docPr id="1876253118" name="Wykres 1">
              <a:extLst xmlns:a="http://schemas.openxmlformats.org/drawingml/2006/main">
                <a:ext uri="{FF2B5EF4-FFF2-40B4-BE49-F238E27FC236}">
                  <a16:creationId xmlns:a16="http://schemas.microsoft.com/office/drawing/2014/main" id="{E3D5AC2E-A62A-4DD3-AEA6-917C08951DF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14:sizeRelH relativeFrom="margin">
              <wp14:pctWidth>0</wp14:pctWidth>
            </wp14:sizeRelH>
            <wp14:sizeRelV relativeFrom="margin">
              <wp14:pctHeight>0</wp14:pctHeight>
            </wp14:sizeRelV>
          </wp:anchor>
        </w:drawing>
      </w:r>
      <w:r w:rsidR="00BF508F" w:rsidRPr="00DC7F88">
        <w:t xml:space="preserve">Zgodnie z art. 5 ust. </w:t>
      </w:r>
      <w:r w:rsidR="00BF508F">
        <w:t>3</w:t>
      </w:r>
      <w:r w:rsidR="00BF508F" w:rsidRPr="00DC7F88">
        <w:t xml:space="preserve"> dyrektywy 2023/1791 </w:t>
      </w:r>
      <w:r w:rsidR="00BF508F">
        <w:t xml:space="preserve">obowiązek zmniejszenia </w:t>
      </w:r>
      <w:r w:rsidR="003A7C3D">
        <w:t xml:space="preserve">finalnego </w:t>
      </w:r>
      <w:r w:rsidR="00BF508F">
        <w:t xml:space="preserve">zużycia energii przez instytucje publiczne powinien być wdrażany stopniowo mając na względzie wielkość jednostek administracyjnych. W związku z tym niezbędne </w:t>
      </w:r>
      <w:r w:rsidR="00FC16D2">
        <w:t>było</w:t>
      </w:r>
      <w:r w:rsidR="00BF508F">
        <w:t xml:space="preserve"> określenie zmniejszeni</w:t>
      </w:r>
      <w:r w:rsidR="00FC16D2">
        <w:t>a</w:t>
      </w:r>
      <w:r w:rsidR="00BF508F">
        <w:t xml:space="preserve"> zużycia energii w </w:t>
      </w:r>
      <w:r w:rsidR="00FC16D2">
        <w:t>trzech grupach – w</w:t>
      </w:r>
      <w:r w:rsidR="00C92EE6">
        <w:t> </w:t>
      </w:r>
      <w:r w:rsidR="00FC16D2">
        <w:t>miastach o liczbie powyżej i poniżej 50</w:t>
      </w:r>
      <w:r w:rsidR="00C92EE6">
        <w:t> </w:t>
      </w:r>
      <w:r w:rsidR="00904417">
        <w:t>000</w:t>
      </w:r>
      <w:r w:rsidR="00FC16D2">
        <w:t xml:space="preserve"> mieszkańców oraz na obszarach wiejskich</w:t>
      </w:r>
      <w:r w:rsidR="00BF508F">
        <w:t>. Na</w:t>
      </w:r>
      <w:r w:rsidR="00C92EE6">
        <w:t> </w:t>
      </w:r>
      <w:r w:rsidR="00BF508F">
        <w:t xml:space="preserve">rysunku </w:t>
      </w:r>
      <w:r w:rsidR="00C92EE6">
        <w:t>obok</w:t>
      </w:r>
      <w:r w:rsidR="00BF508F">
        <w:t xml:space="preserve"> wskazano szacowane finalne zużycie energii w</w:t>
      </w:r>
      <w:r w:rsidR="00C92EE6">
        <w:t> </w:t>
      </w:r>
      <w:r w:rsidR="00BF508F">
        <w:t xml:space="preserve">każdej grupie </w:t>
      </w:r>
      <w:r w:rsidR="00C92EE6">
        <w:t>w</w:t>
      </w:r>
      <w:r w:rsidR="00BF508F">
        <w:t xml:space="preserve"> </w:t>
      </w:r>
      <w:r w:rsidR="00C92EE6">
        <w:t xml:space="preserve">latach </w:t>
      </w:r>
      <w:r w:rsidR="00BF508F">
        <w:t>2021</w:t>
      </w:r>
      <w:r w:rsidR="00C92EE6">
        <w:t>–2024</w:t>
      </w:r>
      <w:r w:rsidR="00BF508F">
        <w:t xml:space="preserve"> oraz stopniowe wdrażanie obowiązku od 2025 r.</w:t>
      </w:r>
    </w:p>
    <w:p w14:paraId="1050A046" w14:textId="28A9259D" w:rsidR="000630B5" w:rsidRDefault="000630B5" w:rsidP="000E1799"/>
    <w:p w14:paraId="0B008A57" w14:textId="74F94CCF" w:rsidR="00BF508F" w:rsidRDefault="00BF508F" w:rsidP="00BF508F">
      <w:pPr>
        <w:pStyle w:val="Cele"/>
        <w:rPr>
          <w:b/>
          <w:bCs/>
        </w:rPr>
      </w:pPr>
      <w:r w:rsidRPr="00A807F9">
        <w:rPr>
          <w:b/>
          <w:bCs/>
        </w:rPr>
        <w:t xml:space="preserve">Polska będzie dążyć do realizacji celu zmniejszenia </w:t>
      </w:r>
      <w:r w:rsidR="00D71CD8">
        <w:rPr>
          <w:b/>
          <w:bCs/>
        </w:rPr>
        <w:t xml:space="preserve">finalnego </w:t>
      </w:r>
      <w:r w:rsidRPr="00A807F9">
        <w:rPr>
          <w:b/>
          <w:bCs/>
        </w:rPr>
        <w:t>zużycia energii przez wszystkie instytucje publiczne</w:t>
      </w:r>
      <w:r w:rsidR="003A7C3D">
        <w:rPr>
          <w:b/>
          <w:bCs/>
        </w:rPr>
        <w:t>,</w:t>
      </w:r>
      <w:r w:rsidRPr="00A807F9">
        <w:rPr>
          <w:b/>
          <w:bCs/>
        </w:rPr>
        <w:t xml:space="preserve"> </w:t>
      </w:r>
      <w:r>
        <w:rPr>
          <w:b/>
          <w:bCs/>
        </w:rPr>
        <w:t>tak aby w 2030 r</w:t>
      </w:r>
      <w:r w:rsidR="00D71CD8">
        <w:rPr>
          <w:b/>
          <w:bCs/>
        </w:rPr>
        <w:t>.</w:t>
      </w:r>
      <w:r>
        <w:rPr>
          <w:b/>
          <w:bCs/>
        </w:rPr>
        <w:t xml:space="preserve"> osiągać zmniejszenie </w:t>
      </w:r>
      <w:r w:rsidR="00A67584">
        <w:rPr>
          <w:b/>
          <w:bCs/>
        </w:rPr>
        <w:br/>
      </w:r>
      <w:r>
        <w:rPr>
          <w:b/>
          <w:bCs/>
        </w:rPr>
        <w:t xml:space="preserve">o 78,17 ktoe rocznie. </w:t>
      </w:r>
    </w:p>
    <w:p w14:paraId="2EC7E261" w14:textId="20C9D477" w:rsidR="00BF508F" w:rsidRPr="00A807F9" w:rsidRDefault="00BF508F" w:rsidP="00BF508F">
      <w:r>
        <w:t xml:space="preserve">W związku z trwającymi pracami mającymi na celu wdrożenie dyrektywy EED, </w:t>
      </w:r>
      <w:r w:rsidR="003A7C3D">
        <w:t>w chwili przyjęcia KPEiK</w:t>
      </w:r>
      <w:r>
        <w:t xml:space="preserve"> nie jest możliwe określenie sposobu realizacji celu zmniejszenia zużycia energii przez poszczególne grupy instytucji publicznych.</w:t>
      </w:r>
    </w:p>
    <w:p w14:paraId="4544749C" w14:textId="77777777" w:rsidR="00BF508F" w:rsidRDefault="00BF508F" w:rsidP="00BF508F">
      <w:pPr>
        <w:pStyle w:val="Polityka"/>
      </w:pPr>
      <w:r w:rsidRPr="00C46DAA">
        <w:t>POLITYKA</w:t>
      </w:r>
    </w:p>
    <w:p w14:paraId="6E3A688C" w14:textId="1D832546" w:rsidR="00BF508F" w:rsidRDefault="00BF508F" w:rsidP="00BF508F">
      <w:r>
        <w:t xml:space="preserve">Aktualnie obowiązująca ustawa z dnia 20 maja 2016 r. o efektywności energetycznej wzmocniła zadania w zakresie pełnienia wzorcowej roli sektora publicznego poprzez </w:t>
      </w:r>
      <w:r w:rsidRPr="00836D17">
        <w:t xml:space="preserve">wymóg </w:t>
      </w:r>
      <w:r w:rsidRPr="00A873A7">
        <w:t>stosowani</w:t>
      </w:r>
      <w:r>
        <w:t>a</w:t>
      </w:r>
      <w:r w:rsidRPr="00A873A7">
        <w:t xml:space="preserve"> środków poprawy efektywności energetycznej</w:t>
      </w:r>
      <w:r>
        <w:t xml:space="preserve">, </w:t>
      </w:r>
      <w:r w:rsidRPr="00836D17">
        <w:t>uwzględniania kryterium efektywności energetycznej w zamówieniach publicznych</w:t>
      </w:r>
      <w:r>
        <w:t xml:space="preserve"> oraz </w:t>
      </w:r>
      <w:r w:rsidRPr="00836D17">
        <w:t>możliwość realizacji i finansowania przedsięwzięcia lub przedsięwzięcia tego samego rodzaju służącego  poprawie efektywności energetycznej na podstawie umowy o poprawę efektywności energetycznej</w:t>
      </w:r>
      <w:r>
        <w:t>.</w:t>
      </w:r>
    </w:p>
    <w:p w14:paraId="51C9C7EE" w14:textId="70A0F496" w:rsidR="00BF508F" w:rsidRDefault="00BF508F" w:rsidP="00BF508F">
      <w:r>
        <w:t>W 2022 r</w:t>
      </w:r>
      <w:r w:rsidR="00EE6887">
        <w:t>.</w:t>
      </w:r>
      <w:r>
        <w:t xml:space="preserve"> w związku z sytuacją na rynku cen energii, wdrożono ustawą z dnia 7 października 2023 r.  o</w:t>
      </w:r>
      <w:r w:rsidR="00286B9A">
        <w:t> </w:t>
      </w:r>
      <w:r w:rsidRPr="00DB45DD">
        <w:t>szczególnych rozwiązaniach służących ochronie odbiorców energii elektrycznej w 2023 r</w:t>
      </w:r>
      <w:r w:rsidR="00EE6887">
        <w:t>.</w:t>
      </w:r>
      <w:r w:rsidRPr="00DB45DD">
        <w:t xml:space="preserve"> oraz w 2024</w:t>
      </w:r>
      <w:r w:rsidR="00EE6887">
        <w:t> </w:t>
      </w:r>
      <w:r w:rsidRPr="00DB45DD">
        <w:t>r</w:t>
      </w:r>
      <w:r w:rsidR="00EE6887">
        <w:t>.</w:t>
      </w:r>
      <w:r w:rsidRPr="00DB45DD">
        <w:t xml:space="preserve"> w związku z sytuacją na rynku energii elektrycznej</w:t>
      </w:r>
      <w:r>
        <w:t xml:space="preserve">, obowiązek podejmowania działań zmierzających do zmniejszenia zużycia energii elektrycznej o 10% przez jednostki sektora publicznego. </w:t>
      </w:r>
    </w:p>
    <w:p w14:paraId="4507E614" w14:textId="62163A63" w:rsidR="00BF508F" w:rsidRDefault="00BF508F" w:rsidP="00BF508F">
      <w:r>
        <w:t xml:space="preserve">W związku z powyższym, wprowadzenie jednego rozwiązania systemowego, tj. </w:t>
      </w:r>
      <w:r w:rsidRPr="005F5E2B">
        <w:t>zmniejszenia całkowitego zużycia energii finalnej o 1,9% rocznie przez instytucje publiczne</w:t>
      </w:r>
      <w:r>
        <w:t xml:space="preserve"> jest kwantyfikacją podejmowanych już działań w celu zmniejszenia zużycia energii w sektorze publicznym. </w:t>
      </w:r>
    </w:p>
    <w:p w14:paraId="508CC188" w14:textId="51397C0B" w:rsidR="00BF508F" w:rsidRDefault="00C445DC" w:rsidP="00C445DC">
      <w:pPr>
        <w:pStyle w:val="Polityka"/>
      </w:pPr>
      <w:r>
        <w:t xml:space="preserve">DZIAŁANIA </w:t>
      </w:r>
    </w:p>
    <w:p w14:paraId="46EA6975" w14:textId="628A8AFC" w:rsidR="009371F9" w:rsidRDefault="009371F9" w:rsidP="00612B5D">
      <w:pPr>
        <w:pStyle w:val="Akapitzlist"/>
        <w:numPr>
          <w:ilvl w:val="0"/>
          <w:numId w:val="47"/>
        </w:numPr>
      </w:pPr>
      <w:r>
        <w:fldChar w:fldCharType="begin"/>
      </w:r>
      <w:r>
        <w:instrText xml:space="preserve"> REF _Ref157423332 \h </w:instrText>
      </w:r>
      <w:r>
        <w:fldChar w:fldCharType="separate"/>
      </w:r>
      <w:r w:rsidR="00DD3929" w:rsidRPr="00751886">
        <w:t xml:space="preserve">Działanie </w:t>
      </w:r>
      <w:r w:rsidR="00DD3929">
        <w:rPr>
          <w:noProof/>
        </w:rPr>
        <w:t>94</w:t>
      </w:r>
      <w:r w:rsidR="00DD3929" w:rsidRPr="00751886">
        <w:t xml:space="preserve">. </w:t>
      </w:r>
      <w:r w:rsidR="00DD3929" w:rsidRPr="00661B98">
        <w:t>Instrument</w:t>
      </w:r>
      <w:r w:rsidR="00DD3929" w:rsidRPr="00751886">
        <w:t xml:space="preserve"> finansowy – system białych certyfikatów.</w:t>
      </w:r>
      <w:r>
        <w:fldChar w:fldCharType="end"/>
      </w:r>
    </w:p>
    <w:p w14:paraId="6A6489EB" w14:textId="1C34CC8A" w:rsidR="00BD7B46" w:rsidRDefault="00C445DC" w:rsidP="00612B5D">
      <w:pPr>
        <w:pStyle w:val="Akapitzlist"/>
        <w:numPr>
          <w:ilvl w:val="0"/>
          <w:numId w:val="47"/>
        </w:numPr>
      </w:pPr>
      <w:r>
        <w:fldChar w:fldCharType="begin"/>
      </w:r>
      <w:r>
        <w:instrText xml:space="preserve"> REF _Ref157431455 \h  \* MERGEFORMAT </w:instrText>
      </w:r>
      <w:r>
        <w:fldChar w:fldCharType="separate"/>
      </w:r>
      <w:r w:rsidR="00DD3929" w:rsidRPr="00DE3F08">
        <w:t xml:space="preserve">Działanie </w:t>
      </w:r>
      <w:r w:rsidR="00DD3929">
        <w:rPr>
          <w:noProof/>
        </w:rPr>
        <w:t>98</w:t>
      </w:r>
      <w:r w:rsidR="00DD3929" w:rsidRPr="00DE3F08">
        <w:t xml:space="preserve">. </w:t>
      </w:r>
      <w:r w:rsidR="00DD3929">
        <w:t xml:space="preserve">Efektywny </w:t>
      </w:r>
      <w:r w:rsidR="00DD3929" w:rsidRPr="00661B98">
        <w:t>energetycznie</w:t>
      </w:r>
      <w:r w:rsidR="00DD3929">
        <w:t xml:space="preserve"> sektor publiczny</w:t>
      </w:r>
      <w:r w:rsidR="00DD3929" w:rsidRPr="00DE3F08">
        <w:t>.</w:t>
      </w:r>
      <w:r>
        <w:fldChar w:fldCharType="end"/>
      </w:r>
    </w:p>
    <w:p w14:paraId="2EAC757E" w14:textId="2E51EF53" w:rsidR="00AA1E94" w:rsidRDefault="00CA7CDE" w:rsidP="00645D28">
      <w:pPr>
        <w:pStyle w:val="Nagwek3"/>
        <w:rPr>
          <w:color w:val="4472C4" w:themeColor="accent1"/>
        </w:rPr>
      </w:pPr>
      <w:bookmarkStart w:id="130" w:name="_Toc159598308"/>
      <w:bookmarkStart w:id="131" w:name="_Ref174098103"/>
      <w:bookmarkStart w:id="132" w:name="_Toc179536959"/>
      <w:r>
        <w:rPr>
          <w:color w:val="4472C4" w:themeColor="accent1"/>
        </w:rPr>
        <w:lastRenderedPageBreak/>
        <w:t>Niskoemisyjne b</w:t>
      </w:r>
      <w:r w:rsidR="00AA1E94" w:rsidRPr="00645D28">
        <w:rPr>
          <w:color w:val="4472C4" w:themeColor="accent1"/>
        </w:rPr>
        <w:t>udownictwo</w:t>
      </w:r>
      <w:bookmarkEnd w:id="130"/>
      <w:bookmarkEnd w:id="131"/>
      <w:bookmarkEnd w:id="132"/>
    </w:p>
    <w:p w14:paraId="3750EF4E" w14:textId="3A66FAFC" w:rsidR="005F740C" w:rsidRDefault="005F740C" w:rsidP="005F740C">
      <w:r>
        <w:t>W całej UE b</w:t>
      </w:r>
      <w:r w:rsidRPr="005F740C">
        <w:t xml:space="preserve">udynki odpowiadają za </w:t>
      </w:r>
      <w:r>
        <w:t xml:space="preserve">ok. </w:t>
      </w:r>
      <w:r w:rsidRPr="005F740C">
        <w:t xml:space="preserve">40% zużywanej energii </w:t>
      </w:r>
      <w:r w:rsidR="00DF11DC">
        <w:t>oraz</w:t>
      </w:r>
      <w:r w:rsidRPr="005F740C">
        <w:t xml:space="preserve"> 36% bezpośrednich i</w:t>
      </w:r>
      <w:r>
        <w:t> </w:t>
      </w:r>
      <w:r w:rsidRPr="005F740C">
        <w:t xml:space="preserve">pośrednich emisji </w:t>
      </w:r>
      <w:r>
        <w:t xml:space="preserve">GC </w:t>
      </w:r>
      <w:r w:rsidRPr="005F740C">
        <w:t>związanych z energią</w:t>
      </w:r>
      <w:r>
        <w:t>, przy czym</w:t>
      </w:r>
      <w:r w:rsidRPr="005F740C">
        <w:t xml:space="preserve"> ogrzewanie, chłodzenie i ciepła woda użytkowa odpowiadają za 80% energii zużywanej przez gospodarstwa domowe. </w:t>
      </w:r>
    </w:p>
    <w:p w14:paraId="348F280A" w14:textId="77777777" w:rsidR="003F21E8" w:rsidRDefault="005F4499" w:rsidP="005F740C">
      <w:r>
        <w:t xml:space="preserve">Determinacja UE w ograniczaniu wpływu budynków na środowisko przejawia się określeniem celu w zakresie </w:t>
      </w:r>
      <w:r w:rsidRPr="003F21E8">
        <w:rPr>
          <w:b/>
          <w:bCs/>
        </w:rPr>
        <w:t>zużycia OZE w budynkach</w:t>
      </w:r>
      <w:r>
        <w:t xml:space="preserve">, jak również przez określenie nowego systemu handlu uprawnień do emisji gazów cieplarnianych – </w:t>
      </w:r>
      <w:r w:rsidRPr="003F21E8">
        <w:rPr>
          <w:b/>
          <w:bCs/>
        </w:rPr>
        <w:t>ETS-2</w:t>
      </w:r>
      <w:r>
        <w:t xml:space="preserve">. Mechanizmy te mają motywować do ograniczenia wykorzystania paliw kopalnych w budynkach. </w:t>
      </w:r>
    </w:p>
    <w:p w14:paraId="1E68DE3A" w14:textId="164913CF" w:rsidR="005F740C" w:rsidRDefault="005F4499" w:rsidP="005F740C">
      <w:r w:rsidRPr="003F21E8">
        <w:rPr>
          <w:b/>
          <w:bCs/>
        </w:rPr>
        <w:t>W pierwszej kolejności należy jednak zadbać o zmniejszenie (racjonalizację) potrzeb cieplnych</w:t>
      </w:r>
      <w:r w:rsidR="003F21E8">
        <w:t xml:space="preserve">. </w:t>
      </w:r>
      <w:r>
        <w:t>Postęp</w:t>
      </w:r>
      <w:r w:rsidR="00DF11DC">
        <w:t> </w:t>
      </w:r>
      <w:r>
        <w:t xml:space="preserve">technologiczny w budownictwie pozwala na to, </w:t>
      </w:r>
      <w:r w:rsidR="005F740C">
        <w:t>aby nowe budynk</w:t>
      </w:r>
      <w:r>
        <w:t>i</w:t>
      </w:r>
      <w:r w:rsidR="005F740C">
        <w:t xml:space="preserve"> cechowały się znacznie niższymi potrzebami cieplnymi</w:t>
      </w:r>
      <w:r>
        <w:t xml:space="preserve"> niż istniejące</w:t>
      </w:r>
      <w:r w:rsidR="005F740C">
        <w:t xml:space="preserve">, dlatego ogromna uwaga jest skupiona na tym, </w:t>
      </w:r>
      <w:r w:rsidR="00393309">
        <w:t>żeby</w:t>
      </w:r>
      <w:r w:rsidR="005F740C">
        <w:t xml:space="preserve"> zmniejszyć energochłonność istniejących budynków. Ma to na celu zmniejszenie zapotrzebowania na energię w</w:t>
      </w:r>
      <w:r w:rsidR="002A2FC6">
        <w:t> </w:t>
      </w:r>
      <w:r w:rsidR="005F740C">
        <w:t>gospodarce i</w:t>
      </w:r>
      <w:r w:rsidR="002A2FC6">
        <w:t xml:space="preserve"> wpłynąć na redukcję emisji GC, ale także ograniczyć </w:t>
      </w:r>
      <w:r w:rsidR="00393309">
        <w:t>koszty energii</w:t>
      </w:r>
      <w:r w:rsidR="005F740C">
        <w:t xml:space="preserve">. </w:t>
      </w:r>
      <w:r w:rsidR="003F21E8" w:rsidRPr="003F21E8">
        <w:rPr>
          <w:b/>
          <w:bCs/>
        </w:rPr>
        <w:t>Fala renowacji</w:t>
      </w:r>
      <w:r w:rsidR="003F21E8">
        <w:t xml:space="preserve"> jest traktowana również jako środek w walce z ubóstwem energetycznym</w:t>
      </w:r>
      <w:r w:rsidR="00776F23">
        <w:t>, a będzie mieć również wpływ na poprawę jakości powietrza.</w:t>
      </w:r>
    </w:p>
    <w:p w14:paraId="357B9FB0" w14:textId="4BCAC621" w:rsidR="00524E26" w:rsidRPr="00524E26" w:rsidRDefault="002A2FC6" w:rsidP="005F740C">
      <w:r>
        <w:t>W tej części omówiono cele w zakresie istniejących budynków oraz zobowiązań dotyczących nowych budynków</w:t>
      </w:r>
      <w:r w:rsidR="005F740C" w:rsidRPr="005F740C">
        <w:t>.</w:t>
      </w:r>
    </w:p>
    <w:p w14:paraId="2897162F" w14:textId="1857144D" w:rsidR="00524E26" w:rsidRPr="00524E26" w:rsidRDefault="00524E26" w:rsidP="00524E26">
      <w:pPr>
        <w:pStyle w:val="Nagwek4"/>
        <w:rPr>
          <w:color w:val="4472C4" w:themeColor="accent1"/>
        </w:rPr>
      </w:pPr>
      <w:bookmarkStart w:id="133" w:name="_Toc159598309"/>
      <w:bookmarkStart w:id="134" w:name="_Toc179536960"/>
      <w:r w:rsidRPr="00524E26">
        <w:rPr>
          <w:color w:val="4472C4" w:themeColor="accent1"/>
        </w:rPr>
        <w:t xml:space="preserve">Redukcja potrzeb </w:t>
      </w:r>
      <w:r w:rsidR="00CA7CDE">
        <w:rPr>
          <w:color w:val="4472C4" w:themeColor="accent1"/>
        </w:rPr>
        <w:t xml:space="preserve">energetycznych </w:t>
      </w:r>
      <w:r w:rsidRPr="00524E26">
        <w:rPr>
          <w:color w:val="4472C4" w:themeColor="accent1"/>
        </w:rPr>
        <w:t>istniejących budynków</w:t>
      </w:r>
      <w:bookmarkEnd w:id="133"/>
      <w:bookmarkEnd w:id="134"/>
    </w:p>
    <w:p w14:paraId="62BF09C1" w14:textId="3F83D24B" w:rsidR="005F740C" w:rsidRPr="00DC5106" w:rsidRDefault="00AF5B65" w:rsidP="005F740C">
      <w:r>
        <w:t xml:space="preserve">W 2022 r. Polska opracowała </w:t>
      </w:r>
      <w:r w:rsidRPr="00E042DE">
        <w:rPr>
          <w:i/>
          <w:iCs/>
        </w:rPr>
        <w:t>Długoterminow</w:t>
      </w:r>
      <w:r>
        <w:rPr>
          <w:i/>
          <w:iCs/>
        </w:rPr>
        <w:t>ą</w:t>
      </w:r>
      <w:r w:rsidRPr="00E042DE">
        <w:rPr>
          <w:i/>
          <w:iCs/>
        </w:rPr>
        <w:t xml:space="preserve"> strategi</w:t>
      </w:r>
      <w:r>
        <w:rPr>
          <w:i/>
          <w:iCs/>
        </w:rPr>
        <w:t>ę</w:t>
      </w:r>
      <w:r w:rsidRPr="00E042DE">
        <w:rPr>
          <w:i/>
          <w:iCs/>
        </w:rPr>
        <w:t xml:space="preserve"> renowacji budynków</w:t>
      </w:r>
      <w:r w:rsidR="003651D1">
        <w:rPr>
          <w:i/>
          <w:iCs/>
        </w:rPr>
        <w:t xml:space="preserve"> </w:t>
      </w:r>
      <w:r w:rsidR="003651D1" w:rsidRPr="003651D1">
        <w:t>(DSRB)</w:t>
      </w:r>
      <w:r w:rsidR="003651D1">
        <w:rPr>
          <w:i/>
          <w:iCs/>
        </w:rPr>
        <w:t xml:space="preserve"> </w:t>
      </w:r>
      <w:r w:rsidRPr="004D1A61">
        <w:t>(</w:t>
      </w:r>
      <w:hyperlink r:id="rId72" w:history="1">
        <w:r w:rsidRPr="005F3AF1">
          <w:rPr>
            <w:rStyle w:val="Hipercze"/>
          </w:rPr>
          <w:t>link</w:t>
        </w:r>
      </w:hyperlink>
      <w:r w:rsidRPr="004D1A61">
        <w:t>)</w:t>
      </w:r>
      <w:r w:rsidRPr="004D1A61">
        <w:rPr>
          <w:rStyle w:val="Odwoanieprzypisudolnego"/>
        </w:rPr>
        <w:footnoteReference w:id="68"/>
      </w:r>
      <w:r w:rsidRPr="004D1A61">
        <w:t>, w której określono</w:t>
      </w:r>
      <w:r w:rsidR="00E042DE">
        <w:t xml:space="preserve"> niezbędne działania</w:t>
      </w:r>
      <w:r w:rsidR="00C54CD9">
        <w:t xml:space="preserve"> mające prowadzić do osiągnięcia </w:t>
      </w:r>
      <w:r w:rsidR="00E042DE">
        <w:t>wysok</w:t>
      </w:r>
      <w:r w:rsidR="00C54CD9">
        <w:t>iej</w:t>
      </w:r>
      <w:r w:rsidR="00E042DE">
        <w:t xml:space="preserve"> efektywnoś</w:t>
      </w:r>
      <w:r w:rsidR="00C54CD9">
        <w:t>ci</w:t>
      </w:r>
      <w:r w:rsidR="00E042DE">
        <w:t xml:space="preserve"> energetyczn</w:t>
      </w:r>
      <w:r w:rsidR="00C54CD9">
        <w:t>ej</w:t>
      </w:r>
      <w:r w:rsidR="00E042DE">
        <w:t xml:space="preserve"> i niskoemisyjnoś</w:t>
      </w:r>
      <w:r w:rsidR="00C54CD9">
        <w:t>ci</w:t>
      </w:r>
      <w:r w:rsidR="00E042DE">
        <w:t xml:space="preserve"> budynków w</w:t>
      </w:r>
      <w:r w:rsidR="00C54CD9">
        <w:t> </w:t>
      </w:r>
      <w:r w:rsidR="00E042DE">
        <w:t>Polsce w perspektywie 2050 r.</w:t>
      </w:r>
      <w:r w:rsidR="00C54CD9">
        <w:t xml:space="preserve"> </w:t>
      </w:r>
      <w:r w:rsidR="00C54CD9" w:rsidRPr="00C54CD9">
        <w:t xml:space="preserve">Realizacja zamierzonego celu niesie za sobą </w:t>
      </w:r>
      <w:r w:rsidR="00C54CD9">
        <w:t xml:space="preserve">m.in. </w:t>
      </w:r>
      <w:r w:rsidR="00C54CD9" w:rsidRPr="00C54CD9">
        <w:t>poprawę charakterystyki energetycznej budynków, wpłynie pozytywnie na jakość powietrza poprzez zmniejszenie emisji gazów cieplarnianych do atmosfery, a także pozytywnie wpłynie na generowanie nowych miejsc pracy związanych z przeprowadzeniem termomodernizacji obiektów budowlanych.</w:t>
      </w:r>
      <w:r w:rsidR="009441AA" w:rsidRPr="009441AA">
        <w:t xml:space="preserve"> </w:t>
      </w:r>
      <w:r w:rsidR="009441AA">
        <w:t>Jednocześnie w planowaniu krajowej fali renowacji trzeba mieć również na względzie prawa rynkowe – zbyt duże krajowe tempo renowacji może powodować nieuzasadnione wzrosty cen materiałów i usług, jak również może być obarczone nierzetelnością wykonania</w:t>
      </w:r>
      <w:r w:rsidR="009441AA" w:rsidRPr="007B53EB">
        <w:t xml:space="preserve"> </w:t>
      </w:r>
      <w:r w:rsidR="009441AA">
        <w:t xml:space="preserve">i brakiem samych wykonawców. </w:t>
      </w:r>
      <w:r w:rsidR="009441AA" w:rsidRPr="00DC5106">
        <w:t xml:space="preserve">Ponadto należy uwzględnić perspektywę społeczną działań renowacyjnych, w tym zdolność do kompleksowych remontów z uwagi na sytuację materialną, społeczną, prawną </w:t>
      </w:r>
      <w:r w:rsidR="00DC5106">
        <w:t>itd.</w:t>
      </w:r>
    </w:p>
    <w:p w14:paraId="1AB1558C" w14:textId="20F740FF" w:rsidR="00E042DE" w:rsidRDefault="00393309" w:rsidP="00E042DE">
      <w:r>
        <w:rPr>
          <w:noProof/>
        </w:rPr>
        <mc:AlternateContent>
          <mc:Choice Requires="wps">
            <w:drawing>
              <wp:anchor distT="0" distB="0" distL="114300" distR="114300" simplePos="0" relativeHeight="251786240" behindDoc="1" locked="0" layoutInCell="1" allowOverlap="1" wp14:anchorId="67DBEC7B" wp14:editId="34E19A13">
                <wp:simplePos x="0" y="0"/>
                <wp:positionH relativeFrom="margin">
                  <wp:posOffset>2650832</wp:posOffset>
                </wp:positionH>
                <wp:positionV relativeFrom="paragraph">
                  <wp:posOffset>38540</wp:posOffset>
                </wp:positionV>
                <wp:extent cx="3139440" cy="1045845"/>
                <wp:effectExtent l="19050" t="57150" r="118110" b="82550"/>
                <wp:wrapThrough wrapText="bothSides">
                  <wp:wrapPolygon edited="0">
                    <wp:start x="655" y="-1086"/>
                    <wp:lineTo x="-131" y="-724"/>
                    <wp:lineTo x="-131" y="19911"/>
                    <wp:lineTo x="655" y="22445"/>
                    <wp:lineTo x="655" y="22807"/>
                    <wp:lineTo x="21626" y="22807"/>
                    <wp:lineTo x="21757" y="22445"/>
                    <wp:lineTo x="22282" y="17377"/>
                    <wp:lineTo x="22282" y="1810"/>
                    <wp:lineTo x="21888" y="-724"/>
                    <wp:lineTo x="21495" y="-1086"/>
                    <wp:lineTo x="655" y="-1086"/>
                  </wp:wrapPolygon>
                </wp:wrapThrough>
                <wp:docPr id="324326697" name="Prostokąt: zaokrąglone rogi 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39440" cy="1045845"/>
                        </a:xfrm>
                        <a:prstGeom prst="roundRect">
                          <a:avLst>
                            <a:gd name="adj" fmla="val 11857"/>
                          </a:avLst>
                        </a:prstGeom>
                        <a:solidFill>
                          <a:schemeClr val="bg1"/>
                        </a:solidFill>
                        <a:ln w="9525">
                          <a:solidFill>
                            <a:schemeClr val="accent5"/>
                          </a:solidFill>
                        </a:ln>
                        <a:effectLst>
                          <a:outerShdw blurRad="50800" dist="38100" algn="l"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txbx>
                        <w:txbxContent>
                          <w:p w14:paraId="28BEBFB6" w14:textId="7383D5E4" w:rsidR="00EC0A0F" w:rsidRPr="00A35815" w:rsidRDefault="00EC0A0F" w:rsidP="00EC0A0F">
                            <w:pPr>
                              <w:pStyle w:val="Ramka"/>
                            </w:pPr>
                            <w:r w:rsidRPr="00EC0A0F">
                              <w:rPr>
                                <w:i/>
                                <w:iCs/>
                              </w:rPr>
                              <w:t xml:space="preserve"> </w:t>
                            </w:r>
                            <w:r w:rsidRPr="00776F23">
                              <w:rPr>
                                <w:i/>
                                <w:iCs/>
                              </w:rPr>
                              <w:t>Płytka termomodernizacja</w:t>
                            </w:r>
                            <w:r>
                              <w:t xml:space="preserve"> polega na wymianie wysokoemisyjnego źródła ciepła, jakim jest np. kocioł na węgiel tzw. kopciuch, na ekologiczne urządzenie. </w:t>
                            </w:r>
                            <w:r w:rsidRPr="00776F23">
                              <w:rPr>
                                <w:i/>
                                <w:iCs/>
                              </w:rPr>
                              <w:t>Głęboka termomodernizacja</w:t>
                            </w:r>
                            <w:r>
                              <w:t xml:space="preserve"> wiąże się z koniecznością dodatkowych działań, takich jak ocieplenie budynku, wymiana okien czy zamontowanie ekologicznego źródła ciepła.</w:t>
                            </w:r>
                          </w:p>
                        </w:txbxContent>
                      </wps:txbx>
                      <wps:bodyPr rot="0" spcFirstLastPara="0" vertOverflow="overflow" horzOverflow="overflow" vert="horz" wrap="square" lIns="72000" tIns="90000" rIns="72000" bIns="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67DBEC7B" id="_x0000_s1097" style="position:absolute;left:0;text-align:left;margin-left:208.75pt;margin-top:3.05pt;width:247.2pt;height:82.35pt;z-index:-251530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777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" fillcolor="white [3212]" strokecolor="#5b9bd5 [3208]">
                <v:stroke joinstyle="miter"/>
                <v:shadow on="t" color="black" opacity="26214f" origin="-.5" offset="3pt,0"/>
                <v:path arrowok="t"/>
                <v:textbox style="mso-fit-shape-to-text:t" inset="2mm,2.5mm,2mm,0">
                  <w:txbxContent>
                    <w:p w14:paraId="28BEBFB6" w14:textId="7383D5E4" w:rsidR="00EC0A0F" w:rsidRPr="00A35815" w:rsidRDefault="00EC0A0F" w:rsidP="00EC0A0F">
                      <w:pPr>
                        <w:pStyle w:val="Ramka"/>
                      </w:pPr>
                      <w:r w:rsidRPr="00EC0A0F">
                        <w:rPr>
                          <w:i/>
                          <w:iCs/>
                        </w:rPr>
                        <w:t xml:space="preserve"> </w:t>
                      </w:r>
                      <w:r w:rsidRPr="00776F23">
                        <w:rPr>
                          <w:i/>
                          <w:iCs/>
                        </w:rPr>
                        <w:t>Płytka termomodernizacja</w:t>
                      </w:r>
                      <w:r>
                        <w:t xml:space="preserve"> polega na wymianie wysokoemisyjnego źródła ciepła, jakim jest np. kocioł na węgiel tzw. kopciuch, na ekologiczne urządzenie. </w:t>
                      </w:r>
                      <w:r w:rsidRPr="00776F23">
                        <w:rPr>
                          <w:i/>
                          <w:iCs/>
                        </w:rPr>
                        <w:t>Głęboka termomodernizacja</w:t>
                      </w:r>
                      <w:r>
                        <w:t xml:space="preserve"> wiąże się z koniecznością dodatkowych działań, takich jak ocieplenie budynku, wymiana okien czy zamontowanie ekologicznego źródła ciepła.</w:t>
                      </w:r>
                    </w:p>
                  </w:txbxContent>
                </v:textbox>
                <w10:wrap type="through" anchorx="margin"/>
              </v:roundrect>
            </w:pict>
          </mc:Fallback>
        </mc:AlternateContent>
      </w:r>
      <w:r w:rsidR="00E042DE">
        <w:t xml:space="preserve">Po analizie kosztów i </w:t>
      </w:r>
      <w:r w:rsidR="00E042DE" w:rsidRPr="00EC0A0F">
        <w:t>efektów przyjęt</w:t>
      </w:r>
      <w:r w:rsidR="00776F23" w:rsidRPr="00EC0A0F">
        <w:t>o</w:t>
      </w:r>
      <w:r w:rsidR="00E042DE" w:rsidRPr="00EC0A0F">
        <w:t xml:space="preserve"> rekomendowany scenariusz</w:t>
      </w:r>
      <w:r w:rsidR="00776F23" w:rsidRPr="00EC0A0F">
        <w:t>, który</w:t>
      </w:r>
      <w:r w:rsidR="00E042DE" w:rsidRPr="00EC0A0F">
        <w:t xml:space="preserve"> przewiduje </w:t>
      </w:r>
      <w:r w:rsidR="003C534B" w:rsidRPr="00EC0A0F">
        <w:rPr>
          <w:b/>
          <w:bCs/>
        </w:rPr>
        <w:t>powszechną</w:t>
      </w:r>
      <w:r w:rsidR="00E042DE" w:rsidRPr="00EC0A0F">
        <w:rPr>
          <w:b/>
          <w:bCs/>
        </w:rPr>
        <w:t xml:space="preserve"> płytk</w:t>
      </w:r>
      <w:r w:rsidR="003C534B" w:rsidRPr="00EC0A0F">
        <w:rPr>
          <w:b/>
          <w:bCs/>
        </w:rPr>
        <w:t>ą</w:t>
      </w:r>
      <w:r w:rsidR="00E042DE" w:rsidRPr="00EC0A0F">
        <w:rPr>
          <w:b/>
          <w:bCs/>
        </w:rPr>
        <w:t xml:space="preserve"> termomodernizacj</w:t>
      </w:r>
      <w:r w:rsidR="00C04D9C" w:rsidRPr="00EC0A0F">
        <w:rPr>
          <w:b/>
          <w:bCs/>
        </w:rPr>
        <w:t>ę</w:t>
      </w:r>
      <w:r w:rsidR="00E042DE" w:rsidRPr="00EC0A0F">
        <w:rPr>
          <w:b/>
          <w:bCs/>
        </w:rPr>
        <w:t xml:space="preserve"> ze stopniowym upowszechnianiem głębokiej, kompleksowej termomodernizacji w</w:t>
      </w:r>
      <w:r w:rsidR="00EC0A0F" w:rsidRPr="00EC0A0F">
        <w:rPr>
          <w:b/>
          <w:bCs/>
        </w:rPr>
        <w:t> </w:t>
      </w:r>
      <w:r w:rsidR="00E042DE" w:rsidRPr="00EC0A0F">
        <w:rPr>
          <w:b/>
          <w:bCs/>
        </w:rPr>
        <w:t>perspektywie do 2030 r.</w:t>
      </w:r>
      <w:r w:rsidR="00E042DE">
        <w:t xml:space="preserve"> </w:t>
      </w:r>
      <w:r w:rsidRPr="00393309">
        <w:t xml:space="preserve">Przyjęcie tego podejścia pozwoli również na </w:t>
      </w:r>
      <w:r>
        <w:t xml:space="preserve">szybsze </w:t>
      </w:r>
      <w:r w:rsidRPr="00393309">
        <w:t xml:space="preserve">zredukowanie negatywnego wpływu objęcia sektora mieszkalnictwa systemem </w:t>
      </w:r>
      <w:r w:rsidR="00FE76CC">
        <w:t xml:space="preserve">EU </w:t>
      </w:r>
      <w:r w:rsidRPr="00393309">
        <w:t>ETS</w:t>
      </w:r>
      <w:r w:rsidR="007B53EB">
        <w:t>–</w:t>
      </w:r>
      <w:r w:rsidRPr="00393309">
        <w:t>2</w:t>
      </w:r>
      <w:r w:rsidR="00FE76CC">
        <w:t xml:space="preserve">, </w:t>
      </w:r>
      <w:r w:rsidR="00FE76CC" w:rsidRPr="00393309">
        <w:t>przy jednoczesnym wykorzystaniu środków pochodzących z Klimatycznego Funduszu Społecznego</w:t>
      </w:r>
      <w:r w:rsidR="00FE76CC">
        <w:t>.</w:t>
      </w:r>
      <w:r w:rsidR="00F522C7">
        <w:t xml:space="preserve"> </w:t>
      </w:r>
      <w:r w:rsidR="00F118A9" w:rsidRPr="00F118A9">
        <w:t xml:space="preserve">Przyjęte w </w:t>
      </w:r>
      <w:r w:rsidR="00F118A9" w:rsidRPr="00F118A9">
        <w:rPr>
          <w:i/>
          <w:iCs/>
        </w:rPr>
        <w:t>Długoterminowej strategii renowacji budynków scenariusz</w:t>
      </w:r>
      <w:r w:rsidR="00F118A9" w:rsidRPr="00F118A9">
        <w:t xml:space="preserve"> </w:t>
      </w:r>
      <w:r w:rsidR="007B53EB">
        <w:t xml:space="preserve">powinno pozwolić </w:t>
      </w:r>
      <w:r w:rsidR="00F118A9" w:rsidRPr="00F118A9">
        <w:t>na zmodernizowanie najmniej efektywnych budynków (z zużyciem energii powyżej 330 kWh/</w:t>
      </w:r>
      <w:r w:rsidR="00F522C7">
        <w:t>(</w:t>
      </w:r>
      <w:r w:rsidR="00F118A9" w:rsidRPr="00F118A9">
        <w:t>m</w:t>
      </w:r>
      <w:r w:rsidR="00F118A9" w:rsidRPr="00F118A9">
        <w:rPr>
          <w:vertAlign w:val="superscript"/>
        </w:rPr>
        <w:t>2</w:t>
      </w:r>
      <w:r w:rsidR="00F118A9" w:rsidRPr="00F118A9">
        <w:t>rok</w:t>
      </w:r>
      <w:r w:rsidR="00F522C7">
        <w:t>)</w:t>
      </w:r>
      <w:r w:rsidR="00F118A9" w:rsidRPr="00F118A9">
        <w:t>) do 2027 r., a więc do pierwszego roku efektywnego funkcjonowania EU ETS</w:t>
      </w:r>
      <w:r w:rsidR="00F522C7">
        <w:noBreakHyphen/>
      </w:r>
      <w:r w:rsidR="00F118A9" w:rsidRPr="00F118A9">
        <w:t>2</w:t>
      </w:r>
      <w:r w:rsidR="007B53EB">
        <w:t>.</w:t>
      </w:r>
    </w:p>
    <w:p w14:paraId="03ED46FA" w14:textId="566CBFB7" w:rsidR="00EC0A0F" w:rsidRDefault="00EC0A0F" w:rsidP="007B53EB">
      <w:pPr>
        <w:spacing w:before="360"/>
      </w:pPr>
      <w:r>
        <w:lastRenderedPageBreak/>
        <w:t xml:space="preserve">Nowa dyrektywa </w:t>
      </w:r>
      <w:r w:rsidRPr="004D1A61">
        <w:t xml:space="preserve">w sprawie charakterystyki </w:t>
      </w:r>
      <w:r>
        <w:t>efektywności energetycznej</w:t>
      </w:r>
      <w:r w:rsidRPr="004D1A61">
        <w:t xml:space="preserve"> budynków</w:t>
      </w:r>
      <w:r>
        <w:t xml:space="preserve"> wskazuje, </w:t>
      </w:r>
      <w:r w:rsidR="003651D1">
        <w:t>że</w:t>
      </w:r>
      <w:r w:rsidRPr="00F765B0">
        <w:t xml:space="preserve"> </w:t>
      </w:r>
      <w:r>
        <w:t xml:space="preserve">państwa członkowskie powinny przekazać Komisji Europejskiej do końca </w:t>
      </w:r>
      <w:r w:rsidRPr="00F765B0">
        <w:t>2025 r.</w:t>
      </w:r>
      <w:r w:rsidDel="003F4D7D">
        <w:t xml:space="preserve"> </w:t>
      </w:r>
      <w:r>
        <w:t xml:space="preserve">projekt </w:t>
      </w:r>
      <w:r w:rsidRPr="00F765B0">
        <w:rPr>
          <w:b/>
          <w:bCs/>
        </w:rPr>
        <w:t>krajowego planu renowacji budynków</w:t>
      </w:r>
      <w:r>
        <w:t>, a do końca 2026 r. jego finalną wersję</w:t>
      </w:r>
      <w:r>
        <w:rPr>
          <w:rStyle w:val="Odwoanieprzypisudolnego"/>
        </w:rPr>
        <w:footnoteReference w:id="69"/>
      </w:r>
      <w:r>
        <w:t xml:space="preserve">. </w:t>
      </w:r>
      <w:r w:rsidRPr="000E3395" w:rsidDel="003F4D7D">
        <w:t xml:space="preserve"> </w:t>
      </w:r>
      <w:r w:rsidR="003651D1">
        <w:t>Do tego czasu obowiązujący</w:t>
      </w:r>
      <w:r w:rsidR="007B53EB">
        <w:t>m</w:t>
      </w:r>
      <w:r w:rsidR="003651D1">
        <w:t xml:space="preserve"> dokumentem pozostaje DSRB z 2022 r., której założenia zaimplementowano w scenariusz</w:t>
      </w:r>
      <w:r w:rsidR="009441AA">
        <w:t>u</w:t>
      </w:r>
      <w:r w:rsidR="003651D1">
        <w:t xml:space="preserve"> WEM do aKPEiK. W scenariuszu WAM przyjęto, że Polska po</w:t>
      </w:r>
      <w:r w:rsidR="002E656C">
        <w:t>dejmie jeszcze</w:t>
      </w:r>
      <w:r w:rsidR="003651D1">
        <w:t xml:space="preserve"> w</w:t>
      </w:r>
      <w:r w:rsidR="002E656C">
        <w:t>iększe</w:t>
      </w:r>
      <w:r w:rsidR="003651D1">
        <w:t xml:space="preserve"> wysiłki w </w:t>
      </w:r>
      <w:r w:rsidR="002E656C">
        <w:t xml:space="preserve">obszarze </w:t>
      </w:r>
      <w:r w:rsidR="003651D1">
        <w:t>termomodernizacji</w:t>
      </w:r>
      <w:r w:rsidR="002E656C">
        <w:t>.</w:t>
      </w:r>
    </w:p>
    <w:p w14:paraId="486488AD" w14:textId="3B36E378" w:rsidR="005F740C" w:rsidRDefault="002E656C" w:rsidP="0077447B">
      <w:pPr>
        <w:spacing w:before="360"/>
        <w:rPr>
          <w:rFonts w:cs="Calibri"/>
          <w:b/>
        </w:rPr>
      </w:pPr>
      <w:r>
        <w:rPr>
          <w:rFonts w:cs="Calibri"/>
          <w:b/>
        </w:rPr>
        <w:t xml:space="preserve">Do czasu przyjęcia nowego planu/strategii w zakresie renowacji budynków przyjmuje się, że osiągnięte zostaną co najmniej </w:t>
      </w:r>
      <w:r w:rsidR="00D73323">
        <w:rPr>
          <w:rFonts w:cs="Calibri"/>
          <w:b/>
        </w:rPr>
        <w:t>oczekiwane szczegółowe efekty wdrażanego scenariusza</w:t>
      </w:r>
      <w:r w:rsidR="0077447B">
        <w:rPr>
          <w:rFonts w:cs="Calibri"/>
          <w:b/>
        </w:rPr>
        <w:t xml:space="preserve"> renowacji</w:t>
      </w:r>
      <w:r>
        <w:rPr>
          <w:rFonts w:cs="Calibri"/>
          <w:b/>
        </w:rPr>
        <w:t xml:space="preserve"> DSRB z 2022 r.</w:t>
      </w:r>
      <w:r w:rsidR="00D73323">
        <w:rPr>
          <w:rFonts w:cs="Calibri"/>
          <w:b/>
        </w:rPr>
        <w:t>:</w:t>
      </w:r>
    </w:p>
    <w:p w14:paraId="28E73B3C" w14:textId="3D4A1D4A" w:rsidR="005F740C" w:rsidRDefault="00D73323" w:rsidP="001D4BA5">
      <w:pPr>
        <w:pStyle w:val="Akapitzlist"/>
        <w:numPr>
          <w:ilvl w:val="0"/>
          <w:numId w:val="15"/>
        </w:numPr>
        <w:ind w:left="426"/>
      </w:pPr>
      <w:r>
        <w:t>D</w:t>
      </w:r>
      <w:r w:rsidR="005F740C" w:rsidRPr="00831F02">
        <w:t xml:space="preserve">o 2027 </w:t>
      </w:r>
      <w:r>
        <w:t>r.</w:t>
      </w:r>
      <w:r w:rsidR="005F740C" w:rsidRPr="00831F02">
        <w:t xml:space="preserve"> zmodernizowane zostaną wszystkie budynki charakteryzujące się </w:t>
      </w:r>
      <w:r w:rsidR="005F740C" w:rsidRPr="00D73323">
        <w:t xml:space="preserve">wskaźnikiem </w:t>
      </w:r>
      <w:r w:rsidRPr="00D73323">
        <w:t>energii pierwotnej</w:t>
      </w:r>
      <w:r w:rsidRPr="00D73323">
        <w:rPr>
          <w:i/>
          <w:iCs/>
        </w:rPr>
        <w:t xml:space="preserve"> </w:t>
      </w:r>
      <w:r w:rsidRPr="00D73323">
        <w:t xml:space="preserve">budynku </w:t>
      </w:r>
      <w:r>
        <w:t>(</w:t>
      </w:r>
      <w:r w:rsidR="005F740C" w:rsidRPr="00831F02">
        <w:t>EP</w:t>
      </w:r>
      <w:r>
        <w:t>)</w:t>
      </w:r>
      <w:r w:rsidR="005F740C" w:rsidRPr="00831F02">
        <w:t xml:space="preserve"> </w:t>
      </w:r>
      <w:r w:rsidR="005F740C" w:rsidRPr="00D73323">
        <w:t xml:space="preserve">większym niż </w:t>
      </w:r>
      <w:r w:rsidR="005F740C" w:rsidRPr="00D73323">
        <w:rPr>
          <w:b/>
          <w:bCs/>
        </w:rPr>
        <w:t>330 kWh/(m</w:t>
      </w:r>
      <w:r w:rsidR="005F740C" w:rsidRPr="00D73323">
        <w:rPr>
          <w:b/>
          <w:bCs/>
          <w:vertAlign w:val="superscript"/>
        </w:rPr>
        <w:t>2</w:t>
      </w:r>
      <w:r w:rsidR="005F740C" w:rsidRPr="00D73323">
        <w:rPr>
          <w:b/>
          <w:bCs/>
        </w:rPr>
        <w:t>·rok)</w:t>
      </w:r>
      <w:r w:rsidR="005F740C" w:rsidRPr="00D73323">
        <w:t>,</w:t>
      </w:r>
      <w:r w:rsidR="005F740C" w:rsidRPr="00831F02">
        <w:t xml:space="preserve"> a do 2035 </w:t>
      </w:r>
      <w:r>
        <w:t xml:space="preserve">r. </w:t>
      </w:r>
      <w:r w:rsidR="005F740C" w:rsidRPr="00831F02">
        <w:t xml:space="preserve">budynki charakteryzujące się wskaźnikiem EP większym niż </w:t>
      </w:r>
      <w:r w:rsidR="005F740C" w:rsidRPr="00813705">
        <w:rPr>
          <w:b/>
          <w:bCs/>
        </w:rPr>
        <w:t>230 kWh/(m</w:t>
      </w:r>
      <w:r w:rsidR="005F740C" w:rsidRPr="00D73323">
        <w:rPr>
          <w:b/>
          <w:bCs/>
          <w:vertAlign w:val="superscript"/>
        </w:rPr>
        <w:t>2</w:t>
      </w:r>
      <w:r w:rsidR="005F740C" w:rsidRPr="00813705">
        <w:rPr>
          <w:b/>
          <w:bCs/>
        </w:rPr>
        <w:t>·rok).</w:t>
      </w:r>
      <w:r w:rsidR="005F740C" w:rsidRPr="00831F02">
        <w:t xml:space="preserve"> Z kolei </w:t>
      </w:r>
      <w:r>
        <w:t xml:space="preserve">w </w:t>
      </w:r>
      <w:r w:rsidR="005F740C" w:rsidRPr="00831F02">
        <w:t xml:space="preserve">2045 </w:t>
      </w:r>
      <w:r>
        <w:t xml:space="preserve">r. </w:t>
      </w:r>
      <w:r w:rsidR="005F740C" w:rsidRPr="00831F02">
        <w:t xml:space="preserve">wszystkie budynki będą miały wskaźnik EP nie większy niż </w:t>
      </w:r>
      <w:r w:rsidR="005F740C" w:rsidRPr="00813705">
        <w:rPr>
          <w:b/>
          <w:bCs/>
        </w:rPr>
        <w:t>150 kWh/(m</w:t>
      </w:r>
      <w:r w:rsidR="005F740C" w:rsidRPr="005F32E3">
        <w:rPr>
          <w:b/>
          <w:bCs/>
          <w:vertAlign w:val="superscript"/>
        </w:rPr>
        <w:t>2</w:t>
      </w:r>
      <w:r w:rsidR="005F740C" w:rsidRPr="00813705">
        <w:rPr>
          <w:b/>
          <w:bCs/>
        </w:rPr>
        <w:t>·rok).</w:t>
      </w:r>
    </w:p>
    <w:p w14:paraId="49D83780" w14:textId="09AA0F23" w:rsidR="005F740C" w:rsidRDefault="00D73323" w:rsidP="001D4BA5">
      <w:pPr>
        <w:pStyle w:val="Akapitzlist"/>
        <w:numPr>
          <w:ilvl w:val="0"/>
          <w:numId w:val="15"/>
        </w:numPr>
        <w:ind w:left="426"/>
      </w:pPr>
      <w:r>
        <w:t>Do 2</w:t>
      </w:r>
      <w:r w:rsidR="005F740C" w:rsidRPr="00831F02">
        <w:t>050 r</w:t>
      </w:r>
      <w:r>
        <w:t>. –</w:t>
      </w:r>
      <w:r w:rsidR="005F740C" w:rsidRPr="00831F02">
        <w:t xml:space="preserve"> </w:t>
      </w:r>
      <w:r w:rsidR="005F740C" w:rsidRPr="00813705">
        <w:rPr>
          <w:b/>
          <w:bCs/>
        </w:rPr>
        <w:t>65%</w:t>
      </w:r>
      <w:r w:rsidR="005F740C" w:rsidRPr="00831F02">
        <w:t xml:space="preserve"> budynków osiągnie wskaźnik EP nie większy niż </w:t>
      </w:r>
      <w:r w:rsidR="005F740C" w:rsidRPr="00813705">
        <w:rPr>
          <w:b/>
          <w:bCs/>
        </w:rPr>
        <w:t>50 kWh/(m2·rok)</w:t>
      </w:r>
      <w:r w:rsidR="005F740C" w:rsidRPr="00831F02">
        <w:t xml:space="preserve">, </w:t>
      </w:r>
      <w:r w:rsidR="005F740C" w:rsidRPr="00813705">
        <w:rPr>
          <w:b/>
          <w:bCs/>
        </w:rPr>
        <w:t>22% – od 50 do 90 kWh/(m</w:t>
      </w:r>
      <w:r w:rsidR="005F740C" w:rsidRPr="005F32E3">
        <w:rPr>
          <w:b/>
          <w:bCs/>
          <w:vertAlign w:val="superscript"/>
        </w:rPr>
        <w:t>2</w:t>
      </w:r>
      <w:r w:rsidR="005F740C" w:rsidRPr="00813705">
        <w:rPr>
          <w:b/>
          <w:bCs/>
        </w:rPr>
        <w:t>·rok)</w:t>
      </w:r>
      <w:r w:rsidR="0077447B">
        <w:t>, p</w:t>
      </w:r>
      <w:r w:rsidR="005F740C" w:rsidRPr="00831F02">
        <w:t xml:space="preserve">ozostałe </w:t>
      </w:r>
      <w:r w:rsidR="005F740C" w:rsidRPr="0077447B">
        <w:t>13%</w:t>
      </w:r>
      <w:r w:rsidR="005F740C" w:rsidRPr="00831F02">
        <w:t xml:space="preserve"> budynków, których z przyczyn technicznych bądź ekonomicznych nie da się tak głęboko zmodernizować, osiągną wskaźnik EP w przedziale </w:t>
      </w:r>
      <w:r w:rsidR="005F740C" w:rsidRPr="00813705">
        <w:rPr>
          <w:b/>
          <w:bCs/>
        </w:rPr>
        <w:t>90-150 kWh/(m2·rok).</w:t>
      </w:r>
    </w:p>
    <w:p w14:paraId="5BD7CBF0" w14:textId="6AAAF91E" w:rsidR="005F740C" w:rsidRPr="00E96F21" w:rsidRDefault="0077447B" w:rsidP="001D4BA5">
      <w:pPr>
        <w:pStyle w:val="Akapitzlist"/>
        <w:numPr>
          <w:ilvl w:val="0"/>
          <w:numId w:val="15"/>
        </w:numPr>
        <w:ind w:left="426"/>
      </w:pPr>
      <w:r>
        <w:t xml:space="preserve">W latach </w:t>
      </w:r>
      <w:r w:rsidRPr="00BD3C79">
        <w:rPr>
          <w:b/>
          <w:bCs/>
        </w:rPr>
        <w:t>2021-2050</w:t>
      </w:r>
      <w:r>
        <w:t xml:space="preserve"> termomodernizacji zostanie poddanych </w:t>
      </w:r>
      <w:r w:rsidRPr="00BD3C79">
        <w:rPr>
          <w:b/>
          <w:bCs/>
        </w:rPr>
        <w:t>751 tys. budynków</w:t>
      </w:r>
      <w:r w:rsidRPr="0077447B">
        <w:t>, przy czym</w:t>
      </w:r>
      <w:r>
        <w:t xml:space="preserve"> </w:t>
      </w:r>
      <w:r w:rsidRPr="00E96F21">
        <w:rPr>
          <w:b/>
          <w:bCs/>
        </w:rPr>
        <w:t>do 2030</w:t>
      </w:r>
      <w:r w:rsidR="00CE432B">
        <w:rPr>
          <w:b/>
          <w:bCs/>
        </w:rPr>
        <w:t> </w:t>
      </w:r>
      <w:r w:rsidRPr="00E96F21">
        <w:rPr>
          <w:b/>
          <w:bCs/>
        </w:rPr>
        <w:t xml:space="preserve">r. – </w:t>
      </w:r>
      <w:r w:rsidR="005F740C" w:rsidRPr="00E96F21">
        <w:rPr>
          <w:b/>
          <w:bCs/>
        </w:rPr>
        <w:t>236 tys.</w:t>
      </w:r>
      <w:r w:rsidR="00E96F21" w:rsidRPr="00E96F21">
        <w:rPr>
          <w:b/>
          <w:bCs/>
        </w:rPr>
        <w:t xml:space="preserve"> budynków</w:t>
      </w:r>
      <w:r w:rsidR="00E96F21" w:rsidRPr="00E96F21">
        <w:t>,</w:t>
      </w:r>
      <w:r w:rsidRPr="00E96F21">
        <w:t xml:space="preserve"> w</w:t>
      </w:r>
      <w:r w:rsidR="005F740C" w:rsidRPr="00E96F21">
        <w:t xml:space="preserve"> latach 2030</w:t>
      </w:r>
      <w:r w:rsidR="00E96F21" w:rsidRPr="00E96F21">
        <w:t>–</w:t>
      </w:r>
      <w:r w:rsidR="005F740C" w:rsidRPr="00E96F21">
        <w:t>2040 – 271 tys.</w:t>
      </w:r>
      <w:r w:rsidR="00E96F21" w:rsidRPr="00E96F21">
        <w:t>,</w:t>
      </w:r>
      <w:r w:rsidR="005F740C" w:rsidRPr="00E96F21">
        <w:t xml:space="preserve"> 2040</w:t>
      </w:r>
      <w:r w:rsidR="00E96F21" w:rsidRPr="00E96F21">
        <w:t>–</w:t>
      </w:r>
      <w:r w:rsidR="005F740C" w:rsidRPr="00E96F21">
        <w:t xml:space="preserve">2050 – 244 tys. </w:t>
      </w:r>
    </w:p>
    <w:p w14:paraId="00B7ABD4" w14:textId="5041AC2A" w:rsidR="005F740C" w:rsidRPr="00E96F21" w:rsidRDefault="005F740C" w:rsidP="001D4BA5">
      <w:pPr>
        <w:pStyle w:val="Akapitzlist"/>
        <w:numPr>
          <w:ilvl w:val="0"/>
          <w:numId w:val="15"/>
        </w:numPr>
        <w:ind w:left="426"/>
      </w:pPr>
      <w:r>
        <w:t xml:space="preserve">W latach 2021-2050 – skumulowana liczba termomodernizacji (w </w:t>
      </w:r>
      <w:r w:rsidR="00E96F21">
        <w:t>każdym</w:t>
      </w:r>
      <w:r>
        <w:t xml:space="preserve"> budynku </w:t>
      </w:r>
      <w:r w:rsidR="006B1B29">
        <w:t xml:space="preserve">w </w:t>
      </w:r>
      <w:r w:rsidR="00E96F21">
        <w:t xml:space="preserve">tym okresie </w:t>
      </w:r>
      <w:r>
        <w:t xml:space="preserve">może być kilka termomodernizacji) zostało zaplanowanych około </w:t>
      </w:r>
      <w:r w:rsidRPr="004056AC">
        <w:rPr>
          <w:b/>
          <w:bCs/>
        </w:rPr>
        <w:t>7,5 mln termomodernizacji ogółem</w:t>
      </w:r>
      <w:r w:rsidR="00E96F21" w:rsidRPr="00E96F21">
        <w:t>, przy czym</w:t>
      </w:r>
      <w:r w:rsidRPr="00E96F21">
        <w:t xml:space="preserve">: </w:t>
      </w:r>
      <w:r w:rsidR="00E96F21" w:rsidRPr="00E96F21">
        <w:rPr>
          <w:b/>
          <w:bCs/>
        </w:rPr>
        <w:t xml:space="preserve">w latach </w:t>
      </w:r>
      <w:r w:rsidRPr="00E96F21">
        <w:rPr>
          <w:b/>
          <w:bCs/>
        </w:rPr>
        <w:t>2021-2030 – 2,4 mln</w:t>
      </w:r>
      <w:r w:rsidRPr="0058098F">
        <w:t>; 2</w:t>
      </w:r>
      <w:r w:rsidRPr="00E96F21">
        <w:t>031-2040 – 2,7 mln; 2041</w:t>
      </w:r>
      <w:r w:rsidR="00E96F21">
        <w:t>–</w:t>
      </w:r>
      <w:r w:rsidRPr="00E96F21">
        <w:t>2050 – 2,4 mln.</w:t>
      </w:r>
    </w:p>
    <w:p w14:paraId="538E42CE" w14:textId="000CE640" w:rsidR="005F740C" w:rsidRDefault="005F740C" w:rsidP="001D4BA5">
      <w:pPr>
        <w:pStyle w:val="Akapitzlist"/>
        <w:numPr>
          <w:ilvl w:val="0"/>
          <w:numId w:val="15"/>
        </w:numPr>
        <w:ind w:left="426"/>
      </w:pPr>
      <w:r w:rsidRPr="004056AC">
        <w:t>Ogółem, opłacalna pod względem ekonomicznym termomodernizacja potencjalnie pozwala na uzyskanie redukcji emisji CO</w:t>
      </w:r>
      <w:r w:rsidRPr="00E96F21">
        <w:rPr>
          <w:vertAlign w:val="subscript"/>
        </w:rPr>
        <w:t>2</w:t>
      </w:r>
      <w:r w:rsidRPr="004056AC">
        <w:t xml:space="preserve"> o ponad </w:t>
      </w:r>
      <w:r w:rsidRPr="004056AC">
        <w:rPr>
          <w:b/>
          <w:bCs/>
        </w:rPr>
        <w:t>37 mln ton rocznie</w:t>
      </w:r>
      <w:r w:rsidRPr="004056AC">
        <w:t xml:space="preserve">, co stanowi ok. </w:t>
      </w:r>
      <w:r w:rsidRPr="004056AC">
        <w:rPr>
          <w:b/>
          <w:bCs/>
        </w:rPr>
        <w:t>10% całkowitej</w:t>
      </w:r>
      <w:r w:rsidRPr="004056AC">
        <w:t xml:space="preserve"> rocznej emisji gazów cieplarnianych w Polsce</w:t>
      </w:r>
      <w:r w:rsidR="00E96F21">
        <w:t xml:space="preserve"> oraz </w:t>
      </w:r>
      <w:r w:rsidRPr="001637ED">
        <w:t>na uzyskanie</w:t>
      </w:r>
      <w:r>
        <w:t xml:space="preserve"> sumaryczn</w:t>
      </w:r>
      <w:r w:rsidR="00E96F21">
        <w:t>ych</w:t>
      </w:r>
      <w:r w:rsidRPr="001637ED">
        <w:t xml:space="preserve"> </w:t>
      </w:r>
      <w:r w:rsidRPr="00E96F21">
        <w:rPr>
          <w:b/>
          <w:bCs/>
        </w:rPr>
        <w:t>oszczędności energii końcowej we wszystkich budynkach mieszkalnych sięgającej 147 TWh</w:t>
      </w:r>
      <w:r w:rsidR="00E96F21">
        <w:t>.</w:t>
      </w:r>
    </w:p>
    <w:p w14:paraId="13A5CA78" w14:textId="09524BF1" w:rsidR="005F740C" w:rsidRDefault="00E96F21" w:rsidP="001D4BA5">
      <w:pPr>
        <w:pStyle w:val="Akapitzlist"/>
        <w:numPr>
          <w:ilvl w:val="0"/>
          <w:numId w:val="15"/>
        </w:numPr>
        <w:ind w:left="426"/>
      </w:pPr>
      <w:r w:rsidRPr="00E96F21">
        <w:t xml:space="preserve">Przyjęto, że </w:t>
      </w:r>
      <w:r w:rsidR="005F740C" w:rsidRPr="00E96F21">
        <w:t>10 lat</w:t>
      </w:r>
      <w:r w:rsidR="005F740C">
        <w:t xml:space="preserve"> to maksymalny prosty czas zwrotu inwestycji dla głębokiej termomodernizacji w budynkach o</w:t>
      </w:r>
      <w:r>
        <w:t> </w:t>
      </w:r>
      <w:r w:rsidR="005F740C">
        <w:t xml:space="preserve">złym standardzie energetycznym w oparciu o własne źródło ciepła wobec braku dostępu do sieci ciepłowniczej.  </w:t>
      </w:r>
    </w:p>
    <w:p w14:paraId="6AD6FE8C" w14:textId="576EE1F1" w:rsidR="007D7001" w:rsidRDefault="007D7001" w:rsidP="007D7001">
      <w:pPr>
        <w:ind w:left="66"/>
      </w:pPr>
      <w:r>
        <w:t>Jako wiodący przyjęto poniższy</w:t>
      </w:r>
      <w:r w:rsidR="007B53EB">
        <w:t xml:space="preserve"> cel</w:t>
      </w:r>
      <w:r>
        <w:t>.</w:t>
      </w:r>
    </w:p>
    <w:p w14:paraId="4951D7FD" w14:textId="43C15234" w:rsidR="007B53EB" w:rsidRDefault="007D7001" w:rsidP="009441AA">
      <w:pPr>
        <w:pStyle w:val="Cele"/>
      </w:pPr>
      <w:r w:rsidRPr="00D73323">
        <w:rPr>
          <w:b/>
          <w:bCs/>
        </w:rPr>
        <w:t>Cel</w:t>
      </w:r>
      <w:r w:rsidRPr="003C534B">
        <w:rPr>
          <w:b/>
          <w:bCs/>
        </w:rPr>
        <w:t>em</w:t>
      </w:r>
      <w:r>
        <w:rPr>
          <w:b/>
          <w:bCs/>
        </w:rPr>
        <w:t xml:space="preserve"> w zakresie redukcji zapotrzebowania na energię istniejących budynków jest zapewnienie, </w:t>
      </w:r>
      <w:bookmarkStart w:id="135" w:name="_Hlk177641917"/>
      <w:r>
        <w:rPr>
          <w:b/>
          <w:bCs/>
        </w:rPr>
        <w:t>aby do 2035 r. zmodernizowane zostały wszystkie budynki o wskaźniku EP powyżej 230 kWh/(m</w:t>
      </w:r>
      <w:r w:rsidRPr="007D7001">
        <w:rPr>
          <w:b/>
          <w:bCs/>
          <w:vertAlign w:val="superscript"/>
        </w:rPr>
        <w:t>2</w:t>
      </w:r>
      <w:r>
        <w:rPr>
          <w:b/>
          <w:bCs/>
        </w:rPr>
        <w:t>/rok)</w:t>
      </w:r>
      <w:r>
        <w:t xml:space="preserve">, </w:t>
      </w:r>
      <w:bookmarkEnd w:id="135"/>
      <w:r>
        <w:t>przy czym priorytetem jest eliminowanie wykorzystania węgla w budynkach mieszkalnych.</w:t>
      </w:r>
    </w:p>
    <w:p w14:paraId="70B8ADAF" w14:textId="77777777" w:rsidR="00F3711B" w:rsidRDefault="00F3711B" w:rsidP="00776F23">
      <w:pPr>
        <w:pStyle w:val="Polityka"/>
      </w:pPr>
      <w:r w:rsidRPr="00C46DAA">
        <w:t>POLITYKA</w:t>
      </w:r>
    </w:p>
    <w:p w14:paraId="6B216816" w14:textId="77777777" w:rsidR="0077447B" w:rsidRDefault="00776F23" w:rsidP="00F3711B">
      <w:r>
        <w:t>Wycofanie węgla z gospodarstw domowych i termomodernizacja to jeden z głównych priorytetów Polski. Zakłada się, że udział głębokiej termomodernizacji w prowadzonych działaniach będzie stopniowo rósł przy jednoczesnym stosowaniu etapowej termomodernizacji pozostałych budynków.</w:t>
      </w:r>
    </w:p>
    <w:p w14:paraId="32F01833" w14:textId="79AAADA2" w:rsidR="00F3711B" w:rsidRDefault="0077447B" w:rsidP="00F3711B">
      <w:r>
        <w:t>Działania</w:t>
      </w:r>
      <w:r w:rsidR="00E96F21">
        <w:t xml:space="preserve">, a także środki wsparcia </w:t>
      </w:r>
      <w:r>
        <w:t xml:space="preserve">będą ukierunkowane na to, aby zapewnić </w:t>
      </w:r>
      <w:r w:rsidRPr="00EB52F8">
        <w:t xml:space="preserve">średnie roczne tempo termomodernizacji </w:t>
      </w:r>
      <w:r>
        <w:t xml:space="preserve">na poziomie </w:t>
      </w:r>
      <w:r w:rsidR="002E656C">
        <w:t>nie mniej niż</w:t>
      </w:r>
      <w:r>
        <w:t xml:space="preserve"> </w:t>
      </w:r>
      <w:r w:rsidRPr="0077447B">
        <w:rPr>
          <w:b/>
          <w:bCs/>
        </w:rPr>
        <w:t>3,8%</w:t>
      </w:r>
      <w:r w:rsidRPr="00EB52F8">
        <w:t xml:space="preserve">, przy czym termomodernizacja do poziomu EP nie większego </w:t>
      </w:r>
      <w:r w:rsidRPr="0077447B">
        <w:rPr>
          <w:b/>
          <w:bCs/>
        </w:rPr>
        <w:t>niż</w:t>
      </w:r>
      <w:r w:rsidR="003C534B">
        <w:rPr>
          <w:b/>
          <w:bCs/>
        </w:rPr>
        <w:t> </w:t>
      </w:r>
      <w:r w:rsidRPr="0077447B">
        <w:rPr>
          <w:b/>
          <w:bCs/>
        </w:rPr>
        <w:t>50 kWh/(m</w:t>
      </w:r>
      <w:r w:rsidRPr="00E96F21">
        <w:rPr>
          <w:b/>
          <w:bCs/>
          <w:vertAlign w:val="superscript"/>
        </w:rPr>
        <w:t>2</w:t>
      </w:r>
      <w:r w:rsidRPr="0077447B">
        <w:rPr>
          <w:b/>
          <w:bCs/>
        </w:rPr>
        <w:t>·rok)</w:t>
      </w:r>
      <w:r w:rsidRPr="00EB52F8">
        <w:t xml:space="preserve"> </w:t>
      </w:r>
      <w:r w:rsidR="002E656C">
        <w:t xml:space="preserve">może być </w:t>
      </w:r>
      <w:r w:rsidRPr="00EB52F8">
        <w:t xml:space="preserve">dominującym rozwiązaniem dopiero </w:t>
      </w:r>
      <w:r w:rsidRPr="0077447B">
        <w:t>po 2035 r.</w:t>
      </w:r>
      <w:r w:rsidRPr="00EB52F8">
        <w:t xml:space="preserve">, co </w:t>
      </w:r>
      <w:r>
        <w:t xml:space="preserve">powinno </w:t>
      </w:r>
      <w:r w:rsidRPr="00EB52F8">
        <w:t>zapewni</w:t>
      </w:r>
      <w:r>
        <w:t>ć</w:t>
      </w:r>
      <w:r w:rsidRPr="00EB52F8">
        <w:t xml:space="preserve"> wystarczający czas do zbudowania odpowiednich kompetencji i potencjału wśród dostawców niezbędnych rozwiązań technologicznych.</w:t>
      </w:r>
      <w:r w:rsidR="00780BE9">
        <w:t xml:space="preserve"> Na ten cel przeznaczane są zarówno środki z programów priorytetowych, ale także zachęty podatkowe w postaci ulg podatkowych – tzw. ulga termomodernizacyjna. </w:t>
      </w:r>
    </w:p>
    <w:p w14:paraId="3621FA2F" w14:textId="76503B54" w:rsidR="004E7253" w:rsidRDefault="004E7253" w:rsidP="00F3711B">
      <w:r w:rsidRPr="004E7253">
        <w:lastRenderedPageBreak/>
        <w:t>Usunięcie przeszkód utrudniających działania w tym sektorze i zapewnienie wsparcia finansowego na rzecz niezbędnych początkowych inwestycji, jak również w szczególności wobec najbardziej energochłonnych budynków, przy jednoczesnym priorytetowym potraktowaniu najbardziej opłacalnych renowacji i działań na rzecz zwalczania ubóstwa energetycznego, znajdzie odzwierciedlenie w</w:t>
      </w:r>
      <w:r w:rsidR="000B7A79">
        <w:t> </w:t>
      </w:r>
      <w:r w:rsidRPr="004E7253">
        <w:t>planowanych do podjęcia przez Polskę działaniach.</w:t>
      </w:r>
    </w:p>
    <w:p w14:paraId="41853720" w14:textId="1C5C594C" w:rsidR="00780BE9" w:rsidRDefault="00780BE9" w:rsidP="00F3711B">
      <w:r>
        <w:t xml:space="preserve">Istotną rolę odegra także popularyzacja audytów efektywności energetycznej, które zapewnią jednoznaczną informację o zużyciu energii </w:t>
      </w:r>
      <w:r w:rsidR="00661DA0">
        <w:t>przy użytkowaniu budynku</w:t>
      </w:r>
      <w:r>
        <w:t xml:space="preserve">, a w konsekwencji o potencjalnych kosztach </w:t>
      </w:r>
      <w:r w:rsidR="00661DA0">
        <w:t xml:space="preserve">energii </w:t>
      </w:r>
      <w:r>
        <w:t xml:space="preserve">oraz zapewnią porównywalność dla potencjalnych nabywców. </w:t>
      </w:r>
    </w:p>
    <w:p w14:paraId="5F795D80" w14:textId="38040D08" w:rsidR="004856F9" w:rsidRDefault="004856F9" w:rsidP="00661DA0">
      <w:pPr>
        <w:spacing w:after="80"/>
      </w:pPr>
      <w:r>
        <w:t xml:space="preserve">Szczególną rolę </w:t>
      </w:r>
      <w:r w:rsidR="00780BE9">
        <w:t xml:space="preserve">w osiąganiu oszczędności energii w sektorze budownictwa </w:t>
      </w:r>
      <w:r>
        <w:t>odegra realizacja zobowiązań wynikających z dyrektywy o efektywności energetycznej budynków (EPBD), zgodnie z którą m.in.:</w:t>
      </w:r>
    </w:p>
    <w:p w14:paraId="33DB8AA0" w14:textId="77777777" w:rsidR="00661DA0" w:rsidRPr="00661DA0" w:rsidRDefault="00780BE9" w:rsidP="00612B5D">
      <w:pPr>
        <w:pStyle w:val="Akapitzlist"/>
        <w:numPr>
          <w:ilvl w:val="0"/>
          <w:numId w:val="64"/>
        </w:numPr>
      </w:pPr>
      <w:r>
        <w:t xml:space="preserve">do końca 2026 r. opracowany zostanie </w:t>
      </w:r>
      <w:r w:rsidRPr="00780BE9">
        <w:rPr>
          <w:i/>
          <w:iCs/>
        </w:rPr>
        <w:t>krajowego planu renowacji budynków</w:t>
      </w:r>
      <w:r w:rsidRPr="00780BE9">
        <w:t xml:space="preserve"> </w:t>
      </w:r>
      <w:r>
        <w:t>(zastępujący</w:t>
      </w:r>
      <w:r w:rsidR="004856F9">
        <w:t xml:space="preserve"> </w:t>
      </w:r>
      <w:r w:rsidRPr="00780BE9">
        <w:rPr>
          <w:i/>
          <w:iCs/>
        </w:rPr>
        <w:t>Długoterminową</w:t>
      </w:r>
      <w:r>
        <w:t xml:space="preserve"> </w:t>
      </w:r>
      <w:r w:rsidRPr="00E042DE">
        <w:rPr>
          <w:i/>
          <w:iCs/>
        </w:rPr>
        <w:t>strategi</w:t>
      </w:r>
      <w:r>
        <w:rPr>
          <w:i/>
          <w:iCs/>
        </w:rPr>
        <w:t>ę</w:t>
      </w:r>
      <w:r w:rsidRPr="00E042DE">
        <w:rPr>
          <w:i/>
          <w:iCs/>
        </w:rPr>
        <w:t xml:space="preserve"> renowacji budynków</w:t>
      </w:r>
      <w:r>
        <w:rPr>
          <w:i/>
          <w:iCs/>
        </w:rPr>
        <w:t>,</w:t>
      </w:r>
    </w:p>
    <w:p w14:paraId="4341F25E" w14:textId="2F68F65C" w:rsidR="00C80399" w:rsidRDefault="00C80399" w:rsidP="00612B5D">
      <w:pPr>
        <w:pStyle w:val="Akapitzlist"/>
        <w:numPr>
          <w:ilvl w:val="0"/>
          <w:numId w:val="64"/>
        </w:numPr>
      </w:pPr>
      <w:r>
        <w:t xml:space="preserve">opracowany zostanie </w:t>
      </w:r>
      <w:r w:rsidRPr="00C80399">
        <w:rPr>
          <w:i/>
          <w:iCs/>
        </w:rPr>
        <w:t>Krajowy plan w zakresie wprowadzenie współczynnika globalnego ocieplenia w cyklu życia</w:t>
      </w:r>
      <w:r>
        <w:t>,</w:t>
      </w:r>
    </w:p>
    <w:p w14:paraId="31513CB0" w14:textId="77777777" w:rsidR="00661DA0" w:rsidRDefault="00661DA0" w:rsidP="00612B5D">
      <w:pPr>
        <w:pStyle w:val="Akapitzlist"/>
        <w:numPr>
          <w:ilvl w:val="0"/>
          <w:numId w:val="64"/>
        </w:numPr>
      </w:pPr>
      <w:r>
        <w:t>określone zostaną m</w:t>
      </w:r>
      <w:r w:rsidRPr="00877A65">
        <w:t>inimalne normy charakterystyki energetycznej dla użytkowanych budynków niemieszkalnych:</w:t>
      </w:r>
    </w:p>
    <w:p w14:paraId="4EB2E7D2" w14:textId="2BDFB154" w:rsidR="00661DA0" w:rsidRDefault="00661DA0" w:rsidP="00612B5D">
      <w:pPr>
        <w:pStyle w:val="Akapitzlist"/>
        <w:numPr>
          <w:ilvl w:val="1"/>
          <w:numId w:val="64"/>
        </w:numPr>
      </w:pPr>
      <w:r w:rsidRPr="00877A65">
        <w:t>pierwszy próg (łagodniejszy</w:t>
      </w:r>
      <w:r w:rsidR="00B64C2D">
        <w:t xml:space="preserve"> –</w:t>
      </w:r>
      <w:r w:rsidRPr="00877A65">
        <w:t xml:space="preserve"> 16%) powinien być spełniony przez wszystkie niemieszkalne budynki od 1 stycznia 2030 r.,</w:t>
      </w:r>
    </w:p>
    <w:p w14:paraId="2D4A1E0B" w14:textId="286E0E3B" w:rsidR="00661DA0" w:rsidRPr="00877A65" w:rsidRDefault="00661DA0" w:rsidP="00612B5D">
      <w:pPr>
        <w:pStyle w:val="Akapitzlist"/>
        <w:numPr>
          <w:ilvl w:val="1"/>
          <w:numId w:val="64"/>
        </w:numPr>
      </w:pPr>
      <w:r>
        <w:t xml:space="preserve"> </w:t>
      </w:r>
      <w:r w:rsidRPr="00877A65">
        <w:t xml:space="preserve">drugi próg (surowszy </w:t>
      </w:r>
      <w:r w:rsidR="00B64C2D">
        <w:t>–</w:t>
      </w:r>
      <w:r w:rsidRPr="00877A65">
        <w:t xml:space="preserve"> 26%) powinien być spełniony przez wszystkie niemieszkalne budynki od </w:t>
      </w:r>
      <w:r w:rsidR="00B64C2D">
        <w:t>1</w:t>
      </w:r>
      <w:r w:rsidRPr="00877A65">
        <w:t xml:space="preserve"> stycznia 2033 r.</w:t>
      </w:r>
    </w:p>
    <w:p w14:paraId="4B05E907" w14:textId="77777777" w:rsidR="00C80399" w:rsidRDefault="00C80399" w:rsidP="00612B5D">
      <w:pPr>
        <w:pStyle w:val="Akapitzlist"/>
        <w:numPr>
          <w:ilvl w:val="0"/>
          <w:numId w:val="64"/>
        </w:numPr>
      </w:pPr>
      <w:r>
        <w:t>w</w:t>
      </w:r>
      <w:r w:rsidRPr="00C33E42">
        <w:t>prowadz</w:t>
      </w:r>
      <w:r>
        <w:t>o</w:t>
      </w:r>
      <w:r w:rsidRPr="00C33E42">
        <w:t>n</w:t>
      </w:r>
      <w:r>
        <w:t>y zostanie</w:t>
      </w:r>
      <w:r w:rsidRPr="00C33E42">
        <w:t xml:space="preserve"> system paszportów renowacji</w:t>
      </w:r>
      <w:r>
        <w:t>,</w:t>
      </w:r>
    </w:p>
    <w:p w14:paraId="0F6F5667" w14:textId="3280D378" w:rsidR="00661DA0" w:rsidRPr="00877A65" w:rsidRDefault="00017C1C" w:rsidP="00612B5D">
      <w:pPr>
        <w:pStyle w:val="Akapitzlist"/>
        <w:numPr>
          <w:ilvl w:val="0"/>
          <w:numId w:val="64"/>
        </w:numPr>
      </w:pPr>
      <w:r>
        <w:t xml:space="preserve">konieczne będzie </w:t>
      </w:r>
      <w:r w:rsidR="00661DA0" w:rsidRPr="00877A65">
        <w:t>wykorzystani</w:t>
      </w:r>
      <w:r>
        <w:t>e</w:t>
      </w:r>
      <w:r w:rsidR="00661DA0" w:rsidRPr="00877A65">
        <w:t xml:space="preserve"> energii słonecznej w nowych budynkach </w:t>
      </w:r>
      <w:r>
        <w:t>(</w:t>
      </w:r>
      <w:r w:rsidR="00661DA0" w:rsidRPr="00877A65">
        <w:t xml:space="preserve">począwszy od 31 grudnia 2026 r. </w:t>
      </w:r>
      <w:r>
        <w:t xml:space="preserve">– </w:t>
      </w:r>
      <w:r w:rsidR="00661DA0" w:rsidRPr="00877A65">
        <w:t>różne terminy dla różnych budynków)</w:t>
      </w:r>
      <w:r>
        <w:t>) i określonej grupie istniejących budynków (szczegóły w kolejnym rozdziale),</w:t>
      </w:r>
    </w:p>
    <w:p w14:paraId="7F89F0B7" w14:textId="377878EB" w:rsidR="00780BE9" w:rsidRPr="000E240E" w:rsidRDefault="00C80399" w:rsidP="00612B5D">
      <w:pPr>
        <w:pStyle w:val="Akapitzlist"/>
        <w:numPr>
          <w:ilvl w:val="0"/>
          <w:numId w:val="64"/>
        </w:numPr>
      </w:pPr>
      <w:r>
        <w:t xml:space="preserve">konieczne będzie zapewnienie </w:t>
      </w:r>
      <w:r w:rsidR="00661DA0">
        <w:t>i</w:t>
      </w:r>
      <w:r w:rsidR="00661DA0" w:rsidRPr="00C33E42">
        <w:t>nfrastruktura na potrzeby zrównoważonej mobilności</w:t>
      </w:r>
      <w:r w:rsidR="00B64C2D">
        <w:t>,</w:t>
      </w:r>
    </w:p>
    <w:p w14:paraId="3FDD3DB6" w14:textId="77777777" w:rsidR="00F3711B" w:rsidRPr="00C46DAA" w:rsidRDefault="00F3711B" w:rsidP="00776F23">
      <w:pPr>
        <w:pStyle w:val="Polityka"/>
      </w:pPr>
      <w:r w:rsidRPr="00C46DAA">
        <w:t>DZIAŁANIA</w:t>
      </w:r>
    </w:p>
    <w:p w14:paraId="042693F4" w14:textId="6669E7D1" w:rsidR="0088189C" w:rsidRDefault="0088189C" w:rsidP="00CF231D">
      <w:pPr>
        <w:pStyle w:val="Akapitzlist"/>
        <w:numPr>
          <w:ilvl w:val="0"/>
          <w:numId w:val="6"/>
        </w:numPr>
        <w:rPr>
          <w:szCs w:val="20"/>
        </w:rPr>
      </w:pPr>
      <w:r>
        <w:rPr>
          <w:szCs w:val="20"/>
        </w:rPr>
        <w:fldChar w:fldCharType="begin"/>
      </w:r>
      <w:r>
        <w:rPr>
          <w:szCs w:val="20"/>
        </w:rPr>
        <w:instrText xml:space="preserve"> REF _Ref157420374 \h </w:instrText>
      </w:r>
      <w:r>
        <w:rPr>
          <w:szCs w:val="20"/>
        </w:rPr>
      </w:r>
      <w:r>
        <w:rPr>
          <w:szCs w:val="20"/>
        </w:rPr>
        <w:fldChar w:fldCharType="separate"/>
      </w:r>
      <w:r w:rsidR="00DD3929" w:rsidRPr="00F12C9E">
        <w:t xml:space="preserve">Działanie </w:t>
      </w:r>
      <w:r w:rsidR="00DD3929">
        <w:rPr>
          <w:noProof/>
        </w:rPr>
        <w:t>23</w:t>
      </w:r>
      <w:r w:rsidR="00DD3929" w:rsidRPr="00F12C9E">
        <w:t>. Instrument finansowy – Program Priorytetowy NFOŚiGW – „Czyste Powietrze</w:t>
      </w:r>
      <w:r w:rsidR="00DD3929">
        <w:t>”</w:t>
      </w:r>
      <w:r w:rsidR="00DD3929" w:rsidRPr="00F12C9E">
        <w:t>.</w:t>
      </w:r>
      <w:r>
        <w:rPr>
          <w:szCs w:val="20"/>
        </w:rPr>
        <w:fldChar w:fldCharType="end"/>
      </w:r>
    </w:p>
    <w:p w14:paraId="4F952D84" w14:textId="1E772120" w:rsidR="0088189C" w:rsidRDefault="0088189C" w:rsidP="00CF231D">
      <w:pPr>
        <w:pStyle w:val="Akapitzlist"/>
        <w:numPr>
          <w:ilvl w:val="0"/>
          <w:numId w:val="6"/>
        </w:numPr>
        <w:rPr>
          <w:szCs w:val="20"/>
        </w:rPr>
      </w:pPr>
      <w:r>
        <w:rPr>
          <w:szCs w:val="20"/>
        </w:rPr>
        <w:fldChar w:fldCharType="begin"/>
      </w:r>
      <w:r>
        <w:rPr>
          <w:szCs w:val="20"/>
        </w:rPr>
        <w:instrText xml:space="preserve"> REF _Ref159355233 \h </w:instrText>
      </w:r>
      <w:r>
        <w:rPr>
          <w:szCs w:val="20"/>
        </w:rPr>
      </w:r>
      <w:r>
        <w:rPr>
          <w:szCs w:val="20"/>
        </w:rPr>
        <w:fldChar w:fldCharType="separate"/>
      </w:r>
      <w:r w:rsidR="00DD3929">
        <w:t xml:space="preserve">Działanie </w:t>
      </w:r>
      <w:r w:rsidR="00DD3929">
        <w:rPr>
          <w:noProof/>
        </w:rPr>
        <w:t>24</w:t>
      </w:r>
      <w:r w:rsidR="00DD3929">
        <w:t>. Instrument finansowy – Program Priorytetowy NFOŚiGW – „Stop Smog”</w:t>
      </w:r>
      <w:r w:rsidR="00DD3929">
        <w:rPr>
          <w:noProof/>
        </w:rPr>
        <w:t>.</w:t>
      </w:r>
      <w:r>
        <w:rPr>
          <w:szCs w:val="20"/>
        </w:rPr>
        <w:fldChar w:fldCharType="end"/>
      </w:r>
    </w:p>
    <w:p w14:paraId="7060166A" w14:textId="0ECE900F" w:rsidR="0088189C" w:rsidRDefault="0088189C" w:rsidP="00CF231D">
      <w:pPr>
        <w:pStyle w:val="Akapitzlist"/>
        <w:numPr>
          <w:ilvl w:val="0"/>
          <w:numId w:val="6"/>
        </w:numPr>
        <w:rPr>
          <w:szCs w:val="20"/>
        </w:rPr>
      </w:pPr>
      <w:r>
        <w:rPr>
          <w:szCs w:val="20"/>
        </w:rPr>
        <w:fldChar w:fldCharType="begin"/>
      </w:r>
      <w:r>
        <w:rPr>
          <w:szCs w:val="20"/>
        </w:rPr>
        <w:instrText xml:space="preserve"> REF _Ref157422650 \h </w:instrText>
      </w:r>
      <w:r>
        <w:rPr>
          <w:szCs w:val="20"/>
        </w:rPr>
      </w:r>
      <w:r>
        <w:rPr>
          <w:szCs w:val="20"/>
        </w:rPr>
        <w:fldChar w:fldCharType="separate"/>
      </w:r>
      <w:r w:rsidR="00DD3929" w:rsidRPr="00F12C9E">
        <w:t xml:space="preserve">Działanie </w:t>
      </w:r>
      <w:r w:rsidR="00DD3929">
        <w:rPr>
          <w:noProof/>
        </w:rPr>
        <w:t>25</w:t>
      </w:r>
      <w:r w:rsidR="00DD3929" w:rsidRPr="00F12C9E">
        <w:t xml:space="preserve">. Instrument finansowy – Program Priorytetowy NFOŚiGW </w:t>
      </w:r>
      <w:r w:rsidR="00DD3929">
        <w:t>– „</w:t>
      </w:r>
      <w:r w:rsidR="00DD3929" w:rsidRPr="00F12C9E">
        <w:t>Ciepłe Mieszkanie</w:t>
      </w:r>
      <w:r w:rsidR="00DD3929">
        <w:t>”</w:t>
      </w:r>
      <w:r w:rsidR="00DD3929" w:rsidRPr="00F12C9E">
        <w:t>.</w:t>
      </w:r>
      <w:r>
        <w:rPr>
          <w:szCs w:val="20"/>
        </w:rPr>
        <w:fldChar w:fldCharType="end"/>
      </w:r>
    </w:p>
    <w:p w14:paraId="0283AD65" w14:textId="3A457C34" w:rsidR="0088189C" w:rsidRDefault="0088189C" w:rsidP="00CF231D">
      <w:pPr>
        <w:pStyle w:val="Akapitzlist"/>
        <w:numPr>
          <w:ilvl w:val="0"/>
          <w:numId w:val="6"/>
        </w:numPr>
        <w:rPr>
          <w:szCs w:val="20"/>
        </w:rPr>
      </w:pPr>
      <w:r>
        <w:rPr>
          <w:szCs w:val="20"/>
        </w:rPr>
        <w:fldChar w:fldCharType="begin"/>
      </w:r>
      <w:r>
        <w:rPr>
          <w:szCs w:val="20"/>
        </w:rPr>
        <w:instrText xml:space="preserve"> REF _Ref157428491 \h </w:instrText>
      </w:r>
      <w:r>
        <w:rPr>
          <w:szCs w:val="20"/>
        </w:rPr>
      </w:r>
      <w:r>
        <w:rPr>
          <w:szCs w:val="20"/>
        </w:rPr>
        <w:fldChar w:fldCharType="separate"/>
      </w:r>
      <w:r w:rsidR="00DD3929" w:rsidRPr="00751886">
        <w:t xml:space="preserve">Działanie </w:t>
      </w:r>
      <w:r w:rsidR="00DD3929">
        <w:rPr>
          <w:noProof/>
        </w:rPr>
        <w:t>95</w:t>
      </w:r>
      <w:r w:rsidR="00DD3929" w:rsidRPr="00751886">
        <w:t xml:space="preserve">. Rozwój </w:t>
      </w:r>
      <w:r w:rsidR="00DD3929" w:rsidRPr="00661B98">
        <w:t>audytów</w:t>
      </w:r>
      <w:r w:rsidR="00DD3929" w:rsidRPr="00751886">
        <w:t xml:space="preserve"> energetycznych i systemów zarządzania energią.</w:t>
      </w:r>
      <w:r>
        <w:rPr>
          <w:szCs w:val="20"/>
        </w:rPr>
        <w:fldChar w:fldCharType="end"/>
      </w:r>
    </w:p>
    <w:p w14:paraId="70DF7D4B" w14:textId="4EF177B2" w:rsidR="0088189C" w:rsidRDefault="0088189C" w:rsidP="00CF231D">
      <w:pPr>
        <w:pStyle w:val="Akapitzlist"/>
        <w:numPr>
          <w:ilvl w:val="0"/>
          <w:numId w:val="6"/>
        </w:numPr>
        <w:rPr>
          <w:szCs w:val="20"/>
        </w:rPr>
      </w:pPr>
      <w:r>
        <w:rPr>
          <w:szCs w:val="20"/>
        </w:rPr>
        <w:fldChar w:fldCharType="begin"/>
      </w:r>
      <w:r>
        <w:rPr>
          <w:szCs w:val="20"/>
        </w:rPr>
        <w:instrText xml:space="preserve"> REF _Ref157423349 \h </w:instrText>
      </w:r>
      <w:r>
        <w:rPr>
          <w:szCs w:val="20"/>
        </w:rPr>
      </w:r>
      <w:r>
        <w:rPr>
          <w:szCs w:val="20"/>
        </w:rPr>
        <w:fldChar w:fldCharType="separate"/>
      </w:r>
      <w:r w:rsidR="00DD3929" w:rsidRPr="00751886">
        <w:t xml:space="preserve">Działanie </w:t>
      </w:r>
      <w:r w:rsidR="00DD3929">
        <w:rPr>
          <w:noProof/>
        </w:rPr>
        <w:t>96</w:t>
      </w:r>
      <w:r w:rsidR="00DD3929" w:rsidRPr="00751886">
        <w:t xml:space="preserve">. Instrument </w:t>
      </w:r>
      <w:r w:rsidR="00DD3929" w:rsidRPr="00661B98">
        <w:t>finansowy</w:t>
      </w:r>
      <w:r w:rsidR="00DD3929" w:rsidRPr="00751886">
        <w:t xml:space="preserve"> – Program Termo.</w:t>
      </w:r>
      <w:r>
        <w:rPr>
          <w:szCs w:val="20"/>
        </w:rPr>
        <w:fldChar w:fldCharType="end"/>
      </w:r>
    </w:p>
    <w:p w14:paraId="04D11BE7" w14:textId="6B207D4B" w:rsidR="0088189C" w:rsidRDefault="0088189C" w:rsidP="00CF231D">
      <w:pPr>
        <w:pStyle w:val="Akapitzlist"/>
        <w:numPr>
          <w:ilvl w:val="0"/>
          <w:numId w:val="6"/>
        </w:numPr>
        <w:rPr>
          <w:szCs w:val="20"/>
        </w:rPr>
      </w:pPr>
      <w:r>
        <w:rPr>
          <w:szCs w:val="20"/>
        </w:rPr>
        <w:fldChar w:fldCharType="begin"/>
      </w:r>
      <w:r>
        <w:rPr>
          <w:szCs w:val="20"/>
        </w:rPr>
        <w:instrText xml:space="preserve"> REF _Ref157423353 \h </w:instrText>
      </w:r>
      <w:r>
        <w:rPr>
          <w:szCs w:val="20"/>
        </w:rPr>
      </w:r>
      <w:r>
        <w:rPr>
          <w:szCs w:val="20"/>
        </w:rPr>
        <w:fldChar w:fldCharType="separate"/>
      </w:r>
      <w:r w:rsidR="00DD3929" w:rsidRPr="00DE3F08">
        <w:t xml:space="preserve">Działanie </w:t>
      </w:r>
      <w:r w:rsidR="00DD3929">
        <w:rPr>
          <w:noProof/>
        </w:rPr>
        <w:t>97</w:t>
      </w:r>
      <w:r w:rsidR="00DD3929" w:rsidRPr="00DE3F08">
        <w:t xml:space="preserve">. Instrument </w:t>
      </w:r>
      <w:r w:rsidR="00DD3929" w:rsidRPr="00661B98">
        <w:t>finansowy</w:t>
      </w:r>
      <w:r w:rsidR="00DD3929" w:rsidRPr="00DE3F08">
        <w:t xml:space="preserve"> – </w:t>
      </w:r>
      <w:r w:rsidR="00DD3929" w:rsidRPr="00D94B5E">
        <w:t xml:space="preserve">Ulga </w:t>
      </w:r>
      <w:r w:rsidR="00DD3929">
        <w:t>podatkowa dotycząca wydatków poniesionych na termomodernizację jednorodzinnych budynków mieszkalnych</w:t>
      </w:r>
      <w:r w:rsidR="00DD3929" w:rsidRPr="00DE3F08">
        <w:t>.</w:t>
      </w:r>
      <w:r>
        <w:rPr>
          <w:szCs w:val="20"/>
        </w:rPr>
        <w:fldChar w:fldCharType="end"/>
      </w:r>
    </w:p>
    <w:p w14:paraId="3A342D15" w14:textId="3FB44F3D" w:rsidR="00524E26" w:rsidRPr="00524E26" w:rsidRDefault="003C534B" w:rsidP="00524E26">
      <w:pPr>
        <w:pStyle w:val="Nagwek4"/>
        <w:rPr>
          <w:color w:val="4472C4" w:themeColor="accent1"/>
        </w:rPr>
      </w:pPr>
      <w:bookmarkStart w:id="136" w:name="_Toc175321045"/>
      <w:bookmarkStart w:id="137" w:name="_Toc175479066"/>
      <w:bookmarkStart w:id="138" w:name="_Toc175494543"/>
      <w:bookmarkStart w:id="139" w:name="_Toc175518150"/>
      <w:bookmarkStart w:id="140" w:name="_Toc175571516"/>
      <w:bookmarkStart w:id="141" w:name="_Toc159598310"/>
      <w:bookmarkStart w:id="142" w:name="_Toc179536961"/>
      <w:bookmarkEnd w:id="136"/>
      <w:bookmarkEnd w:id="137"/>
      <w:bookmarkEnd w:id="138"/>
      <w:bookmarkEnd w:id="139"/>
      <w:bookmarkEnd w:id="140"/>
      <w:r>
        <w:rPr>
          <w:color w:val="4472C4" w:themeColor="accent1"/>
        </w:rPr>
        <w:t>N</w:t>
      </w:r>
      <w:r w:rsidR="00524E26" w:rsidRPr="00524E26">
        <w:rPr>
          <w:color w:val="4472C4" w:themeColor="accent1"/>
        </w:rPr>
        <w:t>owe bud</w:t>
      </w:r>
      <w:r>
        <w:rPr>
          <w:color w:val="4472C4" w:themeColor="accent1"/>
        </w:rPr>
        <w:t>ownictwo bez</w:t>
      </w:r>
      <w:r w:rsidR="004E7253">
        <w:rPr>
          <w:color w:val="4472C4" w:themeColor="accent1"/>
        </w:rPr>
        <w:t>e</w:t>
      </w:r>
      <w:r>
        <w:rPr>
          <w:color w:val="4472C4" w:themeColor="accent1"/>
        </w:rPr>
        <w:t>misyjne</w:t>
      </w:r>
      <w:bookmarkEnd w:id="141"/>
      <w:bookmarkEnd w:id="142"/>
      <w:r w:rsidR="00524E26" w:rsidRPr="00524E26">
        <w:rPr>
          <w:color w:val="4472C4" w:themeColor="accent1"/>
        </w:rPr>
        <w:t xml:space="preserve"> </w:t>
      </w:r>
    </w:p>
    <w:p w14:paraId="34B0A664" w14:textId="1E1A427E" w:rsidR="003C534B" w:rsidRDefault="003C534B" w:rsidP="0066255D">
      <w:r>
        <w:t xml:space="preserve">W ramach dotychczas obowiązującego podejścia wszystkie nowo powstałe budynki są </w:t>
      </w:r>
      <w:r w:rsidRPr="004F3075">
        <w:rPr>
          <w:b/>
          <w:bCs/>
        </w:rPr>
        <w:t>budynkami o</w:t>
      </w:r>
      <w:r w:rsidR="004F3075" w:rsidRPr="004F3075">
        <w:rPr>
          <w:b/>
          <w:bCs/>
        </w:rPr>
        <w:t> </w:t>
      </w:r>
      <w:r w:rsidR="0066255D">
        <w:rPr>
          <w:b/>
          <w:bCs/>
        </w:rPr>
        <w:t xml:space="preserve">niskim (lub </w:t>
      </w:r>
      <w:r w:rsidRPr="004F3075">
        <w:rPr>
          <w:b/>
          <w:bCs/>
        </w:rPr>
        <w:t>niemal zerowym</w:t>
      </w:r>
      <w:r w:rsidR="0066255D">
        <w:rPr>
          <w:b/>
          <w:bCs/>
        </w:rPr>
        <w:t xml:space="preserve">) </w:t>
      </w:r>
      <w:r w:rsidRPr="004F3075">
        <w:rPr>
          <w:b/>
          <w:bCs/>
        </w:rPr>
        <w:t>zużyciu energii</w:t>
      </w:r>
      <w:r>
        <w:t xml:space="preserve"> (</w:t>
      </w:r>
      <w:r w:rsidR="004F3075">
        <w:t xml:space="preserve">ang. </w:t>
      </w:r>
      <w:r w:rsidR="004F3075" w:rsidRPr="004F3075">
        <w:rPr>
          <w:i/>
          <w:iCs/>
        </w:rPr>
        <w:t>n</w:t>
      </w:r>
      <w:r w:rsidRPr="004F3075">
        <w:rPr>
          <w:i/>
          <w:iCs/>
        </w:rPr>
        <w:t xml:space="preserve">early </w:t>
      </w:r>
      <w:r w:rsidR="004F3075" w:rsidRPr="004F3075">
        <w:rPr>
          <w:i/>
          <w:iCs/>
        </w:rPr>
        <w:t>z</w:t>
      </w:r>
      <w:r w:rsidRPr="004F3075">
        <w:rPr>
          <w:i/>
          <w:iCs/>
        </w:rPr>
        <w:t xml:space="preserve">ero </w:t>
      </w:r>
      <w:r w:rsidR="004F3075" w:rsidRPr="004F3075">
        <w:rPr>
          <w:i/>
          <w:iCs/>
        </w:rPr>
        <w:t>e</w:t>
      </w:r>
      <w:r w:rsidRPr="004F3075">
        <w:rPr>
          <w:i/>
          <w:iCs/>
        </w:rPr>
        <w:t xml:space="preserve">nergy </w:t>
      </w:r>
      <w:r w:rsidR="004F3075" w:rsidRPr="004F3075">
        <w:rPr>
          <w:i/>
          <w:iCs/>
        </w:rPr>
        <w:t>b</w:t>
      </w:r>
      <w:r w:rsidRPr="004F3075">
        <w:rPr>
          <w:i/>
          <w:iCs/>
        </w:rPr>
        <w:t>uilding</w:t>
      </w:r>
      <w:r>
        <w:t xml:space="preserve">, NZEB) </w:t>
      </w:r>
      <w:r w:rsidR="004F3075">
        <w:t xml:space="preserve">– </w:t>
      </w:r>
      <w:r>
        <w:t xml:space="preserve">to budynek, który </w:t>
      </w:r>
      <w:r w:rsidR="00803946">
        <w:t xml:space="preserve">spełnia określone </w:t>
      </w:r>
      <w:r w:rsidR="00BE773E">
        <w:t>wymogi związane z oszczędnością energii i izolacyjnością cieplną zawarte w przepisach techniczno-budowlanych</w:t>
      </w:r>
      <w:r w:rsidR="00803946">
        <w:t>, które obowiązują dla budynków zajmowanych przez władze publiczne oraz będących ich własnością od 1 stycznia 2019 r.</w:t>
      </w:r>
      <w:r w:rsidR="00DD286A">
        <w:t>, a dla wszystkich pozostałych od 1 stycznia 2021 r</w:t>
      </w:r>
      <w:r w:rsidR="001B70EF">
        <w:t>. W obowiązującym porządku prawnym</w:t>
      </w:r>
      <w:r w:rsidR="001B70EF">
        <w:rPr>
          <w:rStyle w:val="Odwoanieprzypisudolnego"/>
        </w:rPr>
        <w:footnoteReference w:id="70"/>
      </w:r>
      <w:r w:rsidR="001B70EF" w:rsidRPr="001B70EF">
        <w:t xml:space="preserve"> </w:t>
      </w:r>
      <w:r w:rsidR="001B70EF">
        <w:t xml:space="preserve">taki budynek charakteryzuje się parametrami w obszarze </w:t>
      </w:r>
      <w:r w:rsidR="001B70EF" w:rsidRPr="004F3075">
        <w:rPr>
          <w:b/>
          <w:bCs/>
        </w:rPr>
        <w:t xml:space="preserve">maksymalnych wartości wskaźnika rocznego zapotrzebowania na nieodnawialną energię pierwotną </w:t>
      </w:r>
      <w:r w:rsidR="001B70EF" w:rsidRPr="004F3075">
        <w:rPr>
          <w:b/>
          <w:bCs/>
        </w:rPr>
        <w:lastRenderedPageBreak/>
        <w:t>(EP) oraz wymaganiom izolacyjności cieplnej przegród budynku</w:t>
      </w:r>
      <w:r w:rsidR="001B70EF">
        <w:t>. W praktyce te parametry obligują inwestora do szerokiego wykorzystania OZE, w ramach wznoszenia budynku.</w:t>
      </w:r>
    </w:p>
    <w:tbl>
      <w:tblPr>
        <w:tblStyle w:val="Tabela-Siatka"/>
        <w:tblpPr w:leftFromText="141" w:rightFromText="141" w:vertAnchor="text" w:horzAnchor="margin" w:tblpXSpec="right" w:tblpY="2157"/>
        <w:tblW w:w="0" w:type="auto"/>
        <w:tblCellMar>
          <w:top w:w="17" w:type="dxa"/>
          <w:left w:w="85" w:type="dxa"/>
          <w:bottom w:w="17" w:type="dxa"/>
          <w:right w:w="85" w:type="dxa"/>
        </w:tblCellMar>
        <w:tblLook w:val="04A0" w:firstRow="1" w:lastRow="0" w:firstColumn="1" w:lastColumn="0" w:noHBand="0" w:noVBand="1"/>
      </w:tblPr>
      <w:tblGrid>
        <w:gridCol w:w="1701"/>
        <w:gridCol w:w="1984"/>
        <w:gridCol w:w="1227"/>
        <w:gridCol w:w="1222"/>
      </w:tblGrid>
      <w:tr w:rsidR="007F505C" w:rsidRPr="001A03A5" w14:paraId="6EE8A930" w14:textId="77777777" w:rsidTr="007F505C">
        <w:trPr>
          <w:trHeight w:val="426"/>
        </w:trPr>
        <w:tc>
          <w:tcPr>
            <w:tcW w:w="6134" w:type="dxa"/>
            <w:gridSpan w:val="4"/>
            <w:tcBorders>
              <w:top w:val="nil"/>
              <w:left w:val="nil"/>
              <w:right w:val="nil"/>
            </w:tcBorders>
            <w:vAlign w:val="center"/>
          </w:tcPr>
          <w:p w14:paraId="766DD747" w14:textId="77777777" w:rsidR="00C80399" w:rsidRPr="00F978EF" w:rsidRDefault="00C80399" w:rsidP="007F505C">
            <w:pPr>
              <w:pStyle w:val="tyturys"/>
              <w:spacing w:before="120" w:after="120"/>
              <w:rPr>
                <w:sz w:val="20"/>
                <w:szCs w:val="20"/>
              </w:rPr>
            </w:pPr>
            <w:bookmarkStart w:id="143" w:name="_Hlk159559396"/>
            <w:r w:rsidRPr="00F978EF">
              <w:rPr>
                <w:sz w:val="20"/>
                <w:szCs w:val="20"/>
              </w:rPr>
              <w:t>Obowiązek wyposażenia budynku w instalację słoneczn</w:t>
            </w:r>
            <w:r>
              <w:rPr>
                <w:sz w:val="20"/>
                <w:szCs w:val="20"/>
              </w:rPr>
              <w:t>ą</w:t>
            </w:r>
          </w:p>
        </w:tc>
      </w:tr>
      <w:tr w:rsidR="007F505C" w:rsidRPr="001A03A5" w14:paraId="2CBEB78D" w14:textId="77777777" w:rsidTr="007F505C">
        <w:trPr>
          <w:trHeight w:val="437"/>
        </w:trPr>
        <w:tc>
          <w:tcPr>
            <w:tcW w:w="1701" w:type="dxa"/>
            <w:shd w:val="clear" w:color="auto" w:fill="B4C6E7" w:themeFill="accent1" w:themeFillTint="66"/>
            <w:vAlign w:val="center"/>
          </w:tcPr>
          <w:p w14:paraId="6EAF93F1" w14:textId="77777777" w:rsidR="00C80399" w:rsidRPr="007F505C" w:rsidRDefault="00C80399" w:rsidP="00C80399">
            <w:pPr>
              <w:jc w:val="center"/>
              <w:rPr>
                <w:b/>
                <w:bCs/>
                <w:i/>
                <w:iCs/>
                <w:sz w:val="16"/>
                <w:szCs w:val="16"/>
              </w:rPr>
            </w:pPr>
            <w:r w:rsidRPr="007F505C">
              <w:rPr>
                <w:b/>
                <w:bCs/>
                <w:i/>
                <w:iCs/>
                <w:sz w:val="16"/>
                <w:szCs w:val="16"/>
              </w:rPr>
              <w:t>sektor</w:t>
            </w:r>
          </w:p>
        </w:tc>
        <w:tc>
          <w:tcPr>
            <w:tcW w:w="1984" w:type="dxa"/>
            <w:shd w:val="clear" w:color="auto" w:fill="B4C6E7" w:themeFill="accent1" w:themeFillTint="66"/>
            <w:vAlign w:val="center"/>
          </w:tcPr>
          <w:p w14:paraId="60CB67FB" w14:textId="24293A80" w:rsidR="00C80399" w:rsidRPr="007F505C" w:rsidRDefault="00C80399" w:rsidP="00C80399">
            <w:pPr>
              <w:jc w:val="center"/>
              <w:rPr>
                <w:b/>
                <w:bCs/>
                <w:i/>
                <w:iCs/>
                <w:sz w:val="16"/>
                <w:szCs w:val="16"/>
              </w:rPr>
            </w:pPr>
            <w:r w:rsidRPr="007F505C">
              <w:rPr>
                <w:b/>
                <w:bCs/>
                <w:i/>
                <w:iCs/>
                <w:sz w:val="16"/>
                <w:szCs w:val="16"/>
              </w:rPr>
              <w:t>typ</w:t>
            </w:r>
            <w:r w:rsidR="007F505C" w:rsidRPr="007F505C">
              <w:rPr>
                <w:b/>
                <w:bCs/>
                <w:i/>
                <w:iCs/>
                <w:sz w:val="16"/>
                <w:szCs w:val="16"/>
              </w:rPr>
              <w:t xml:space="preserve"> budynku</w:t>
            </w:r>
          </w:p>
        </w:tc>
        <w:tc>
          <w:tcPr>
            <w:tcW w:w="1227" w:type="dxa"/>
            <w:shd w:val="clear" w:color="auto" w:fill="B4C6E7" w:themeFill="accent1" w:themeFillTint="66"/>
            <w:vAlign w:val="center"/>
          </w:tcPr>
          <w:p w14:paraId="7660E385" w14:textId="77777777" w:rsidR="00C80399" w:rsidRPr="007F505C" w:rsidRDefault="00C80399" w:rsidP="00C80399">
            <w:pPr>
              <w:jc w:val="center"/>
              <w:rPr>
                <w:b/>
                <w:bCs/>
                <w:i/>
                <w:iCs/>
                <w:sz w:val="16"/>
                <w:szCs w:val="16"/>
              </w:rPr>
            </w:pPr>
            <w:r w:rsidRPr="007F505C">
              <w:rPr>
                <w:b/>
                <w:bCs/>
                <w:i/>
                <w:iCs/>
                <w:sz w:val="16"/>
                <w:szCs w:val="16"/>
              </w:rPr>
              <w:t>powierzchnia użytkowa</w:t>
            </w:r>
          </w:p>
        </w:tc>
        <w:tc>
          <w:tcPr>
            <w:tcW w:w="1222" w:type="dxa"/>
            <w:shd w:val="clear" w:color="auto" w:fill="B4C6E7" w:themeFill="accent1" w:themeFillTint="66"/>
            <w:vAlign w:val="center"/>
          </w:tcPr>
          <w:p w14:paraId="7E054F43" w14:textId="77777777" w:rsidR="00C80399" w:rsidRPr="007F505C" w:rsidRDefault="00C80399" w:rsidP="00C80399">
            <w:pPr>
              <w:jc w:val="center"/>
              <w:rPr>
                <w:b/>
                <w:bCs/>
                <w:i/>
                <w:iCs/>
                <w:sz w:val="16"/>
                <w:szCs w:val="16"/>
              </w:rPr>
            </w:pPr>
            <w:r w:rsidRPr="007F505C">
              <w:rPr>
                <w:b/>
                <w:bCs/>
                <w:i/>
                <w:iCs/>
                <w:sz w:val="16"/>
                <w:szCs w:val="16"/>
              </w:rPr>
              <w:t>pierwszy rok obowiązywania</w:t>
            </w:r>
          </w:p>
        </w:tc>
      </w:tr>
      <w:tr w:rsidR="007F505C" w:rsidRPr="001A03A5" w14:paraId="634C5169" w14:textId="77777777" w:rsidTr="007F505C">
        <w:trPr>
          <w:trHeight w:val="223"/>
        </w:trPr>
        <w:tc>
          <w:tcPr>
            <w:tcW w:w="1701" w:type="dxa"/>
            <w:vMerge w:val="restart"/>
            <w:vAlign w:val="center"/>
          </w:tcPr>
          <w:p w14:paraId="2B945997" w14:textId="77777777" w:rsidR="00C80399" w:rsidRPr="001A03A5" w:rsidRDefault="00C80399" w:rsidP="00C80399">
            <w:pPr>
              <w:jc w:val="center"/>
              <w:rPr>
                <w:sz w:val="16"/>
                <w:szCs w:val="16"/>
              </w:rPr>
            </w:pPr>
            <w:r w:rsidRPr="001A03A5">
              <w:rPr>
                <w:sz w:val="16"/>
                <w:szCs w:val="16"/>
              </w:rPr>
              <w:t>publiczny</w:t>
            </w:r>
          </w:p>
        </w:tc>
        <w:tc>
          <w:tcPr>
            <w:tcW w:w="1984" w:type="dxa"/>
            <w:vAlign w:val="center"/>
          </w:tcPr>
          <w:p w14:paraId="753DC6A0" w14:textId="77777777" w:rsidR="00C80399" w:rsidRPr="001A03A5" w:rsidRDefault="00C80399" w:rsidP="00C80399">
            <w:pPr>
              <w:jc w:val="center"/>
              <w:rPr>
                <w:sz w:val="16"/>
                <w:szCs w:val="16"/>
              </w:rPr>
            </w:pPr>
            <w:r w:rsidRPr="001A03A5">
              <w:rPr>
                <w:sz w:val="16"/>
                <w:szCs w:val="16"/>
              </w:rPr>
              <w:t>nowy</w:t>
            </w:r>
          </w:p>
        </w:tc>
        <w:tc>
          <w:tcPr>
            <w:tcW w:w="1227" w:type="dxa"/>
            <w:vAlign w:val="center"/>
          </w:tcPr>
          <w:p w14:paraId="5DF9E0FC" w14:textId="77777777" w:rsidR="00C80399" w:rsidRPr="001A03A5" w:rsidRDefault="00C80399" w:rsidP="00C80399">
            <w:pPr>
              <w:jc w:val="center"/>
              <w:rPr>
                <w:sz w:val="16"/>
                <w:szCs w:val="16"/>
              </w:rPr>
            </w:pPr>
            <w:r w:rsidRPr="001A03A5">
              <w:rPr>
                <w:sz w:val="16"/>
                <w:szCs w:val="16"/>
              </w:rPr>
              <w:t>250 m</w:t>
            </w:r>
            <w:r w:rsidRPr="001A03A5">
              <w:rPr>
                <w:sz w:val="16"/>
                <w:szCs w:val="16"/>
                <w:vertAlign w:val="superscript"/>
              </w:rPr>
              <w:t>2</w:t>
            </w:r>
          </w:p>
        </w:tc>
        <w:tc>
          <w:tcPr>
            <w:tcW w:w="1222" w:type="dxa"/>
            <w:vAlign w:val="center"/>
          </w:tcPr>
          <w:p w14:paraId="5638FCEF" w14:textId="77777777" w:rsidR="00C80399" w:rsidRPr="001A03A5" w:rsidRDefault="00C80399" w:rsidP="00C80399">
            <w:pPr>
              <w:jc w:val="center"/>
              <w:rPr>
                <w:sz w:val="16"/>
                <w:szCs w:val="16"/>
              </w:rPr>
            </w:pPr>
            <w:r w:rsidRPr="001A03A5">
              <w:rPr>
                <w:sz w:val="16"/>
                <w:szCs w:val="16"/>
              </w:rPr>
              <w:t>2027</w:t>
            </w:r>
          </w:p>
        </w:tc>
      </w:tr>
      <w:tr w:rsidR="007F505C" w:rsidRPr="001A03A5" w14:paraId="0EA92E5D" w14:textId="77777777" w:rsidTr="007F505C">
        <w:trPr>
          <w:trHeight w:val="146"/>
        </w:trPr>
        <w:tc>
          <w:tcPr>
            <w:tcW w:w="1701" w:type="dxa"/>
            <w:vMerge/>
            <w:vAlign w:val="center"/>
          </w:tcPr>
          <w:p w14:paraId="01DC1B44" w14:textId="77777777" w:rsidR="00C80399" w:rsidRPr="001A03A5" w:rsidRDefault="00C80399" w:rsidP="00C80399">
            <w:pPr>
              <w:jc w:val="center"/>
              <w:rPr>
                <w:sz w:val="16"/>
                <w:szCs w:val="16"/>
              </w:rPr>
            </w:pPr>
          </w:p>
        </w:tc>
        <w:tc>
          <w:tcPr>
            <w:tcW w:w="1984" w:type="dxa"/>
            <w:vMerge w:val="restart"/>
            <w:vAlign w:val="center"/>
          </w:tcPr>
          <w:p w14:paraId="740EA550" w14:textId="77777777" w:rsidR="00C80399" w:rsidRPr="001A03A5" w:rsidRDefault="00C80399" w:rsidP="00C80399">
            <w:pPr>
              <w:jc w:val="center"/>
              <w:rPr>
                <w:sz w:val="16"/>
                <w:szCs w:val="16"/>
              </w:rPr>
            </w:pPr>
            <w:r w:rsidRPr="001A03A5">
              <w:rPr>
                <w:sz w:val="16"/>
                <w:szCs w:val="16"/>
              </w:rPr>
              <w:t xml:space="preserve">istniejący </w:t>
            </w:r>
          </w:p>
        </w:tc>
        <w:tc>
          <w:tcPr>
            <w:tcW w:w="1227" w:type="dxa"/>
            <w:vAlign w:val="center"/>
          </w:tcPr>
          <w:p w14:paraId="70E8F54F" w14:textId="77777777" w:rsidR="00C80399" w:rsidRPr="001A03A5" w:rsidRDefault="00C80399" w:rsidP="00C80399">
            <w:pPr>
              <w:jc w:val="center"/>
              <w:rPr>
                <w:sz w:val="16"/>
                <w:szCs w:val="16"/>
              </w:rPr>
            </w:pPr>
            <w:r w:rsidRPr="001A03A5">
              <w:rPr>
                <w:sz w:val="16"/>
                <w:szCs w:val="16"/>
              </w:rPr>
              <w:t>2000 m</w:t>
            </w:r>
            <w:r w:rsidRPr="001A03A5">
              <w:rPr>
                <w:sz w:val="16"/>
                <w:szCs w:val="16"/>
                <w:vertAlign w:val="superscript"/>
              </w:rPr>
              <w:t>2</w:t>
            </w:r>
          </w:p>
        </w:tc>
        <w:tc>
          <w:tcPr>
            <w:tcW w:w="1222" w:type="dxa"/>
            <w:vAlign w:val="center"/>
          </w:tcPr>
          <w:p w14:paraId="3417C339" w14:textId="77777777" w:rsidR="00C80399" w:rsidRPr="001A03A5" w:rsidRDefault="00C80399" w:rsidP="00C80399">
            <w:pPr>
              <w:jc w:val="center"/>
              <w:rPr>
                <w:sz w:val="16"/>
                <w:szCs w:val="16"/>
              </w:rPr>
            </w:pPr>
            <w:r w:rsidRPr="001A03A5">
              <w:rPr>
                <w:sz w:val="16"/>
                <w:szCs w:val="16"/>
              </w:rPr>
              <w:t>2028</w:t>
            </w:r>
          </w:p>
        </w:tc>
      </w:tr>
      <w:tr w:rsidR="007F505C" w:rsidRPr="001A03A5" w14:paraId="769CE614" w14:textId="77777777" w:rsidTr="007F505C">
        <w:trPr>
          <w:trHeight w:val="146"/>
        </w:trPr>
        <w:tc>
          <w:tcPr>
            <w:tcW w:w="1701" w:type="dxa"/>
            <w:vMerge/>
            <w:vAlign w:val="center"/>
          </w:tcPr>
          <w:p w14:paraId="0B64524C" w14:textId="77777777" w:rsidR="00C80399" w:rsidRPr="001A03A5" w:rsidRDefault="00C80399" w:rsidP="00C80399">
            <w:pPr>
              <w:jc w:val="center"/>
              <w:rPr>
                <w:sz w:val="16"/>
                <w:szCs w:val="16"/>
              </w:rPr>
            </w:pPr>
          </w:p>
        </w:tc>
        <w:tc>
          <w:tcPr>
            <w:tcW w:w="1984" w:type="dxa"/>
            <w:vMerge/>
            <w:vAlign w:val="center"/>
          </w:tcPr>
          <w:p w14:paraId="22B5DD0B" w14:textId="77777777" w:rsidR="00C80399" w:rsidRPr="001A03A5" w:rsidRDefault="00C80399" w:rsidP="00C80399">
            <w:pPr>
              <w:jc w:val="center"/>
              <w:rPr>
                <w:sz w:val="16"/>
                <w:szCs w:val="16"/>
              </w:rPr>
            </w:pPr>
          </w:p>
        </w:tc>
        <w:tc>
          <w:tcPr>
            <w:tcW w:w="1227" w:type="dxa"/>
            <w:vAlign w:val="center"/>
          </w:tcPr>
          <w:p w14:paraId="35EDA1A6" w14:textId="77777777" w:rsidR="00C80399" w:rsidRPr="001A03A5" w:rsidRDefault="00C80399" w:rsidP="00C80399">
            <w:pPr>
              <w:jc w:val="center"/>
              <w:rPr>
                <w:sz w:val="16"/>
                <w:szCs w:val="16"/>
              </w:rPr>
            </w:pPr>
            <w:r w:rsidRPr="001A03A5">
              <w:rPr>
                <w:sz w:val="16"/>
                <w:szCs w:val="16"/>
              </w:rPr>
              <w:t>750 m</w:t>
            </w:r>
            <w:r w:rsidRPr="001A03A5">
              <w:rPr>
                <w:sz w:val="16"/>
                <w:szCs w:val="16"/>
                <w:vertAlign w:val="superscript"/>
              </w:rPr>
              <w:t>2</w:t>
            </w:r>
          </w:p>
        </w:tc>
        <w:tc>
          <w:tcPr>
            <w:tcW w:w="1222" w:type="dxa"/>
            <w:vAlign w:val="center"/>
          </w:tcPr>
          <w:p w14:paraId="785F2F0C" w14:textId="77777777" w:rsidR="00C80399" w:rsidRPr="001A03A5" w:rsidRDefault="00C80399" w:rsidP="00C80399">
            <w:pPr>
              <w:jc w:val="center"/>
              <w:rPr>
                <w:sz w:val="16"/>
                <w:szCs w:val="16"/>
              </w:rPr>
            </w:pPr>
            <w:r w:rsidRPr="001A03A5">
              <w:rPr>
                <w:sz w:val="16"/>
                <w:szCs w:val="16"/>
              </w:rPr>
              <w:t>2029</w:t>
            </w:r>
          </w:p>
        </w:tc>
      </w:tr>
      <w:tr w:rsidR="007F505C" w:rsidRPr="001A03A5" w14:paraId="7E39D301" w14:textId="77777777" w:rsidTr="007F505C">
        <w:trPr>
          <w:trHeight w:val="146"/>
        </w:trPr>
        <w:tc>
          <w:tcPr>
            <w:tcW w:w="1701" w:type="dxa"/>
            <w:vMerge/>
            <w:vAlign w:val="center"/>
          </w:tcPr>
          <w:p w14:paraId="7C337DE1" w14:textId="77777777" w:rsidR="00C80399" w:rsidRPr="001A03A5" w:rsidRDefault="00C80399" w:rsidP="00C80399">
            <w:pPr>
              <w:jc w:val="center"/>
              <w:rPr>
                <w:sz w:val="16"/>
                <w:szCs w:val="16"/>
              </w:rPr>
            </w:pPr>
          </w:p>
        </w:tc>
        <w:tc>
          <w:tcPr>
            <w:tcW w:w="1984" w:type="dxa"/>
            <w:vMerge/>
            <w:vAlign w:val="center"/>
          </w:tcPr>
          <w:p w14:paraId="5E71213D" w14:textId="77777777" w:rsidR="00C80399" w:rsidRPr="001A03A5" w:rsidRDefault="00C80399" w:rsidP="00C80399">
            <w:pPr>
              <w:jc w:val="center"/>
              <w:rPr>
                <w:sz w:val="16"/>
                <w:szCs w:val="16"/>
              </w:rPr>
            </w:pPr>
          </w:p>
        </w:tc>
        <w:tc>
          <w:tcPr>
            <w:tcW w:w="1227" w:type="dxa"/>
            <w:vAlign w:val="center"/>
          </w:tcPr>
          <w:p w14:paraId="35150EC8" w14:textId="77777777" w:rsidR="00C80399" w:rsidRPr="001A03A5" w:rsidRDefault="00C80399" w:rsidP="00C80399">
            <w:pPr>
              <w:jc w:val="center"/>
              <w:rPr>
                <w:sz w:val="16"/>
                <w:szCs w:val="16"/>
              </w:rPr>
            </w:pPr>
            <w:r w:rsidRPr="001A03A5">
              <w:rPr>
                <w:sz w:val="16"/>
                <w:szCs w:val="16"/>
              </w:rPr>
              <w:t>250 m</w:t>
            </w:r>
            <w:r w:rsidRPr="001A03A5">
              <w:rPr>
                <w:sz w:val="16"/>
                <w:szCs w:val="16"/>
                <w:vertAlign w:val="superscript"/>
              </w:rPr>
              <w:t>2</w:t>
            </w:r>
          </w:p>
        </w:tc>
        <w:tc>
          <w:tcPr>
            <w:tcW w:w="1222" w:type="dxa"/>
            <w:vAlign w:val="center"/>
          </w:tcPr>
          <w:p w14:paraId="03E4DE89" w14:textId="77777777" w:rsidR="00C80399" w:rsidRPr="001A03A5" w:rsidRDefault="00C80399" w:rsidP="00C80399">
            <w:pPr>
              <w:jc w:val="center"/>
              <w:rPr>
                <w:sz w:val="16"/>
                <w:szCs w:val="16"/>
              </w:rPr>
            </w:pPr>
            <w:r w:rsidRPr="001A03A5">
              <w:rPr>
                <w:sz w:val="16"/>
                <w:szCs w:val="16"/>
              </w:rPr>
              <w:t>2031</w:t>
            </w:r>
          </w:p>
        </w:tc>
      </w:tr>
      <w:tr w:rsidR="007F505C" w:rsidRPr="001A03A5" w14:paraId="1648181C" w14:textId="77777777" w:rsidTr="007F505C">
        <w:trPr>
          <w:trHeight w:val="212"/>
        </w:trPr>
        <w:tc>
          <w:tcPr>
            <w:tcW w:w="1701" w:type="dxa"/>
            <w:vMerge w:val="restart"/>
            <w:vAlign w:val="center"/>
          </w:tcPr>
          <w:p w14:paraId="0B60D822" w14:textId="77777777" w:rsidR="00C80399" w:rsidRPr="001A03A5" w:rsidRDefault="00C80399" w:rsidP="00C80399">
            <w:pPr>
              <w:jc w:val="center"/>
              <w:rPr>
                <w:sz w:val="16"/>
                <w:szCs w:val="16"/>
              </w:rPr>
            </w:pPr>
            <w:r w:rsidRPr="001A03A5">
              <w:rPr>
                <w:sz w:val="16"/>
                <w:szCs w:val="16"/>
              </w:rPr>
              <w:t>komercyjny</w:t>
            </w:r>
          </w:p>
        </w:tc>
        <w:tc>
          <w:tcPr>
            <w:tcW w:w="1984" w:type="dxa"/>
            <w:vAlign w:val="center"/>
          </w:tcPr>
          <w:p w14:paraId="1D50531D" w14:textId="77777777" w:rsidR="00C80399" w:rsidRPr="001A03A5" w:rsidRDefault="00C80399" w:rsidP="00C80399">
            <w:pPr>
              <w:jc w:val="center"/>
              <w:rPr>
                <w:sz w:val="16"/>
                <w:szCs w:val="16"/>
              </w:rPr>
            </w:pPr>
            <w:r w:rsidRPr="001A03A5">
              <w:rPr>
                <w:sz w:val="16"/>
                <w:szCs w:val="16"/>
              </w:rPr>
              <w:t>nowy</w:t>
            </w:r>
          </w:p>
        </w:tc>
        <w:tc>
          <w:tcPr>
            <w:tcW w:w="1227" w:type="dxa"/>
            <w:vAlign w:val="center"/>
          </w:tcPr>
          <w:p w14:paraId="2D91534E" w14:textId="77777777" w:rsidR="00C80399" w:rsidRPr="001A03A5" w:rsidRDefault="00C80399" w:rsidP="00C80399">
            <w:pPr>
              <w:jc w:val="center"/>
              <w:rPr>
                <w:sz w:val="16"/>
                <w:szCs w:val="16"/>
              </w:rPr>
            </w:pPr>
            <w:r w:rsidRPr="001A03A5">
              <w:rPr>
                <w:sz w:val="16"/>
                <w:szCs w:val="16"/>
              </w:rPr>
              <w:t>250 m</w:t>
            </w:r>
            <w:r w:rsidRPr="001A03A5">
              <w:rPr>
                <w:sz w:val="16"/>
                <w:szCs w:val="16"/>
                <w:vertAlign w:val="superscript"/>
              </w:rPr>
              <w:t>2</w:t>
            </w:r>
          </w:p>
        </w:tc>
        <w:tc>
          <w:tcPr>
            <w:tcW w:w="1222" w:type="dxa"/>
            <w:vAlign w:val="center"/>
          </w:tcPr>
          <w:p w14:paraId="3B35B406" w14:textId="77777777" w:rsidR="00C80399" w:rsidRPr="001A03A5" w:rsidRDefault="00C80399" w:rsidP="00C80399">
            <w:pPr>
              <w:jc w:val="center"/>
              <w:rPr>
                <w:sz w:val="16"/>
                <w:szCs w:val="16"/>
              </w:rPr>
            </w:pPr>
            <w:r w:rsidRPr="001A03A5">
              <w:rPr>
                <w:sz w:val="16"/>
                <w:szCs w:val="16"/>
              </w:rPr>
              <w:t>2027</w:t>
            </w:r>
          </w:p>
        </w:tc>
      </w:tr>
      <w:tr w:rsidR="007F505C" w:rsidRPr="001A03A5" w14:paraId="417B6B83" w14:textId="77777777" w:rsidTr="007F505C">
        <w:trPr>
          <w:trHeight w:val="437"/>
        </w:trPr>
        <w:tc>
          <w:tcPr>
            <w:tcW w:w="1701" w:type="dxa"/>
            <w:vMerge/>
            <w:vAlign w:val="center"/>
          </w:tcPr>
          <w:p w14:paraId="66D19A0D" w14:textId="77777777" w:rsidR="00C80399" w:rsidRPr="001A03A5" w:rsidRDefault="00C80399" w:rsidP="00C80399">
            <w:pPr>
              <w:jc w:val="center"/>
              <w:rPr>
                <w:sz w:val="16"/>
                <w:szCs w:val="16"/>
              </w:rPr>
            </w:pPr>
          </w:p>
        </w:tc>
        <w:tc>
          <w:tcPr>
            <w:tcW w:w="1984" w:type="dxa"/>
            <w:vAlign w:val="center"/>
          </w:tcPr>
          <w:p w14:paraId="120FC130" w14:textId="77777777" w:rsidR="00C80399" w:rsidRPr="001A03A5" w:rsidRDefault="00C80399" w:rsidP="00C80399">
            <w:pPr>
              <w:jc w:val="center"/>
              <w:rPr>
                <w:sz w:val="16"/>
                <w:szCs w:val="16"/>
              </w:rPr>
            </w:pPr>
            <w:r w:rsidRPr="001A03A5">
              <w:rPr>
                <w:sz w:val="16"/>
                <w:szCs w:val="16"/>
              </w:rPr>
              <w:t>istniejący, przechodzący gruntown</w:t>
            </w:r>
            <w:r>
              <w:rPr>
                <w:sz w:val="16"/>
                <w:szCs w:val="16"/>
              </w:rPr>
              <w:t>ą</w:t>
            </w:r>
            <w:r w:rsidRPr="001A03A5">
              <w:rPr>
                <w:sz w:val="16"/>
                <w:szCs w:val="16"/>
              </w:rPr>
              <w:t xml:space="preserve"> modernizację</w:t>
            </w:r>
          </w:p>
        </w:tc>
        <w:tc>
          <w:tcPr>
            <w:tcW w:w="1227" w:type="dxa"/>
            <w:vAlign w:val="center"/>
          </w:tcPr>
          <w:p w14:paraId="01730776" w14:textId="77777777" w:rsidR="00C80399" w:rsidRPr="001A03A5" w:rsidRDefault="00C80399" w:rsidP="00C80399">
            <w:pPr>
              <w:jc w:val="center"/>
              <w:rPr>
                <w:sz w:val="16"/>
                <w:szCs w:val="16"/>
              </w:rPr>
            </w:pPr>
            <w:r w:rsidRPr="001A03A5">
              <w:rPr>
                <w:sz w:val="16"/>
                <w:szCs w:val="16"/>
              </w:rPr>
              <w:t>500 m</w:t>
            </w:r>
            <w:r w:rsidRPr="001A03A5">
              <w:rPr>
                <w:sz w:val="16"/>
                <w:szCs w:val="16"/>
                <w:vertAlign w:val="superscript"/>
              </w:rPr>
              <w:t>2</w:t>
            </w:r>
          </w:p>
        </w:tc>
        <w:tc>
          <w:tcPr>
            <w:tcW w:w="1222" w:type="dxa"/>
            <w:vAlign w:val="center"/>
          </w:tcPr>
          <w:p w14:paraId="34F1F61C" w14:textId="77777777" w:rsidR="00C80399" w:rsidRPr="001A03A5" w:rsidRDefault="00C80399" w:rsidP="00C80399">
            <w:pPr>
              <w:jc w:val="center"/>
              <w:rPr>
                <w:sz w:val="16"/>
                <w:szCs w:val="16"/>
              </w:rPr>
            </w:pPr>
            <w:r w:rsidRPr="001A03A5">
              <w:rPr>
                <w:sz w:val="16"/>
                <w:szCs w:val="16"/>
              </w:rPr>
              <w:t>2028</w:t>
            </w:r>
          </w:p>
        </w:tc>
      </w:tr>
      <w:tr w:rsidR="007F505C" w:rsidRPr="001A03A5" w14:paraId="4F498319" w14:textId="77777777" w:rsidTr="007F505C">
        <w:trPr>
          <w:trHeight w:val="223"/>
        </w:trPr>
        <w:tc>
          <w:tcPr>
            <w:tcW w:w="1701" w:type="dxa"/>
            <w:vAlign w:val="center"/>
          </w:tcPr>
          <w:p w14:paraId="36D84FAD" w14:textId="77777777" w:rsidR="00C80399" w:rsidRPr="001A03A5" w:rsidRDefault="00C80399" w:rsidP="00C80399">
            <w:pPr>
              <w:jc w:val="center"/>
              <w:rPr>
                <w:sz w:val="16"/>
                <w:szCs w:val="16"/>
              </w:rPr>
            </w:pPr>
            <w:r w:rsidRPr="001A03A5">
              <w:rPr>
                <w:sz w:val="16"/>
                <w:szCs w:val="16"/>
              </w:rPr>
              <w:t>budynek mieszkalny</w:t>
            </w:r>
          </w:p>
        </w:tc>
        <w:tc>
          <w:tcPr>
            <w:tcW w:w="1984" w:type="dxa"/>
            <w:vAlign w:val="center"/>
          </w:tcPr>
          <w:p w14:paraId="23758228" w14:textId="77777777" w:rsidR="00C80399" w:rsidRPr="001A03A5" w:rsidRDefault="00C80399" w:rsidP="00C80399">
            <w:pPr>
              <w:jc w:val="center"/>
              <w:rPr>
                <w:sz w:val="16"/>
                <w:szCs w:val="16"/>
              </w:rPr>
            </w:pPr>
            <w:r w:rsidRPr="001A03A5">
              <w:rPr>
                <w:sz w:val="16"/>
                <w:szCs w:val="16"/>
              </w:rPr>
              <w:t>nowy</w:t>
            </w:r>
          </w:p>
        </w:tc>
        <w:tc>
          <w:tcPr>
            <w:tcW w:w="1227" w:type="dxa"/>
            <w:vAlign w:val="center"/>
          </w:tcPr>
          <w:p w14:paraId="6E0EF7FE" w14:textId="77777777" w:rsidR="00C80399" w:rsidRPr="001A03A5" w:rsidRDefault="00C80399" w:rsidP="00C80399">
            <w:pPr>
              <w:jc w:val="center"/>
              <w:rPr>
                <w:sz w:val="16"/>
                <w:szCs w:val="16"/>
              </w:rPr>
            </w:pPr>
            <w:r>
              <w:rPr>
                <w:sz w:val="16"/>
                <w:szCs w:val="16"/>
              </w:rPr>
              <w:t>wszystkie</w:t>
            </w:r>
          </w:p>
        </w:tc>
        <w:tc>
          <w:tcPr>
            <w:tcW w:w="1222" w:type="dxa"/>
            <w:vAlign w:val="center"/>
          </w:tcPr>
          <w:p w14:paraId="4F4CC5B5" w14:textId="77777777" w:rsidR="00C80399" w:rsidRPr="001A03A5" w:rsidRDefault="00C80399" w:rsidP="00C80399">
            <w:pPr>
              <w:jc w:val="center"/>
              <w:rPr>
                <w:sz w:val="16"/>
                <w:szCs w:val="16"/>
              </w:rPr>
            </w:pPr>
            <w:r w:rsidRPr="001A03A5">
              <w:rPr>
                <w:sz w:val="16"/>
                <w:szCs w:val="16"/>
              </w:rPr>
              <w:t>2030</w:t>
            </w:r>
          </w:p>
        </w:tc>
      </w:tr>
      <w:tr w:rsidR="007F505C" w:rsidRPr="001A03A5" w14:paraId="4996C114" w14:textId="77777777" w:rsidTr="007F505C">
        <w:trPr>
          <w:trHeight w:val="223"/>
        </w:trPr>
        <w:tc>
          <w:tcPr>
            <w:tcW w:w="1701" w:type="dxa"/>
            <w:vAlign w:val="center"/>
          </w:tcPr>
          <w:p w14:paraId="523747D3" w14:textId="77777777" w:rsidR="00C80399" w:rsidRPr="001A03A5" w:rsidRDefault="00C80399" w:rsidP="00C80399">
            <w:pPr>
              <w:jc w:val="center"/>
              <w:rPr>
                <w:sz w:val="16"/>
                <w:szCs w:val="16"/>
              </w:rPr>
            </w:pPr>
            <w:r w:rsidRPr="001A03A5">
              <w:rPr>
                <w:sz w:val="16"/>
                <w:szCs w:val="16"/>
              </w:rPr>
              <w:t>parking</w:t>
            </w:r>
            <w:r>
              <w:rPr>
                <w:sz w:val="16"/>
                <w:szCs w:val="16"/>
              </w:rPr>
              <w:t xml:space="preserve"> przylegający do budynku</w:t>
            </w:r>
          </w:p>
        </w:tc>
        <w:tc>
          <w:tcPr>
            <w:tcW w:w="1984" w:type="dxa"/>
            <w:vAlign w:val="center"/>
          </w:tcPr>
          <w:p w14:paraId="2DCB3927" w14:textId="77777777" w:rsidR="00C80399" w:rsidRPr="001A03A5" w:rsidRDefault="00C80399" w:rsidP="00C80399">
            <w:pPr>
              <w:jc w:val="center"/>
              <w:rPr>
                <w:sz w:val="16"/>
                <w:szCs w:val="16"/>
              </w:rPr>
            </w:pPr>
            <w:r w:rsidRPr="001A03A5">
              <w:rPr>
                <w:sz w:val="16"/>
                <w:szCs w:val="16"/>
              </w:rPr>
              <w:t>nowy</w:t>
            </w:r>
          </w:p>
        </w:tc>
        <w:tc>
          <w:tcPr>
            <w:tcW w:w="1227" w:type="dxa"/>
            <w:vAlign w:val="center"/>
          </w:tcPr>
          <w:p w14:paraId="685C5C4A" w14:textId="77777777" w:rsidR="00C80399" w:rsidRPr="001A03A5" w:rsidRDefault="00C80399" w:rsidP="00C80399">
            <w:pPr>
              <w:jc w:val="center"/>
              <w:rPr>
                <w:sz w:val="16"/>
                <w:szCs w:val="16"/>
              </w:rPr>
            </w:pPr>
          </w:p>
        </w:tc>
        <w:tc>
          <w:tcPr>
            <w:tcW w:w="1222" w:type="dxa"/>
            <w:vAlign w:val="center"/>
          </w:tcPr>
          <w:p w14:paraId="3A4D7BE5" w14:textId="77777777" w:rsidR="00C80399" w:rsidRPr="001A03A5" w:rsidRDefault="00C80399" w:rsidP="00C80399">
            <w:pPr>
              <w:jc w:val="center"/>
              <w:rPr>
                <w:sz w:val="16"/>
                <w:szCs w:val="16"/>
              </w:rPr>
            </w:pPr>
            <w:r w:rsidRPr="001A03A5">
              <w:rPr>
                <w:sz w:val="16"/>
                <w:szCs w:val="16"/>
              </w:rPr>
              <w:t>2030</w:t>
            </w:r>
          </w:p>
        </w:tc>
      </w:tr>
    </w:tbl>
    <w:p w14:paraId="3609BBC4" w14:textId="017A7F57" w:rsidR="003C534B" w:rsidRDefault="00101743" w:rsidP="003C534B">
      <w:r>
        <w:t>D</w:t>
      </w:r>
      <w:r w:rsidR="003C534B">
        <w:t>yrektywy w sprawie charakterystyki energetycznej budynków (EPBD)</w:t>
      </w:r>
      <w:r w:rsidR="00DF11DC">
        <w:t xml:space="preserve"> </w:t>
      </w:r>
      <w:r>
        <w:t>wskazała, że</w:t>
      </w:r>
      <w:r w:rsidR="003C534B">
        <w:t xml:space="preserve"> </w:t>
      </w:r>
      <w:r w:rsidR="003C534B" w:rsidRPr="004F3075">
        <w:t>wszystkie nowe budynki będą</w:t>
      </w:r>
      <w:r w:rsidR="003C534B">
        <w:t xml:space="preserve"> musiały być wznoszone w jeszcze wyższym standardzie energetycznym, w ramach którego </w:t>
      </w:r>
      <w:r w:rsidR="004E7253" w:rsidRPr="004E7253">
        <w:rPr>
          <w:b/>
          <w:bCs/>
        </w:rPr>
        <w:t>od 20</w:t>
      </w:r>
      <w:r w:rsidR="004E7253">
        <w:rPr>
          <w:b/>
          <w:bCs/>
        </w:rPr>
        <w:t>30</w:t>
      </w:r>
      <w:r w:rsidR="004E7253" w:rsidRPr="004E7253">
        <w:rPr>
          <w:b/>
          <w:bCs/>
        </w:rPr>
        <w:t xml:space="preserve"> r.</w:t>
      </w:r>
      <w:r w:rsidR="004E7253">
        <w:t xml:space="preserve"> </w:t>
      </w:r>
      <w:r w:rsidR="003C534B" w:rsidRPr="004F3075">
        <w:rPr>
          <w:b/>
          <w:bCs/>
        </w:rPr>
        <w:t>wznoszone będą jedynie budynki bezemisyjne</w:t>
      </w:r>
      <w:r w:rsidR="004F3075">
        <w:t xml:space="preserve">. </w:t>
      </w:r>
      <w:r w:rsidR="003C534B">
        <w:t xml:space="preserve"> </w:t>
      </w:r>
      <w:bookmarkEnd w:id="143"/>
      <w:r w:rsidR="004F3075">
        <w:t>Z</w:t>
      </w:r>
      <w:r w:rsidR="003C534B">
        <w:t>godnie z</w:t>
      </w:r>
      <w:r w:rsidR="00E266FE">
        <w:t> </w:t>
      </w:r>
      <w:r w:rsidR="003C534B">
        <w:t xml:space="preserve">postanowieniami </w:t>
      </w:r>
      <w:r w:rsidR="004F3075">
        <w:t xml:space="preserve">nowej </w:t>
      </w:r>
      <w:r w:rsidR="003C534B">
        <w:t xml:space="preserve">dyrektywy </w:t>
      </w:r>
      <w:r w:rsidR="004F3075">
        <w:t xml:space="preserve">EPBD będą </w:t>
      </w:r>
      <w:r w:rsidR="00C6121A">
        <w:rPr>
          <w:b/>
          <w:bCs/>
        </w:rPr>
        <w:t>o bardzo wysokiej charakterystyce energetycznej</w:t>
      </w:r>
      <w:r w:rsidR="009441AA">
        <w:rPr>
          <w:rStyle w:val="Odwoanieprzypisudolnego"/>
          <w:b/>
          <w:bCs/>
        </w:rPr>
        <w:footnoteReference w:id="71"/>
      </w:r>
      <w:r w:rsidR="00C6121A" w:rsidRPr="004F3075">
        <w:rPr>
          <w:b/>
          <w:bCs/>
        </w:rPr>
        <w:t xml:space="preserve"> lub wymagające </w:t>
      </w:r>
      <w:r w:rsidR="00C6121A">
        <w:rPr>
          <w:b/>
          <w:bCs/>
        </w:rPr>
        <w:t>zerowej lub bardzo</w:t>
      </w:r>
      <w:r w:rsidR="003C534B" w:rsidRPr="004F3075">
        <w:rPr>
          <w:b/>
          <w:bCs/>
        </w:rPr>
        <w:t xml:space="preserve"> małej ilości energii, niegenerującymi bezpośrednio na miejscu żadnych emisji </w:t>
      </w:r>
      <w:r w:rsidR="004F3075">
        <w:rPr>
          <w:b/>
          <w:bCs/>
        </w:rPr>
        <w:t>CO</w:t>
      </w:r>
      <w:r w:rsidR="004F3075" w:rsidRPr="004F3075">
        <w:rPr>
          <w:b/>
          <w:bCs/>
          <w:vertAlign w:val="subscript"/>
        </w:rPr>
        <w:t>2</w:t>
      </w:r>
      <w:r w:rsidR="003C534B" w:rsidRPr="004F3075">
        <w:rPr>
          <w:b/>
          <w:bCs/>
        </w:rPr>
        <w:t xml:space="preserve"> z paliw kopalnych i niegenerującymi żadnych operacyjnych emisji gazów cieplarnianych, lub generującymi bardzo małe ilości operacyjnych takich emisji</w:t>
      </w:r>
      <w:r w:rsidR="003C534B">
        <w:t>. Możliwe będzie to jedynie przy podłączaniu takowych budynków do efektywnych energetycznie systemów ciepłowniczych lub jeszcze szerszego wykorzystania OZE.</w:t>
      </w:r>
    </w:p>
    <w:p w14:paraId="1F1A4A60" w14:textId="77777777" w:rsidR="00095AC4" w:rsidRDefault="003C534B" w:rsidP="00095AC4">
      <w:pPr>
        <w:spacing w:after="0"/>
      </w:pPr>
      <w:r>
        <w:t xml:space="preserve">W </w:t>
      </w:r>
      <w:r w:rsidR="00DB230A">
        <w:t>celu popularyzacji</w:t>
      </w:r>
      <w:r>
        <w:t xml:space="preserve"> OZE, jako warunek podstawowy</w:t>
      </w:r>
      <w:r w:rsidR="004F3075">
        <w:t xml:space="preserve"> </w:t>
      </w:r>
      <w:r w:rsidR="007F505C">
        <w:t xml:space="preserve">wprowadzony zostanie obowiązek stosowania instalacji wykorzystujących energię słoneczną do zasilania budynków w energię </w:t>
      </w:r>
      <w:r w:rsidR="004F3075">
        <w:t>–</w:t>
      </w:r>
      <w:r>
        <w:t xml:space="preserve"> jeżeli jest to odpowiednie pod względem technicznym oraz wykonalne z ekonomicznego i</w:t>
      </w:r>
      <w:r w:rsidR="007F505C">
        <w:t xml:space="preserve"> </w:t>
      </w:r>
      <w:r w:rsidR="00C6121A">
        <w:t xml:space="preserve">technicznego </w:t>
      </w:r>
      <w:r>
        <w:t>punktu widzenia.</w:t>
      </w:r>
      <w:r w:rsidR="00C6121A">
        <w:t xml:space="preserve"> </w:t>
      </w:r>
      <w:r w:rsidR="00101743">
        <w:t>D</w:t>
      </w:r>
      <w:r w:rsidR="00C6121A">
        <w:t>yrektyw</w:t>
      </w:r>
      <w:r w:rsidR="00101743">
        <w:t>a</w:t>
      </w:r>
      <w:r w:rsidR="00C6121A">
        <w:t xml:space="preserve"> EPBD</w:t>
      </w:r>
      <w:r w:rsidR="00D8617B">
        <w:t xml:space="preserve"> </w:t>
      </w:r>
      <w:r w:rsidR="00101743">
        <w:t xml:space="preserve">określiła realizację tego obowiązku dla </w:t>
      </w:r>
      <w:r w:rsidR="00C80399">
        <w:t>różnych</w:t>
      </w:r>
      <w:r w:rsidR="00101743">
        <w:t xml:space="preserve"> typów budynków</w:t>
      </w:r>
      <w:r w:rsidR="00C80399">
        <w:t>, co przedstawia</w:t>
      </w:r>
      <w:r w:rsidR="00101743">
        <w:t xml:space="preserve"> tabela </w:t>
      </w:r>
    </w:p>
    <w:p w14:paraId="2D3BE6FE" w14:textId="041E7279" w:rsidR="003C534B" w:rsidRDefault="00101743" w:rsidP="003C534B">
      <w:r>
        <w:t>obok.</w:t>
      </w:r>
    </w:p>
    <w:p w14:paraId="12750173" w14:textId="77777777" w:rsidR="00F978EF" w:rsidRDefault="00F978EF" w:rsidP="003C534B"/>
    <w:p w14:paraId="440ABAB9" w14:textId="6F63ABE2" w:rsidR="00F3711B" w:rsidRPr="00B377B2" w:rsidRDefault="004E7253" w:rsidP="00F3711B">
      <w:pPr>
        <w:pStyle w:val="Cele"/>
      </w:pPr>
      <w:r w:rsidRPr="00D73323">
        <w:rPr>
          <w:b/>
          <w:bCs/>
        </w:rPr>
        <w:t>Cel</w:t>
      </w:r>
      <w:r w:rsidRPr="003C534B">
        <w:rPr>
          <w:b/>
          <w:bCs/>
        </w:rPr>
        <w:t>em</w:t>
      </w:r>
      <w:r>
        <w:rPr>
          <w:b/>
          <w:bCs/>
        </w:rPr>
        <w:t xml:space="preserve"> w zakresie zapotrzebowania na energię przez nowe budynki jest zapewnienie, aby od 1 stycznia 2030 r. wszystkie nowe budynki budowane w Polsce były bezemisyjne</w:t>
      </w:r>
      <w:r w:rsidRPr="004E7253">
        <w:t>, a w przypadku budynków zajmowanych przez urzędy organów publicznych od 1 stycznia 2028 r.</w:t>
      </w:r>
    </w:p>
    <w:p w14:paraId="18CA138F" w14:textId="77777777" w:rsidR="00F3711B" w:rsidRDefault="00F3711B" w:rsidP="004E7253">
      <w:pPr>
        <w:pStyle w:val="Polityka"/>
      </w:pPr>
      <w:r w:rsidRPr="00C46DAA">
        <w:t>POLITYKA</w:t>
      </w:r>
    </w:p>
    <w:p w14:paraId="40DC514B" w14:textId="0B184CEF" w:rsidR="000B7A79" w:rsidRDefault="000B7A79" w:rsidP="000B7A79">
      <w:r>
        <w:t>Mając na uwadze konieczność prowadzenia racjonalnej i efektywnej polityki mieszkaniowej, jak również nadal występujący niedobór lokali mieszkalnych, w dostępnych dla społeczeństwa cenach, podejmowane będą działania, które odciążą społeczeństwo Polski w tym obszarze.</w:t>
      </w:r>
    </w:p>
    <w:p w14:paraId="5F277A45" w14:textId="43C4AAA5" w:rsidR="000B7A79" w:rsidRDefault="000B7A79" w:rsidP="000B7A79">
      <w:r>
        <w:t xml:space="preserve">Planowanym działaniem będzie analiza/przegląd obowiązujących przepisów techniczno-budowlanych w obszarze efektywności energetycznej. W pierwszej kolejności zweryfikowane zostanie </w:t>
      </w:r>
      <w:r w:rsidRPr="000B7A79">
        <w:rPr>
          <w:b/>
          <w:bCs/>
        </w:rPr>
        <w:t>czy wymagania określone w przepisach właściwie uwzględniają poziom rozwoju techniki w sektorze budowlanym</w:t>
      </w:r>
      <w:r>
        <w:rPr>
          <w:b/>
          <w:bCs/>
        </w:rPr>
        <w:t>.</w:t>
      </w:r>
      <w:r>
        <w:t xml:space="preserve"> Niezbędne będzie określenie czy powszechnie dostępne wyroby budowlane, urządzenia oraz stosowane technologie, pozwalają spełnić wymagania stawiane w przepisach lub pozwalają te wymagania zaostrzyć. Analiza wyznaczy kierunek działań w obszarze ewentualnych działań wspierających w obszarze stosowania wysokoefektywnych rozwiązań techniczno-instalacyjnych, wyrobów budowlanych itp.</w:t>
      </w:r>
    </w:p>
    <w:p w14:paraId="088A829C" w14:textId="407EEC13" w:rsidR="000B7A79" w:rsidRDefault="000B7A79" w:rsidP="000B7A79">
      <w:r>
        <w:t>Niezbędna będzie ocena w obszarze potrzeb wsparcia rozwoju, zastosowania i upowszechnienia tych nowatorskich rozwiązań, które ze względu na swą początkową fazę istnienia, są szczególnie drogie w zastosowaniu.</w:t>
      </w:r>
    </w:p>
    <w:p w14:paraId="2B94638A" w14:textId="5AA13F7B" w:rsidR="004E7253" w:rsidRDefault="000B7A79" w:rsidP="000B7A79">
      <w:r>
        <w:t xml:space="preserve">Działania wspierające będą koncentrować się nie tylko na ewentualnych celowanych programach pomocowych, czy preferencyjnych źródłach finansowania – ale również na </w:t>
      </w:r>
      <w:r w:rsidRPr="000B7A79">
        <w:rPr>
          <w:b/>
          <w:bCs/>
        </w:rPr>
        <w:t>zwiększeniu podaży wykwalifikowanych ekspertów, dofinansowaniu prac badawczych.</w:t>
      </w:r>
    </w:p>
    <w:p w14:paraId="1A290AF4" w14:textId="77777777" w:rsidR="00F3711B" w:rsidRPr="00C46DAA" w:rsidRDefault="00F3711B" w:rsidP="004E7253">
      <w:pPr>
        <w:pStyle w:val="Polityka"/>
      </w:pPr>
      <w:r w:rsidRPr="00C46DAA">
        <w:t>DZIAŁANIA</w:t>
      </w:r>
    </w:p>
    <w:p w14:paraId="33B72579" w14:textId="5D7F9BEB" w:rsidR="00D01A98" w:rsidRDefault="00D01A98" w:rsidP="000B7A79">
      <w:pPr>
        <w:pStyle w:val="Akapitzlist"/>
        <w:numPr>
          <w:ilvl w:val="0"/>
          <w:numId w:val="6"/>
        </w:numPr>
        <w:rPr>
          <w:szCs w:val="20"/>
        </w:rPr>
      </w:pPr>
      <w:r>
        <w:rPr>
          <w:szCs w:val="20"/>
        </w:rPr>
        <w:fldChar w:fldCharType="begin"/>
      </w:r>
      <w:r>
        <w:rPr>
          <w:szCs w:val="20"/>
        </w:rPr>
        <w:instrText xml:space="preserve"> REF _Ref157420374 \h </w:instrText>
      </w:r>
      <w:r>
        <w:rPr>
          <w:szCs w:val="20"/>
        </w:rPr>
      </w:r>
      <w:r>
        <w:rPr>
          <w:szCs w:val="20"/>
        </w:rPr>
        <w:fldChar w:fldCharType="separate"/>
      </w:r>
      <w:r w:rsidR="00DD3929" w:rsidRPr="00F12C9E">
        <w:t xml:space="preserve">Działanie </w:t>
      </w:r>
      <w:r w:rsidR="00DD3929">
        <w:rPr>
          <w:noProof/>
        </w:rPr>
        <w:t>23</w:t>
      </w:r>
      <w:r w:rsidR="00DD3929" w:rsidRPr="00F12C9E">
        <w:t>. Instrument finansowy – Program Priorytetowy NFOŚiGW – „Czyste Powietrze</w:t>
      </w:r>
      <w:r w:rsidR="00DD3929">
        <w:t>”</w:t>
      </w:r>
      <w:r w:rsidR="00DD3929" w:rsidRPr="00F12C9E">
        <w:t>.</w:t>
      </w:r>
      <w:r>
        <w:rPr>
          <w:szCs w:val="20"/>
        </w:rPr>
        <w:fldChar w:fldCharType="end"/>
      </w:r>
    </w:p>
    <w:p w14:paraId="37D30EAF" w14:textId="42CEB9B1" w:rsidR="00E85928" w:rsidRDefault="00E85928" w:rsidP="000B7A79">
      <w:pPr>
        <w:pStyle w:val="Akapitzlist"/>
        <w:numPr>
          <w:ilvl w:val="0"/>
          <w:numId w:val="6"/>
        </w:numPr>
        <w:rPr>
          <w:szCs w:val="20"/>
        </w:rPr>
      </w:pPr>
      <w:r>
        <w:rPr>
          <w:szCs w:val="20"/>
        </w:rPr>
        <w:fldChar w:fldCharType="begin"/>
      </w:r>
      <w:r>
        <w:rPr>
          <w:szCs w:val="20"/>
        </w:rPr>
        <w:instrText xml:space="preserve"> REF _Ref157428491 \h </w:instrText>
      </w:r>
      <w:r>
        <w:rPr>
          <w:szCs w:val="20"/>
        </w:rPr>
      </w:r>
      <w:r>
        <w:rPr>
          <w:szCs w:val="20"/>
        </w:rPr>
        <w:fldChar w:fldCharType="separate"/>
      </w:r>
      <w:r w:rsidR="00DD3929" w:rsidRPr="00751886">
        <w:t xml:space="preserve">Działanie </w:t>
      </w:r>
      <w:r w:rsidR="00DD3929">
        <w:rPr>
          <w:noProof/>
        </w:rPr>
        <w:t>95</w:t>
      </w:r>
      <w:r w:rsidR="00DD3929" w:rsidRPr="00751886">
        <w:t xml:space="preserve">. Rozwój </w:t>
      </w:r>
      <w:r w:rsidR="00DD3929" w:rsidRPr="00661B98">
        <w:t>audytów</w:t>
      </w:r>
      <w:r w:rsidR="00DD3929" w:rsidRPr="00751886">
        <w:t xml:space="preserve"> energetycznych i systemów zarządzania energią.</w:t>
      </w:r>
      <w:r>
        <w:rPr>
          <w:szCs w:val="20"/>
        </w:rPr>
        <w:fldChar w:fldCharType="end"/>
      </w:r>
    </w:p>
    <w:p w14:paraId="71BD0470" w14:textId="71C8F574" w:rsidR="00E85928" w:rsidRDefault="00E85928" w:rsidP="000B7A79">
      <w:pPr>
        <w:pStyle w:val="Akapitzlist"/>
        <w:numPr>
          <w:ilvl w:val="0"/>
          <w:numId w:val="6"/>
        </w:numPr>
        <w:rPr>
          <w:szCs w:val="20"/>
        </w:rPr>
      </w:pPr>
      <w:r>
        <w:rPr>
          <w:szCs w:val="20"/>
        </w:rPr>
        <w:fldChar w:fldCharType="begin"/>
      </w:r>
      <w:r>
        <w:rPr>
          <w:szCs w:val="20"/>
        </w:rPr>
        <w:instrText xml:space="preserve"> REF _Ref175478253 \h </w:instrText>
      </w:r>
      <w:r>
        <w:rPr>
          <w:szCs w:val="20"/>
        </w:rPr>
      </w:r>
      <w:r>
        <w:rPr>
          <w:szCs w:val="20"/>
        </w:rPr>
        <w:fldChar w:fldCharType="separate"/>
      </w:r>
      <w:r w:rsidR="00DD3929">
        <w:t xml:space="preserve">Działanie </w:t>
      </w:r>
      <w:r w:rsidR="00DD3929">
        <w:rPr>
          <w:noProof/>
        </w:rPr>
        <w:t>103</w:t>
      </w:r>
      <w:r w:rsidR="00DD3929">
        <w:t xml:space="preserve">. </w:t>
      </w:r>
      <w:r w:rsidR="00DD3929" w:rsidRPr="0024251C">
        <w:t xml:space="preserve">System oceny energetycznej budynków </w:t>
      </w:r>
      <w:r w:rsidR="00DD3929">
        <w:t>i</w:t>
      </w:r>
      <w:r w:rsidR="00DD3929" w:rsidRPr="0024251C">
        <w:t xml:space="preserve"> systemów technicznych budynków</w:t>
      </w:r>
      <w:r w:rsidR="00DD3929">
        <w:t>.</w:t>
      </w:r>
      <w:r>
        <w:rPr>
          <w:szCs w:val="20"/>
        </w:rPr>
        <w:fldChar w:fldCharType="end"/>
      </w:r>
    </w:p>
    <w:p w14:paraId="744BA329" w14:textId="3230F3CE" w:rsidR="00583A8D" w:rsidRDefault="00E85928" w:rsidP="000B7A79">
      <w:pPr>
        <w:pStyle w:val="Akapitzlist"/>
        <w:numPr>
          <w:ilvl w:val="0"/>
          <w:numId w:val="6"/>
        </w:numPr>
        <w:rPr>
          <w:szCs w:val="20"/>
        </w:rPr>
      </w:pPr>
      <w:r>
        <w:rPr>
          <w:szCs w:val="20"/>
        </w:rPr>
        <w:fldChar w:fldCharType="begin"/>
      </w:r>
      <w:r>
        <w:rPr>
          <w:szCs w:val="20"/>
        </w:rPr>
        <w:instrText xml:space="preserve"> REF _Ref175478352 \h </w:instrText>
      </w:r>
      <w:r>
        <w:rPr>
          <w:szCs w:val="20"/>
        </w:rPr>
      </w:r>
      <w:r>
        <w:rPr>
          <w:szCs w:val="20"/>
        </w:rPr>
        <w:fldChar w:fldCharType="separate"/>
      </w:r>
      <w:r w:rsidR="00DD3929">
        <w:t xml:space="preserve">Działanie </w:t>
      </w:r>
      <w:r w:rsidR="00DD3929">
        <w:rPr>
          <w:noProof/>
        </w:rPr>
        <w:t>102</w:t>
      </w:r>
      <w:r w:rsidR="00DD3929">
        <w:t xml:space="preserve">. </w:t>
      </w:r>
      <w:r w:rsidR="00DD3929" w:rsidRPr="4D796C50">
        <w:rPr>
          <w:rFonts w:eastAsia="Lato" w:cs="Lato"/>
        </w:rPr>
        <w:t>Wdrażanie nowych standardów energetycznych stawianych nowym budynkom oraz budynkom podlegającym ważniejszym renowacjom</w:t>
      </w:r>
      <w:r w:rsidR="00DD3929" w:rsidRPr="00DE3F08">
        <w:t>.</w:t>
      </w:r>
      <w:r>
        <w:rPr>
          <w:szCs w:val="20"/>
        </w:rPr>
        <w:fldChar w:fldCharType="end"/>
      </w:r>
    </w:p>
    <w:p w14:paraId="48300803" w14:textId="2FA9EC25" w:rsidR="00971742" w:rsidRDefault="00583A8D" w:rsidP="008D58AA">
      <w:pPr>
        <w:pStyle w:val="Akapitzlist"/>
        <w:numPr>
          <w:ilvl w:val="0"/>
          <w:numId w:val="6"/>
        </w:numPr>
      </w:pPr>
      <w:r w:rsidRPr="00EE6E4B">
        <w:rPr>
          <w:szCs w:val="20"/>
        </w:rPr>
        <w:fldChar w:fldCharType="begin"/>
      </w:r>
      <w:r w:rsidRPr="00EE6E4B">
        <w:rPr>
          <w:szCs w:val="20"/>
        </w:rPr>
        <w:instrText xml:space="preserve"> REF _Ref175481244 \h </w:instrText>
      </w:r>
      <w:r w:rsidRPr="00EE6E4B">
        <w:rPr>
          <w:szCs w:val="20"/>
        </w:rPr>
      </w:r>
      <w:r w:rsidRPr="00EE6E4B">
        <w:rPr>
          <w:szCs w:val="20"/>
        </w:rPr>
        <w:fldChar w:fldCharType="separate"/>
      </w:r>
      <w:r w:rsidR="00DD3929">
        <w:t xml:space="preserve">Działanie </w:t>
      </w:r>
      <w:r w:rsidR="00DD3929">
        <w:rPr>
          <w:noProof/>
        </w:rPr>
        <w:t>10</w:t>
      </w:r>
      <w:r w:rsidR="00DD3929">
        <w:t xml:space="preserve">. </w:t>
      </w:r>
      <w:r w:rsidR="00DD3929" w:rsidRPr="00F26E84">
        <w:t>Wprowadzenie wymogów w zakresie stosowania energii słonecznej</w:t>
      </w:r>
      <w:r w:rsidR="00DD3929">
        <w:t xml:space="preserve"> w budynkach.</w:t>
      </w:r>
      <w:r w:rsidRPr="00EE6E4B">
        <w:rPr>
          <w:szCs w:val="20"/>
        </w:rPr>
        <w:fldChar w:fldCharType="end"/>
      </w:r>
    </w:p>
    <w:p w14:paraId="7C5BA0E6" w14:textId="4D8BC607" w:rsidR="00F3711B" w:rsidRDefault="00F3711B" w:rsidP="007F22F4">
      <w:pPr>
        <w:sectPr w:rsidR="00F3711B" w:rsidSect="005209BA">
          <w:pgSz w:w="11906" w:h="16838"/>
          <w:pgMar w:top="1417" w:right="1417" w:bottom="1417" w:left="1417" w:header="708" w:footer="708" w:gutter="0"/>
          <w:cols w:space="708"/>
          <w:docGrid w:linePitch="360"/>
        </w:sectPr>
      </w:pPr>
    </w:p>
    <w:p w14:paraId="352E0DC3" w14:textId="5D3D9B5A" w:rsidR="00691EA7" w:rsidRDefault="00CC2A63" w:rsidP="00CC2A63">
      <w:pPr>
        <w:pStyle w:val="Nagwek2"/>
      </w:pPr>
      <w:bookmarkStart w:id="144" w:name="_Toc159598311"/>
      <w:bookmarkStart w:id="145" w:name="_Toc179536962"/>
      <w:r>
        <w:rPr>
          <w:noProof/>
        </w:rPr>
        <w:drawing>
          <wp:anchor distT="0" distB="0" distL="114300" distR="114300" simplePos="0" relativeHeight="251661824" behindDoc="0" locked="0" layoutInCell="1" allowOverlap="1" wp14:anchorId="08F4BBBE" wp14:editId="075A6D30">
            <wp:simplePos x="0" y="0"/>
            <wp:positionH relativeFrom="margin">
              <wp:posOffset>-617220</wp:posOffset>
            </wp:positionH>
            <wp:positionV relativeFrom="paragraph">
              <wp:posOffset>-591276</wp:posOffset>
            </wp:positionV>
            <wp:extent cx="6982460" cy="4034256"/>
            <wp:effectExtent l="0" t="0" r="8890" b="4445"/>
            <wp:wrapNone/>
            <wp:docPr id="1339311388" name="Obraz 6" descr="Obraz zawierający rura, maszyna, przemysł, stal&#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9311388" name="Obraz 6" descr="Obraz zawierający rura, maszyna, przemysł, stal&#10;&#10;Opis wygenerowany automatycznie"/>
                    <pic:cNvPicPr>
                      <a:picLocks noChangeAspect="1" noChangeArrowheads="1"/>
                    </pic:cNvPicPr>
                  </pic:nvPicPr>
                  <pic:blipFill rotWithShape="1">
                    <a:blip r:embed="rId73" cstate="print">
                      <a:extLst>
                        <a:ext uri="{28A0092B-C50C-407E-A947-70E740481C1C}">
                          <a14:useLocalDpi xmlns:a14="http://schemas.microsoft.com/office/drawing/2010/main" val="0"/>
                        </a:ext>
                      </a:extLst>
                    </a:blip>
                    <a:srcRect/>
                    <a:stretch/>
                  </pic:blipFill>
                  <pic:spPr bwMode="auto">
                    <a:xfrm>
                      <a:off x="0" y="0"/>
                      <a:ext cx="6982460" cy="4034256"/>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91EA7">
        <w:t>Bezpieczeństwo energetyczne</w:t>
      </w:r>
      <w:bookmarkEnd w:id="144"/>
      <w:bookmarkEnd w:id="145"/>
    </w:p>
    <w:p w14:paraId="1F241408" w14:textId="77777777" w:rsidR="00DC3D34" w:rsidRDefault="00DC3D34" w:rsidP="007F22F4"/>
    <w:p w14:paraId="0104E78C" w14:textId="64FB5F41" w:rsidR="00DC3D34" w:rsidRDefault="00DC3D34" w:rsidP="007F22F4"/>
    <w:p w14:paraId="37DF48D3" w14:textId="77777777" w:rsidR="00DC3D34" w:rsidRDefault="00DC3D34" w:rsidP="007F22F4"/>
    <w:p w14:paraId="0256C5EF" w14:textId="77777777" w:rsidR="00DC3D34" w:rsidRDefault="00DC3D34" w:rsidP="007F22F4"/>
    <w:p w14:paraId="0FD67D2B" w14:textId="77777777" w:rsidR="00DC3D34" w:rsidRDefault="00DC3D34" w:rsidP="007F22F4"/>
    <w:p w14:paraId="554E0597" w14:textId="77777777" w:rsidR="00DC3D34" w:rsidRDefault="00DC3D34" w:rsidP="007F22F4"/>
    <w:p w14:paraId="0A395BEB" w14:textId="77777777" w:rsidR="00DC3D34" w:rsidRDefault="00DC3D34" w:rsidP="007F22F4"/>
    <w:p w14:paraId="5B6C384E" w14:textId="77777777" w:rsidR="00DC3D34" w:rsidRDefault="00DC3D34" w:rsidP="007F22F4"/>
    <w:p w14:paraId="105EA0C5" w14:textId="77777777" w:rsidR="00DC3D34" w:rsidRDefault="00DC3D34" w:rsidP="007F22F4"/>
    <w:p w14:paraId="52ABBF29" w14:textId="77777777" w:rsidR="00DC3D34" w:rsidRDefault="00DC3D34" w:rsidP="007F22F4"/>
    <w:p w14:paraId="7AA1C3D1" w14:textId="2F9DED0F" w:rsidR="00DC3D34" w:rsidRDefault="00C342F2" w:rsidP="007F22F4">
      <w:r>
        <w:rPr>
          <w:noProof/>
        </w:rPr>
        <mc:AlternateContent>
          <mc:Choice Requires="wps">
            <w:drawing>
              <wp:anchor distT="0" distB="0" distL="114300" distR="114300" simplePos="0" relativeHeight="251622400" behindDoc="0" locked="0" layoutInCell="1" allowOverlap="1" wp14:anchorId="2932509F" wp14:editId="3275AD34">
                <wp:simplePos x="0" y="0"/>
                <wp:positionH relativeFrom="margin">
                  <wp:posOffset>-614045</wp:posOffset>
                </wp:positionH>
                <wp:positionV relativeFrom="paragraph">
                  <wp:posOffset>267426</wp:posOffset>
                </wp:positionV>
                <wp:extent cx="7019925" cy="1644015"/>
                <wp:effectExtent l="0" t="0" r="9525" b="0"/>
                <wp:wrapNone/>
                <wp:docPr id="1997746350" name="Prostokąt 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019925" cy="1644015"/>
                        </a:xfrm>
                        <a:prstGeom prst="rect">
                          <a:avLst/>
                        </a:prstGeom>
                        <a:solidFill>
                          <a:srgbClr val="C00000">
                            <a:alpha val="80000"/>
                          </a:srgbClr>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50EBE538" w14:textId="3229BFB8" w:rsidR="00CC2A63" w:rsidRPr="00B6117F" w:rsidRDefault="00924DDE" w:rsidP="009110E8">
                            <w:pPr>
                              <w:spacing w:after="0"/>
                              <w:ind w:left="851"/>
                              <w:jc w:val="left"/>
                              <w:rPr>
                                <w:rFonts w:ascii="Bahnschrift" w:hAnsi="Bahnschrift"/>
                                <w:color w:val="FFFFFF" w:themeColor="light1"/>
                                <w:kern w:val="24"/>
                                <w:sz w:val="64"/>
                                <w:szCs w:val="64"/>
                              </w:rPr>
                            </w:pPr>
                            <w:r>
                              <w:rPr>
                                <w:rFonts w:ascii="Bahnschrift" w:hAnsi="Bahnschrift"/>
                                <w:color w:val="FFFFFF" w:themeColor="light1"/>
                                <w:kern w:val="24"/>
                                <w:sz w:val="56"/>
                                <w:szCs w:val="56"/>
                              </w:rPr>
                              <w:t>W</w:t>
                            </w:r>
                            <w:r w:rsidR="00CC2A63">
                              <w:rPr>
                                <w:rFonts w:ascii="Bahnschrift" w:hAnsi="Bahnschrift"/>
                                <w:color w:val="FFFFFF" w:themeColor="light1"/>
                                <w:kern w:val="24"/>
                                <w:sz w:val="56"/>
                                <w:szCs w:val="56"/>
                              </w:rPr>
                              <w:t>ymiar</w:t>
                            </w:r>
                            <w:r>
                              <w:rPr>
                                <w:rFonts w:ascii="Bahnschrift" w:hAnsi="Bahnschrift"/>
                                <w:color w:val="FFFFFF" w:themeColor="light1"/>
                                <w:kern w:val="24"/>
                                <w:sz w:val="56"/>
                                <w:szCs w:val="56"/>
                              </w:rPr>
                              <w:t xml:space="preserve"> 3</w:t>
                            </w:r>
                            <w:r w:rsidR="00431806">
                              <w:rPr>
                                <w:rFonts w:ascii="Bahnschrift" w:hAnsi="Bahnschrift"/>
                                <w:color w:val="FFFFFF" w:themeColor="light1"/>
                                <w:kern w:val="24"/>
                                <w:sz w:val="56"/>
                                <w:szCs w:val="56"/>
                              </w:rPr>
                              <w:t>.</w:t>
                            </w:r>
                            <w:r w:rsidR="00CC2A63">
                              <w:rPr>
                                <w:rFonts w:ascii="Bahnschrift" w:hAnsi="Bahnschrift"/>
                                <w:color w:val="FFFFFF" w:themeColor="light1"/>
                                <w:kern w:val="24"/>
                                <w:sz w:val="56"/>
                                <w:szCs w:val="56"/>
                              </w:rPr>
                              <w:t xml:space="preserve"> </w:t>
                            </w:r>
                            <w:r w:rsidR="00CC2A63">
                              <w:rPr>
                                <w:rFonts w:ascii="Bahnschrift" w:hAnsi="Bahnschrift"/>
                                <w:color w:val="FFFFFF" w:themeColor="light1"/>
                                <w:kern w:val="24"/>
                                <w:sz w:val="72"/>
                                <w:szCs w:val="72"/>
                              </w:rPr>
                              <w:br/>
                            </w:r>
                            <w:r w:rsidR="00CC2A63">
                              <w:rPr>
                                <w:rFonts w:ascii="Bahnschrift" w:hAnsi="Bahnschrift"/>
                                <w:color w:val="FFFFFF" w:themeColor="light1"/>
                                <w:kern w:val="24"/>
                                <w:sz w:val="64"/>
                                <w:szCs w:val="64"/>
                              </w:rPr>
                              <w:t>Bezpieczeństwo energetyczne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2932509F" id="Prostokąt 43" o:spid="_x0000_s1098" style="position:absolute;left:0;text-align:left;margin-left:-48.35pt;margin-top:21.05pt;width:552.75pt;height:129.45pt;z-index:2516224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" fillcolor="#c00000" stroked="f" strokeweight="1pt">
                <v:fill opacity="52428f"/>
                <v:textbox>
                  <w:txbxContent>
                    <w:p w14:paraId="50EBE538" w14:textId="3229BFB8" w:rsidR="00CC2A63" w:rsidRPr="00B6117F" w:rsidRDefault="00924DDE" w:rsidP="009110E8">
                      <w:pPr>
                        <w:spacing w:after="0"/>
                        <w:ind w:left="851"/>
                        <w:jc w:val="left"/>
                        <w:rPr>
                          <w:rFonts w:ascii="Bahnschrift" w:hAnsi="Bahnschrift"/>
                          <w:color w:val="FFFFFF" w:themeColor="light1"/>
                          <w:kern w:val="24"/>
                          <w:sz w:val="64"/>
                          <w:szCs w:val="64"/>
                        </w:rPr>
                      </w:pPr>
                      <w:r>
                        <w:rPr>
                          <w:rFonts w:ascii="Bahnschrift" w:hAnsi="Bahnschrift"/>
                          <w:color w:val="FFFFFF" w:themeColor="light1"/>
                          <w:kern w:val="24"/>
                          <w:sz w:val="56"/>
                          <w:szCs w:val="56"/>
                        </w:rPr>
                        <w:t>W</w:t>
                      </w:r>
                      <w:r w:rsidR="00CC2A63">
                        <w:rPr>
                          <w:rFonts w:ascii="Bahnschrift" w:hAnsi="Bahnschrift"/>
                          <w:color w:val="FFFFFF" w:themeColor="light1"/>
                          <w:kern w:val="24"/>
                          <w:sz w:val="56"/>
                          <w:szCs w:val="56"/>
                        </w:rPr>
                        <w:t>ymiar</w:t>
                      </w:r>
                      <w:r>
                        <w:rPr>
                          <w:rFonts w:ascii="Bahnschrift" w:hAnsi="Bahnschrift"/>
                          <w:color w:val="FFFFFF" w:themeColor="light1"/>
                          <w:kern w:val="24"/>
                          <w:sz w:val="56"/>
                          <w:szCs w:val="56"/>
                        </w:rPr>
                        <w:t xml:space="preserve"> 3</w:t>
                      </w:r>
                      <w:r w:rsidR="00431806">
                        <w:rPr>
                          <w:rFonts w:ascii="Bahnschrift" w:hAnsi="Bahnschrift"/>
                          <w:color w:val="FFFFFF" w:themeColor="light1"/>
                          <w:kern w:val="24"/>
                          <w:sz w:val="56"/>
                          <w:szCs w:val="56"/>
                        </w:rPr>
                        <w:t>.</w:t>
                      </w:r>
                      <w:r w:rsidR="00CC2A63">
                        <w:rPr>
                          <w:rFonts w:ascii="Bahnschrift" w:hAnsi="Bahnschrift"/>
                          <w:color w:val="FFFFFF" w:themeColor="light1"/>
                          <w:kern w:val="24"/>
                          <w:sz w:val="56"/>
                          <w:szCs w:val="56"/>
                        </w:rPr>
                        <w:t xml:space="preserve"> </w:t>
                      </w:r>
                      <w:r w:rsidR="00CC2A63">
                        <w:rPr>
                          <w:rFonts w:ascii="Bahnschrift" w:hAnsi="Bahnschrift"/>
                          <w:color w:val="FFFFFF" w:themeColor="light1"/>
                          <w:kern w:val="24"/>
                          <w:sz w:val="72"/>
                          <w:szCs w:val="72"/>
                        </w:rPr>
                        <w:br/>
                      </w:r>
                      <w:r w:rsidR="00CC2A63">
                        <w:rPr>
                          <w:rFonts w:ascii="Bahnschrift" w:hAnsi="Bahnschrift"/>
                          <w:color w:val="FFFFFF" w:themeColor="light1"/>
                          <w:kern w:val="24"/>
                          <w:sz w:val="64"/>
                          <w:szCs w:val="64"/>
                        </w:rPr>
                        <w:t>Bezpieczeństwo energetyczne</w:t>
                      </w:r>
                    </w:p>
                  </w:txbxContent>
                </v:textbox>
                <w10:wrap anchorx="margin"/>
              </v:rect>
            </w:pict>
          </mc:Fallback>
        </mc:AlternateContent>
      </w:r>
    </w:p>
    <w:p w14:paraId="0AEC3847" w14:textId="5F573520" w:rsidR="00CC2A63" w:rsidRDefault="00CC2A63" w:rsidP="007F22F4"/>
    <w:p w14:paraId="2CBB7FAD" w14:textId="1A039CB1" w:rsidR="00CC2A63" w:rsidRDefault="00CC2A63" w:rsidP="007F22F4"/>
    <w:p w14:paraId="04C08BF4" w14:textId="52E99E7A" w:rsidR="00CC2A63" w:rsidRDefault="00CC2A63" w:rsidP="007F22F4"/>
    <w:p w14:paraId="61349A94" w14:textId="17341115" w:rsidR="00CC2A63" w:rsidRDefault="00CC2A63" w:rsidP="007F22F4"/>
    <w:p w14:paraId="3C616D61" w14:textId="370E8D17" w:rsidR="00CC2A63" w:rsidRDefault="00CC2A63" w:rsidP="007F22F4"/>
    <w:p w14:paraId="3FEF1891" w14:textId="332E41EE" w:rsidR="00DC3D34" w:rsidRDefault="00DC3D34" w:rsidP="007F22F4"/>
    <w:p w14:paraId="609739D1" w14:textId="296D79A1" w:rsidR="00564F99" w:rsidRDefault="00173360" w:rsidP="00C342F2">
      <w:pPr>
        <w:spacing w:before="360"/>
      </w:pPr>
      <w:r>
        <w:t>Dost</w:t>
      </w:r>
      <w:r w:rsidR="009C52A3">
        <w:t>ęp do</w:t>
      </w:r>
      <w:r>
        <w:t xml:space="preserve"> energii </w:t>
      </w:r>
      <w:r w:rsidR="009C52A3">
        <w:t>warunkuje funkcjonowanie gospodar</w:t>
      </w:r>
      <w:r w:rsidR="009A1852">
        <w:t>ki</w:t>
      </w:r>
      <w:r w:rsidR="009C52A3">
        <w:t xml:space="preserve">, w tym pokrywanie podstawowych potrzeb ludzkich. Dlatego </w:t>
      </w:r>
      <w:r w:rsidR="009C52A3" w:rsidRPr="009C52A3">
        <w:rPr>
          <w:b/>
          <w:bCs/>
        </w:rPr>
        <w:t>bezpieczeństwo energetyczne</w:t>
      </w:r>
      <w:r w:rsidR="009C52A3">
        <w:t xml:space="preserve"> jest </w:t>
      </w:r>
      <w:r w:rsidR="009C52A3" w:rsidRPr="009C52A3">
        <w:rPr>
          <w:b/>
          <w:bCs/>
        </w:rPr>
        <w:t>trzecim wymiarem unii energetycznej</w:t>
      </w:r>
      <w:r w:rsidR="009C52A3">
        <w:t>, a</w:t>
      </w:r>
      <w:r w:rsidR="00ED0C69">
        <w:t> </w:t>
      </w:r>
      <w:r w:rsidR="009C52A3">
        <w:t>jednocześnie stanowi warunek w</w:t>
      </w:r>
      <w:r w:rsidR="00BC084E">
        <w:t>y</w:t>
      </w:r>
      <w:r w:rsidR="009C52A3">
        <w:t>jściowy</w:t>
      </w:r>
      <w:r w:rsidR="009A1852">
        <w:t xml:space="preserve"> </w:t>
      </w:r>
      <w:r w:rsidR="009C52A3">
        <w:t>realizacji wszystkich celów</w:t>
      </w:r>
      <w:r w:rsidR="00ED0C69">
        <w:t xml:space="preserve"> w zakresie transformacji energetycznej</w:t>
      </w:r>
      <w:r w:rsidR="009C52A3">
        <w:t xml:space="preserve">. </w:t>
      </w:r>
      <w:r w:rsidR="00060C25">
        <w:t xml:space="preserve">Z krajowej perspektywy bezpieczeństwo energetyczne ma priorytetowy charakter, a wzmacnianie suwerenności energetycznej stało się kluczowe w obliczu skutków kryzysu wywołanego wojną na Ukrainie. </w:t>
      </w:r>
      <w:r w:rsidR="00564F99">
        <w:t>Zagwarantowanie pewnych dostaw paliw i</w:t>
      </w:r>
      <w:r w:rsidR="009A1852">
        <w:t> </w:t>
      </w:r>
      <w:r w:rsidR="00564F99">
        <w:t>energii – jak w uproszczeniu można nazwać bezpieczeństwo energetyczne – wymaga, by z</w:t>
      </w:r>
      <w:r>
        <w:t>miany w</w:t>
      </w:r>
      <w:r w:rsidR="009A1852">
        <w:t> </w:t>
      </w:r>
      <w:r>
        <w:t>sektorze energetycznym</w:t>
      </w:r>
      <w:r w:rsidR="00564F99">
        <w:t xml:space="preserve"> zachodziły w sposób </w:t>
      </w:r>
      <w:r w:rsidR="00C61F47">
        <w:t>zaplanowany</w:t>
      </w:r>
      <w:r w:rsidR="00564F99">
        <w:t>, dlatego powinny opierać się na określonych założeniach i</w:t>
      </w:r>
      <w:r w:rsidR="008E4324">
        <w:t xml:space="preserve"> </w:t>
      </w:r>
      <w:r w:rsidR="00564F99">
        <w:t>celach</w:t>
      </w:r>
      <w:r w:rsidR="009A1852">
        <w:t>. Choć dążenie do</w:t>
      </w:r>
      <w:r w:rsidR="00060C25">
        <w:t> </w:t>
      </w:r>
      <w:r w:rsidR="009A1852">
        <w:t>neutralności klimatycznej wiąże się z odchodzeniem od paliw kopalnych, niezbędne jest zagwarantowanie bezpieczeństwa dostaw tych surowców do gospodarki i odbiorców</w:t>
      </w:r>
      <w:r w:rsidR="00024489">
        <w:t xml:space="preserve"> w okresie przejściowym. </w:t>
      </w:r>
      <w:r w:rsidR="00C61F47">
        <w:t>Docelowo</w:t>
      </w:r>
      <w:r w:rsidR="00024489">
        <w:t xml:space="preserve"> technologie zeroemisyjne i magazynowanie energii </w:t>
      </w:r>
      <w:r w:rsidR="00C61F47">
        <w:t>powinny być</w:t>
      </w:r>
      <w:r w:rsidR="00024489">
        <w:t xml:space="preserve"> na tyle rozwinięte, aby </w:t>
      </w:r>
      <w:r w:rsidR="00CF4501">
        <w:t>w sposób pewny i</w:t>
      </w:r>
      <w:r w:rsidR="00C61F47">
        <w:t> </w:t>
      </w:r>
      <w:r w:rsidR="00CF4501">
        <w:t xml:space="preserve">po akceptowalnym koszcie </w:t>
      </w:r>
      <w:r w:rsidR="00024489">
        <w:t>pokrywa</w:t>
      </w:r>
      <w:r w:rsidR="00CF4501">
        <w:t>ły</w:t>
      </w:r>
      <w:r w:rsidR="00024489">
        <w:t xml:space="preserve"> zapotrzebowanie </w:t>
      </w:r>
      <w:r w:rsidR="00952815">
        <w:t xml:space="preserve">na </w:t>
      </w:r>
      <w:r w:rsidR="00024489">
        <w:t>energię w</w:t>
      </w:r>
      <w:r w:rsidR="00952815">
        <w:t> </w:t>
      </w:r>
      <w:r w:rsidR="00024489">
        <w:t>transporcie; na energię elektryczną w</w:t>
      </w:r>
      <w:r w:rsidR="00C61F47">
        <w:t> </w:t>
      </w:r>
      <w:r w:rsidR="00024489">
        <w:t>systemie nasyconym</w:t>
      </w:r>
      <w:r w:rsidR="00C61F47">
        <w:t xml:space="preserve"> źródłami</w:t>
      </w:r>
      <w:r w:rsidR="00024489">
        <w:t xml:space="preserve"> odnawialnymi zależnymi od</w:t>
      </w:r>
      <w:r w:rsidR="00060C25">
        <w:t> </w:t>
      </w:r>
      <w:r w:rsidR="00024489">
        <w:t>warunków atmosferycznych</w:t>
      </w:r>
      <w:r w:rsidR="00CF4501">
        <w:t>;</w:t>
      </w:r>
      <w:r w:rsidR="00024489">
        <w:t xml:space="preserve"> </w:t>
      </w:r>
      <w:r w:rsidR="00CF4501">
        <w:t xml:space="preserve">zapewniały </w:t>
      </w:r>
      <w:r w:rsidR="00024489">
        <w:t xml:space="preserve">komfort cieplny </w:t>
      </w:r>
      <w:r w:rsidR="00CF4501">
        <w:t>w budynkach, a także by przedsiębiorstwa wytwarzały produkty i usługi w oparciu o czystą</w:t>
      </w:r>
      <w:r w:rsidR="00952815">
        <w:t xml:space="preserve"> i zawsze </w:t>
      </w:r>
      <w:r w:rsidR="00CF4501">
        <w:t xml:space="preserve">dostępną energię. </w:t>
      </w:r>
    </w:p>
    <w:p w14:paraId="392D4F46" w14:textId="67DFE7C2" w:rsidR="007F22F4" w:rsidRDefault="00471A6A" w:rsidP="007F22F4">
      <w:r>
        <w:t xml:space="preserve">W tej części </w:t>
      </w:r>
      <w:r w:rsidR="00C61F47">
        <w:t>a</w:t>
      </w:r>
      <w:r>
        <w:t xml:space="preserve">KPEiK </w:t>
      </w:r>
      <w:r w:rsidRPr="003772B3">
        <w:t xml:space="preserve">ujęto </w:t>
      </w:r>
      <w:r>
        <w:t xml:space="preserve">założenia i cele </w:t>
      </w:r>
      <w:r w:rsidRPr="003772B3">
        <w:t>związane z</w:t>
      </w:r>
      <w:r>
        <w:t xml:space="preserve"> </w:t>
      </w:r>
      <w:r w:rsidR="00C342F2">
        <w:t xml:space="preserve">suwerennością energetyczną oraz dostępem do surowców krytycznych, </w:t>
      </w:r>
      <w:r>
        <w:t xml:space="preserve">pewnością pokrycia zapotrzebowania na </w:t>
      </w:r>
      <w:r w:rsidRPr="00471A6A">
        <w:rPr>
          <w:b/>
          <w:bCs/>
        </w:rPr>
        <w:t>gaz ziemny, na ropę naftową i paliwa ciekłe</w:t>
      </w:r>
      <w:r>
        <w:t xml:space="preserve">; następnie określono kwestie związane z pokryciem zapotrzebowania na </w:t>
      </w:r>
      <w:r w:rsidRPr="00471A6A">
        <w:rPr>
          <w:b/>
          <w:bCs/>
        </w:rPr>
        <w:t>węgiel</w:t>
      </w:r>
      <w:r>
        <w:t>, a</w:t>
      </w:r>
      <w:r w:rsidR="00EE3BB8">
        <w:t xml:space="preserve"> także zapotrzebowanie na paliwo jądrowe oraz wodór i jego pochodne</w:t>
      </w:r>
      <w:r w:rsidR="00023909">
        <w:t xml:space="preserve"> chemiczne</w:t>
      </w:r>
      <w:r w:rsidR="00EE3BB8">
        <w:t>. D</w:t>
      </w:r>
      <w:r w:rsidR="00C61F47">
        <w:t>alszym</w:t>
      </w:r>
      <w:r>
        <w:t xml:space="preserve"> obszarem tego wymiaru jest pewność pokrycia zapotrzebowania na </w:t>
      </w:r>
      <w:r w:rsidRPr="00471A6A">
        <w:rPr>
          <w:b/>
          <w:bCs/>
        </w:rPr>
        <w:t>energię elektryczną</w:t>
      </w:r>
      <w:r>
        <w:t xml:space="preserve">. </w:t>
      </w:r>
      <w:r w:rsidR="00C61F47">
        <w:t>Zagadnienia są uszeregowane bez priorytetyzacji.</w:t>
      </w:r>
      <w:r w:rsidR="007F22F4">
        <w:br w:type="page"/>
      </w:r>
    </w:p>
    <w:p w14:paraId="282B3473" w14:textId="02A9A2E6" w:rsidR="0034179E" w:rsidRDefault="0034179E" w:rsidP="0034179E">
      <w:pPr>
        <w:pStyle w:val="Nagwek3"/>
        <w:rPr>
          <w:color w:val="C00000"/>
        </w:rPr>
      </w:pPr>
      <w:bookmarkStart w:id="146" w:name="_Toc159598312"/>
      <w:bookmarkStart w:id="147" w:name="_Toc179536963"/>
      <w:r>
        <w:rPr>
          <w:color w:val="C00000"/>
        </w:rPr>
        <w:t>Zapewnienie bezpieczeństwa energetycznego – cel ogólny</w:t>
      </w:r>
      <w:bookmarkEnd w:id="146"/>
      <w:bookmarkEnd w:id="147"/>
      <w:r>
        <w:rPr>
          <w:color w:val="C00000"/>
        </w:rPr>
        <w:t xml:space="preserve"> </w:t>
      </w:r>
    </w:p>
    <w:p w14:paraId="1C87FA98" w14:textId="77777777" w:rsidR="0034179E" w:rsidRDefault="0034179E" w:rsidP="0034179E">
      <w:r>
        <w:rPr>
          <w:noProof/>
        </w:rPr>
        <mc:AlternateContent>
          <mc:Choice Requires="wps">
            <w:drawing>
              <wp:anchor distT="0" distB="0" distL="114300" distR="114300" simplePos="0" relativeHeight="251744256" behindDoc="1" locked="0" layoutInCell="1" allowOverlap="1" wp14:anchorId="0B48EF3F" wp14:editId="080EFBA3">
                <wp:simplePos x="0" y="0"/>
                <wp:positionH relativeFrom="margin">
                  <wp:posOffset>2821305</wp:posOffset>
                </wp:positionH>
                <wp:positionV relativeFrom="paragraph">
                  <wp:posOffset>58420</wp:posOffset>
                </wp:positionV>
                <wp:extent cx="2839720" cy="1486535"/>
                <wp:effectExtent l="19050" t="57150" r="113030" b="68580"/>
                <wp:wrapSquare wrapText="bothSides"/>
                <wp:docPr id="1677976397" name="Prostokąt: zaokrąglone rogi 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839720" cy="1486535"/>
                        </a:xfrm>
                        <a:prstGeom prst="roundRect">
                          <a:avLst>
                            <a:gd name="adj" fmla="val 11857"/>
                          </a:avLst>
                        </a:prstGeom>
                        <a:solidFill>
                          <a:schemeClr val="bg1"/>
                        </a:solidFill>
                        <a:ln w="6350">
                          <a:solidFill>
                            <a:srgbClr val="C00000"/>
                          </a:solidFill>
                        </a:ln>
                        <a:effectLst>
                          <a:outerShdw blurRad="50800" dist="38100" algn="l"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txbx>
                        <w:txbxContent>
                          <w:p w14:paraId="3B5E3530" w14:textId="77777777" w:rsidR="0034179E" w:rsidRPr="004E21CF" w:rsidRDefault="0034179E" w:rsidP="0034179E">
                            <w:pPr>
                              <w:pStyle w:val="Ramka"/>
                            </w:pPr>
                            <w:r>
                              <w:t xml:space="preserve">Z praktycznego punktu widzenia, od strony łańcucha dostaw – </w:t>
                            </w:r>
                            <w:r w:rsidRPr="00564F99">
                              <w:rPr>
                                <w:i/>
                                <w:iCs/>
                              </w:rPr>
                              <w:t>bezpieczeństwo energetyczne</w:t>
                            </w:r>
                            <w:r>
                              <w:t xml:space="preserve"> to pewność pokrycia zapotrzebowania na surowce energetyczne (zasobami krajowymi lub importowanymi) dla gospodarki; pewność transportu i dystrybucji tych surowców oraz paliw; następnie pewność produkcji energii elektrycznej i ciepła, a także ich przesył i dystrybucja do odbiorów końcowych.</w:t>
                            </w:r>
                          </w:p>
                        </w:txbxContent>
                      </wps:txbx>
                      <wps:bodyPr rot="0" spcFirstLastPara="0" vertOverflow="overflow" horzOverflow="overflow" vert="horz" wrap="square" lIns="72000" tIns="90000" rIns="72000" bIns="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0B48EF3F" id="Prostokąt: zaokrąglone rogi 42" o:spid="_x0000_s1099" style="position:absolute;left:0;text-align:left;margin-left:222.15pt;margin-top:4.6pt;width:223.6pt;height:117.05pt;z-index:-2515722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777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" fillcolor="white [3212]" strokecolor="#c00000" strokeweight=".5pt">
                <v:stroke joinstyle="miter"/>
                <v:shadow on="t" color="black" opacity="26214f" origin="-.5" offset="3pt,0"/>
                <v:path arrowok="t"/>
                <v:textbox style="mso-fit-shape-to-text:t" inset="2mm,2.5mm,2mm,0">
                  <w:txbxContent>
                    <w:p w14:paraId="3B5E3530" w14:textId="77777777" w:rsidR="0034179E" w:rsidRPr="004E21CF" w:rsidRDefault="0034179E" w:rsidP="0034179E">
                      <w:pPr>
                        <w:pStyle w:val="Ramka"/>
                      </w:pPr>
                      <w:r>
                        <w:t xml:space="preserve">Z praktycznego punktu widzenia, od strony łańcucha dostaw – </w:t>
                      </w:r>
                      <w:r w:rsidRPr="00564F99">
                        <w:rPr>
                          <w:i/>
                          <w:iCs/>
                        </w:rPr>
                        <w:t>bezpieczeństwo energetyczne</w:t>
                      </w:r>
                      <w:r>
                        <w:t xml:space="preserve"> to pewność pokrycia zapotrzebowania na surowce energetyczne (zasobami krajowymi lub importowanymi) dla gospodarki; pewność transportu i dystrybucji tych surowców oraz paliw; następnie pewność produkcji energii elektrycznej i ciepła, a także ich przesył i dystrybucja do odbiorów końcowych.</w:t>
                      </w:r>
                    </w:p>
                  </w:txbxContent>
                </v:textbox>
                <w10:wrap type="square" anchorx="margin"/>
              </v:roundrect>
            </w:pict>
          </mc:Fallback>
        </mc:AlternateContent>
      </w:r>
      <w:r>
        <w:t xml:space="preserve">W ujęciu prawnym </w:t>
      </w:r>
      <w:r w:rsidRPr="00564F99">
        <w:rPr>
          <w:i/>
          <w:iCs/>
        </w:rPr>
        <w:t>bezpieczeństwo energetyczne</w:t>
      </w:r>
      <w:r>
        <w:t xml:space="preserve"> to </w:t>
      </w:r>
      <w:r w:rsidRPr="00471A6A">
        <w:t>stan gospodarki umożliwiający pokrycie bieżącego i</w:t>
      </w:r>
      <w:r>
        <w:t xml:space="preserve"> </w:t>
      </w:r>
      <w:r w:rsidRPr="00471A6A">
        <w:t>perspektywicznego</w:t>
      </w:r>
      <w:r>
        <w:t xml:space="preserve"> </w:t>
      </w:r>
      <w:r w:rsidRPr="00471A6A">
        <w:t>zapotrzebowania odbiorców na paliwa i energię</w:t>
      </w:r>
      <w:r>
        <w:t xml:space="preserve"> </w:t>
      </w:r>
      <w:r w:rsidRPr="00471A6A">
        <w:t>w sposób technicznie i ekonomicznie uzasadniony, przy zachowaniu wymagań ochrony środowiska</w:t>
      </w:r>
      <w:r>
        <w:rPr>
          <w:rStyle w:val="Odwoanieprzypisudolnego"/>
        </w:rPr>
        <w:footnoteReference w:id="72"/>
      </w:r>
      <w:r>
        <w:t xml:space="preserve">. </w:t>
      </w:r>
    </w:p>
    <w:p w14:paraId="27A55264" w14:textId="77777777" w:rsidR="0034179E" w:rsidRDefault="0034179E" w:rsidP="0034179E">
      <w:r>
        <w:t>W tej części określono ogólny cel w zakresie bezpieczeństwa energetycznego, będący wynikiem realizacji celów określonych w odniesieniu do poszczególnych segmentów sektora paliwowo-energetycznego, które określono w kolejnych obszarach wymiaru 3.</w:t>
      </w:r>
    </w:p>
    <w:p w14:paraId="0C569083" w14:textId="77777777" w:rsidR="0034179E" w:rsidRPr="003F0371" w:rsidRDefault="0034179E" w:rsidP="0034179E">
      <w:pPr>
        <w:pStyle w:val="Nagwek4"/>
        <w:rPr>
          <w:color w:val="C00000"/>
        </w:rPr>
      </w:pPr>
      <w:bookmarkStart w:id="148" w:name="_Toc159598313"/>
      <w:bookmarkStart w:id="149" w:name="_Toc179536964"/>
      <w:r w:rsidRPr="003F0371">
        <w:rPr>
          <w:color w:val="C00000"/>
        </w:rPr>
        <w:t>Zapewnienie suwerenności energetycznej</w:t>
      </w:r>
      <w:bookmarkEnd w:id="148"/>
      <w:bookmarkEnd w:id="149"/>
      <w:r w:rsidRPr="003F0371">
        <w:rPr>
          <w:color w:val="C00000"/>
        </w:rPr>
        <w:t xml:space="preserve"> </w:t>
      </w:r>
    </w:p>
    <w:p w14:paraId="6FF29E52" w14:textId="77777777" w:rsidR="0034179E" w:rsidRDefault="0034179E" w:rsidP="0034179E">
      <w:r>
        <w:t>Kryzys energetyczny, który rozpoczął się w 2021 r. i został pogłębiony wybuchem wojny na Ukrainie w lutym 2022 r. spowodował, że bezpieczeństwo energetyczne pierwszy raz od wielu lat wymagało bezpośredniej i natychmiastowej interwencji. Uwidoczniły się także obszary wymagające wzmocnienia, tak aby zredukować ryzyko zaburzenia pewności dostaw paliw i energii oraz wpływu jednego wydarzenia na ceny paliw i energii, a w konsekwencji na inflację.</w:t>
      </w:r>
    </w:p>
    <w:p w14:paraId="49B09A7D" w14:textId="13CAE841" w:rsidR="0034179E" w:rsidRDefault="0034179E" w:rsidP="0034179E">
      <w:r>
        <w:t xml:space="preserve">Zarówno w unijnej, jak i krajowej polityce energetycznej silnie zaczęto podkreślać znaczenie </w:t>
      </w:r>
      <w:r w:rsidRPr="000B376A">
        <w:rPr>
          <w:b/>
          <w:bCs/>
        </w:rPr>
        <w:t>suwerenności energetycznej</w:t>
      </w:r>
      <w:r>
        <w:rPr>
          <w:b/>
          <w:bCs/>
        </w:rPr>
        <w:t xml:space="preserve"> i wzmacniania odporności na zaburzenia występujące na arenie geopolitycznej</w:t>
      </w:r>
      <w:r>
        <w:t xml:space="preserve">, którą rozumieć należy jako zdolność do pokrycia zapotrzebowania na paliwa i energię niezależnie od działań podmiotów i sytuacji zewnętrznej. </w:t>
      </w:r>
      <w:r w:rsidR="00C342F2" w:rsidRPr="00780164">
        <w:t>Oznacza to konieczność zapewnienia dywersyfikacji importu zarówno pod względem źródeł energii, jak i kierunków dostaw. Taka dywersyfikacja powinna minimalizować wpływ ewentualnych zakłóceń w jednym sektorze lub w</w:t>
      </w:r>
      <w:r w:rsidR="008155B0">
        <w:t> </w:t>
      </w:r>
      <w:r w:rsidR="00C342F2" w:rsidRPr="00780164">
        <w:t xml:space="preserve">dostawach z konkretnego kierunku na cały sektor energetyczny </w:t>
      </w:r>
      <w:r w:rsidR="00C342F2">
        <w:t>i</w:t>
      </w:r>
      <w:r w:rsidR="00C342F2" w:rsidRPr="00780164">
        <w:t xml:space="preserve"> ograniczać ryzyko wzrostu cen energii</w:t>
      </w:r>
      <w:r>
        <w:t>.</w:t>
      </w:r>
    </w:p>
    <w:p w14:paraId="17237A11" w14:textId="28136F9D" w:rsidR="0034179E" w:rsidRDefault="0034179E" w:rsidP="0034179E">
      <w:pPr>
        <w:pStyle w:val="Cele"/>
        <w:rPr>
          <w:rStyle w:val="CeleZnak"/>
          <w:b/>
        </w:rPr>
      </w:pPr>
      <w:r w:rsidRPr="008952BB">
        <w:rPr>
          <w:rStyle w:val="CeleZnak"/>
          <w:bCs/>
        </w:rPr>
        <w:t>Polska jako cel określa</w:t>
      </w:r>
      <w:r>
        <w:rPr>
          <w:rStyle w:val="CeleZnak"/>
          <w:b/>
        </w:rPr>
        <w:t xml:space="preserve"> trwałe zapewnienie suwerenności energetycznej i dążenie do jej wzmacniania. W</w:t>
      </w:r>
      <w:r w:rsidR="000541F6">
        <w:rPr>
          <w:rStyle w:val="CeleZnak"/>
          <w:b/>
        </w:rPr>
        <w:t xml:space="preserve"> </w:t>
      </w:r>
      <w:r>
        <w:rPr>
          <w:rStyle w:val="CeleZnak"/>
          <w:b/>
        </w:rPr>
        <w:t>tym kontekście Polska będzie dążyć do zapewnienia współczynnika niezależności energetycznej powyżej średniej unijnej.</w:t>
      </w:r>
    </w:p>
    <w:p w14:paraId="470E8AAF" w14:textId="77777777" w:rsidR="0034179E" w:rsidRDefault="0034179E" w:rsidP="0034179E">
      <w:r>
        <w:t>Ze względu na wielowymiarowość suwerenności energetycznej żadna miara nie pozwala w pełni ocenić realizacji celu. Wpływ na to ma spełnienie pozostałych celów określonych w tym wymiarze – od optymalizacji struktury wydobywczej, dywersyfikacji struktury zużycia energii po dywersyfikację dostaw surowców, a w przypadku ich niespełnienia ocena zapewnienia suwerenności energetycznej jest zależna od wystąpienia silnych zakłóceń w dostawach energii lub wzrostu cen energii do poziomów nieakceptowalnych przez gospodarkę.</w:t>
      </w:r>
    </w:p>
    <w:p w14:paraId="59095814" w14:textId="77777777" w:rsidR="008155B0" w:rsidRDefault="008155B0" w:rsidP="0034179E"/>
    <w:p w14:paraId="7580A4F1" w14:textId="77777777" w:rsidR="0034179E" w:rsidRDefault="0034179E" w:rsidP="0034179E">
      <w:pPr>
        <w:pStyle w:val="Polityka"/>
      </w:pPr>
      <w:r w:rsidRPr="00C46DAA">
        <w:t>POLITYKA</w:t>
      </w:r>
    </w:p>
    <w:p w14:paraId="6344B400" w14:textId="6A3CB2DE" w:rsidR="0034179E" w:rsidRDefault="0034179E" w:rsidP="0034179E">
      <w:r>
        <w:t xml:space="preserve">Do zapewnienia suwerenności energetycznej, i w </w:t>
      </w:r>
      <w:r w:rsidRPr="00975A22">
        <w:t>konsekwencji odporności gospodarki</w:t>
      </w:r>
      <w:r>
        <w:t xml:space="preserve">, przyczyniać się będzie odpowiednio zdywersyfikowana </w:t>
      </w:r>
      <w:r w:rsidRPr="005751F2">
        <w:rPr>
          <w:b/>
          <w:bCs/>
        </w:rPr>
        <w:t xml:space="preserve">struktura </w:t>
      </w:r>
      <w:r>
        <w:rPr>
          <w:b/>
          <w:bCs/>
        </w:rPr>
        <w:t xml:space="preserve">paliwowa </w:t>
      </w:r>
      <w:r w:rsidRPr="005751F2">
        <w:rPr>
          <w:b/>
          <w:bCs/>
        </w:rPr>
        <w:t>zużycia</w:t>
      </w:r>
      <w:r>
        <w:t xml:space="preserve"> energii pierwotnej i finalnej w gospodarce oraz </w:t>
      </w:r>
      <w:r w:rsidRPr="005751F2">
        <w:rPr>
          <w:b/>
          <w:bCs/>
        </w:rPr>
        <w:t>zachowanie ograniczonego poziomu zależności importowej</w:t>
      </w:r>
      <w:r>
        <w:t xml:space="preserve">. Przyczyni się do tego </w:t>
      </w:r>
      <w:r w:rsidRPr="005408CE">
        <w:rPr>
          <w:b/>
          <w:bCs/>
        </w:rPr>
        <w:t>dywersyfikacj</w:t>
      </w:r>
      <w:r>
        <w:rPr>
          <w:b/>
          <w:bCs/>
        </w:rPr>
        <w:t>a</w:t>
      </w:r>
      <w:r w:rsidRPr="005408CE">
        <w:rPr>
          <w:b/>
          <w:bCs/>
        </w:rPr>
        <w:t xml:space="preserve"> struktury wytwarzania energii</w:t>
      </w:r>
      <w:r>
        <w:t xml:space="preserve"> oparta o zróżnicowany strukturalnie wzrost wykorzystania krajowych</w:t>
      </w:r>
      <w:r w:rsidR="00422A69">
        <w:t>,</w:t>
      </w:r>
      <w:r>
        <w:t xml:space="preserve"> w szczególności zeroemisyjnych źródeł energii (przy czym w przypadku pokrycia zapotrzebowania na energię elektryczną niezbędne jest jednoczesne zapewnienie warunków bezpieczeństwa pracy sieci). </w:t>
      </w:r>
      <w:r w:rsidR="00C342F2" w:rsidRPr="00F622C6">
        <w:t>Pomimo licznych zalet, wdrożenie energetyki jądrowej zwiększy zależność od importu paliwa jądrowego. Jednocześnie może pozytywnie wpłynąć na suwerenność energetyczną dzięki możliwości gromadzenia wieloletnich zapasów tego paliwa, co jest wymagane przez międzynarodowe standardy i pozwala na utrzymanie stabilności dostaw</w:t>
      </w:r>
      <w:r>
        <w:t>.</w:t>
      </w:r>
    </w:p>
    <w:p w14:paraId="5DBA46FB" w14:textId="6A2DD038" w:rsidR="0034179E" w:rsidRDefault="0034179E" w:rsidP="0034179E">
      <w:r>
        <w:t xml:space="preserve">Choć dążyć się będzie do stopniowego zastępowania paliw kopalnych przez zeroemisyjne źródła energii i alternatywne rozwiązania, w przejściowym okresie transformacji konieczne jest </w:t>
      </w:r>
      <w:r w:rsidR="00CB596F">
        <w:rPr>
          <w:b/>
          <w:bCs/>
        </w:rPr>
        <w:t>utrzymanie odpowiedniego poziomu</w:t>
      </w:r>
      <w:r w:rsidRPr="00C42CCF">
        <w:rPr>
          <w:b/>
          <w:bCs/>
        </w:rPr>
        <w:t xml:space="preserve"> dywersyfikacji dostaw gazu ziemnego i ropy naftowej</w:t>
      </w:r>
      <w:r>
        <w:t xml:space="preserve">. W odniesieniu do zapotrzebowania na węgiel kamienny, dążyć się będzie do możliwości pokrycia zapotrzebowania na ten surowiec zasobami krajowymi, co będzie szczególnie dużym wyzwaniem w obszarze popytu gospodarstw domowych i innych drobnych odbiorców. W obszarze </w:t>
      </w:r>
      <w:r w:rsidRPr="00553078">
        <w:rPr>
          <w:b/>
          <w:bCs/>
        </w:rPr>
        <w:t>pokrycia zapotrzebowania na energię</w:t>
      </w:r>
      <w:r>
        <w:t xml:space="preserve"> </w:t>
      </w:r>
      <w:r w:rsidRPr="00553078">
        <w:rPr>
          <w:b/>
          <w:bCs/>
        </w:rPr>
        <w:t>elektryczną</w:t>
      </w:r>
      <w:r>
        <w:t xml:space="preserve"> dążyć się będzie do </w:t>
      </w:r>
      <w:r w:rsidR="007068DC">
        <w:rPr>
          <w:b/>
          <w:bCs/>
        </w:rPr>
        <w:t>zapewnienia</w:t>
      </w:r>
      <w:r w:rsidR="007068DC" w:rsidRPr="00553078">
        <w:rPr>
          <w:b/>
          <w:bCs/>
        </w:rPr>
        <w:t xml:space="preserve"> pokrycia</w:t>
      </w:r>
      <w:r w:rsidR="007068DC">
        <w:t xml:space="preserve"> zapotrzebowania własnymi, zlokalizowanymi w kraju źródłami wytwórczymi (ze względu na możliwy brak dostępności energii w systemach państw sąsiadujących, na co Polska nie ma wpływu), co nie wyklucza międzysystemowej wymiany energii z państwami sąsiednimi</w:t>
      </w:r>
      <w:r>
        <w:t>. Zapotrzebowanie na ciepło, ze względu na specyfikę funkcjonowania sektora</w:t>
      </w:r>
      <w:r w:rsidR="00E30F95">
        <w:t>,</w:t>
      </w:r>
      <w:r>
        <w:t xml:space="preserve"> będzie pokrywane źródłami własnymi.</w:t>
      </w:r>
    </w:p>
    <w:p w14:paraId="27C64AC4" w14:textId="7EEA869D" w:rsidR="000541F6" w:rsidRPr="00F179C0" w:rsidRDefault="0034179E" w:rsidP="0034179E">
      <w:pPr>
        <w:rPr>
          <w:i/>
          <w:iCs/>
        </w:rPr>
      </w:pPr>
      <w:r>
        <w:rPr>
          <w:i/>
          <w:iCs/>
        </w:rPr>
        <w:t>Uszczegółowienie stanowią polityki i działania wskazane przy kolejnych celach szczegółowych.</w:t>
      </w:r>
    </w:p>
    <w:p w14:paraId="50AE4C58" w14:textId="77777777" w:rsidR="0034179E" w:rsidRPr="00C46DAA" w:rsidRDefault="0034179E" w:rsidP="0034179E">
      <w:pPr>
        <w:pStyle w:val="Polityka"/>
      </w:pPr>
      <w:r w:rsidRPr="00C46DAA">
        <w:t>DZIAŁANIA</w:t>
      </w:r>
    </w:p>
    <w:p w14:paraId="49B3A189" w14:textId="1EED679E" w:rsidR="0034179E" w:rsidRDefault="0034179E" w:rsidP="0034179E">
      <w:pPr>
        <w:rPr>
          <w:i/>
          <w:iCs/>
        </w:rPr>
      </w:pPr>
      <w:r w:rsidRPr="00B401BF">
        <w:rPr>
          <w:i/>
          <w:iCs/>
        </w:rPr>
        <w:t xml:space="preserve">Do </w:t>
      </w:r>
      <w:r>
        <w:rPr>
          <w:i/>
          <w:iCs/>
        </w:rPr>
        <w:t>realizacji celu przyczyniać się będą działania opisane w odniesieniu do kolejnych celów szczegółowych – od działań wpływających na dywersyfikację dostaw surowców, przez zapewnienie pokrycia zapotrzebowania na energię elektryczną i ciepło oraz zastępowanie paliw kopalnych własnymi źródłami i surowcami.</w:t>
      </w:r>
    </w:p>
    <w:p w14:paraId="7D1931C9" w14:textId="1C0B2A5F" w:rsidR="00F179C0" w:rsidRPr="00F179C0" w:rsidRDefault="00F179C0" w:rsidP="00F179C0">
      <w:pPr>
        <w:pStyle w:val="Nagwek4"/>
        <w:rPr>
          <w:color w:val="C00000"/>
        </w:rPr>
      </w:pPr>
      <w:bookmarkStart w:id="150" w:name="_Ref175329723"/>
      <w:bookmarkStart w:id="151" w:name="_Ref175329735"/>
      <w:bookmarkStart w:id="152" w:name="_Toc179536965"/>
      <w:r w:rsidRPr="00F179C0">
        <w:rPr>
          <w:color w:val="C00000"/>
        </w:rPr>
        <w:t>Perspektywiczne pokrywanie zapotrzebowania na</w:t>
      </w:r>
      <w:r>
        <w:rPr>
          <w:color w:val="C00000"/>
        </w:rPr>
        <w:t> </w:t>
      </w:r>
      <w:r w:rsidRPr="00F179C0">
        <w:rPr>
          <w:color w:val="C00000"/>
        </w:rPr>
        <w:t>surowce krytyczne</w:t>
      </w:r>
      <w:bookmarkEnd w:id="150"/>
      <w:bookmarkEnd w:id="151"/>
      <w:bookmarkEnd w:id="152"/>
      <w:r w:rsidRPr="00F179C0">
        <w:rPr>
          <w:color w:val="C00000"/>
        </w:rPr>
        <w:t xml:space="preserve"> </w:t>
      </w:r>
    </w:p>
    <w:p w14:paraId="3926DEDC" w14:textId="7363EC19" w:rsidR="008C1A13" w:rsidRDefault="00E21A05" w:rsidP="00F179C0">
      <w:r>
        <w:rPr>
          <w:noProof/>
        </w:rPr>
        <w:drawing>
          <wp:anchor distT="0" distB="0" distL="114300" distR="114300" simplePos="0" relativeHeight="251871232" behindDoc="0" locked="0" layoutInCell="1" allowOverlap="1" wp14:anchorId="48243934" wp14:editId="61A162DC">
            <wp:simplePos x="0" y="0"/>
            <wp:positionH relativeFrom="margin">
              <wp:align>right</wp:align>
            </wp:positionH>
            <wp:positionV relativeFrom="paragraph">
              <wp:posOffset>18415</wp:posOffset>
            </wp:positionV>
            <wp:extent cx="2718000" cy="2412000"/>
            <wp:effectExtent l="0" t="0" r="6350" b="7620"/>
            <wp:wrapSquare wrapText="bothSides"/>
            <wp:docPr id="862110233" name="Obraz 2" descr="Obraz zawierający tekst, krąg, zrzut ekranu, żółty&#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8127497" name="Obraz 2" descr="Obraz zawierający tekst, krąg, zrzut ekranu, żółty&#10;&#10;Opis wygenerowany automatycznie"/>
                    <pic:cNvPicPr>
                      <a:picLocks noChangeAspect="1" noChangeArrowheads="1"/>
                    </pic:cNvPicPr>
                  </pic:nvPicPr>
                  <pic:blipFill rotWithShape="1">
                    <a:blip r:embed="rId74" cstate="print">
                      <a:extLst>
                        <a:ext uri="{28A0092B-C50C-407E-A947-70E740481C1C}">
                          <a14:useLocalDpi xmlns:a14="http://schemas.microsoft.com/office/drawing/2010/main" val="0"/>
                        </a:ext>
                      </a:extLst>
                    </a:blip>
                    <a:srcRect/>
                    <a:stretch/>
                  </pic:blipFill>
                  <pic:spPr bwMode="auto">
                    <a:xfrm>
                      <a:off x="0" y="0"/>
                      <a:ext cx="2718000" cy="24120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179C0">
        <w:t>W świetle realizacji założeń transformacji energetycznej wzrasta rola surowców nieenergetycznych. Lit, nikiel, kobalt i grafit mają kluczowe znaczenie do produkcji baterii i magazynów energii. Pierwiastki ziem rzadkich są niezbędne do trwałych magnesów, które są konieczne do produkcji silników elektrycznych i turbin wiatrowych. Produkcja wodoru wymaga niklu lub metali z grupy platynowców w zależności od rodzaju technologii. Miedź i aluminium są podstawowymi surowcami w</w:t>
      </w:r>
      <w:r w:rsidR="008155B0">
        <w:t> </w:t>
      </w:r>
      <w:r w:rsidR="00F179C0">
        <w:t>prawie wszystkich technologiach związanych z</w:t>
      </w:r>
      <w:r w:rsidR="008155B0">
        <w:t> </w:t>
      </w:r>
      <w:r w:rsidR="00F179C0">
        <w:t>energią elektryczną. Surowce krytyczne to surowce o dużym znaczeniu gospodarczym dla UE, których podaż może z dużym prawdopodobieństwem ulec zakłóceniom z powodu koncentracji źródeł oraz braku dobrych, przystępnych cenowo substytutów.</w:t>
      </w:r>
      <w:r w:rsidR="008C1A13">
        <w:t xml:space="preserve"> </w:t>
      </w:r>
    </w:p>
    <w:p w14:paraId="12925138" w14:textId="40682575" w:rsidR="00F179C0" w:rsidRDefault="008C1A13" w:rsidP="00F179C0">
      <w:r>
        <w:t xml:space="preserve">Na poziomie UE określono listę surowców krytycznych. </w:t>
      </w:r>
      <w:r w:rsidRPr="008C1A13">
        <w:rPr>
          <w:b/>
          <w:bCs/>
        </w:rPr>
        <w:t>Spośród 34 zidentyfikowanych surowców krytycznych 17 trafiło na listę surowców strategicznych</w:t>
      </w:r>
      <w:r w:rsidR="00546ECB">
        <w:rPr>
          <w:rStyle w:val="Odwoanieprzypisudolnego"/>
          <w:b/>
          <w:bCs/>
        </w:rPr>
        <w:footnoteReference w:id="73"/>
      </w:r>
      <w:r w:rsidR="00E21A05" w:rsidRPr="00E21A05">
        <w:t xml:space="preserve"> (na </w:t>
      </w:r>
      <w:r w:rsidR="00E21A05">
        <w:t xml:space="preserve">rysunku </w:t>
      </w:r>
      <w:r w:rsidR="008155B0">
        <w:t xml:space="preserve">powyżej </w:t>
      </w:r>
      <w:r w:rsidR="00E30F95">
        <w:t>oznaczone</w:t>
      </w:r>
      <w:r w:rsidR="00E21A05">
        <w:t xml:space="preserve"> na żółto)</w:t>
      </w:r>
      <w:r w:rsidR="00E21A05" w:rsidRPr="00E21A05">
        <w:t>.</w:t>
      </w:r>
      <w:r w:rsidR="000D3722">
        <w:t xml:space="preserve"> </w:t>
      </w:r>
    </w:p>
    <w:p w14:paraId="04F9FCBB" w14:textId="77777777" w:rsidR="00E21A05" w:rsidRDefault="00E21A05" w:rsidP="00F179C0"/>
    <w:p w14:paraId="5F02512B" w14:textId="5AB7092B" w:rsidR="00337C3F" w:rsidRPr="00337C3F" w:rsidRDefault="00337C3F" w:rsidP="00337C3F">
      <w:pPr>
        <w:spacing w:after="80"/>
      </w:pPr>
      <w:r w:rsidRPr="00337C3F">
        <w:t>Unijna transformacja ekologiczna będzie wymagać rozbudowania lokalnej produkcji baterii, paneli słonecznych, magnesów trwałych oraz innych czystych techn</w:t>
      </w:r>
      <w:r>
        <w:t xml:space="preserve">ologii. </w:t>
      </w:r>
      <w:r w:rsidR="00E21A05">
        <w:t xml:space="preserve">Z dotychczasowych analiz wynika, że zarówno Unia Europejska, jak i Polska jest silnie uzależniona od dostaw surowców krytycznych z rynków trzecich, głównie z Chin. </w:t>
      </w:r>
      <w:r w:rsidRPr="00337C3F">
        <w:t xml:space="preserve">Aby zmniejszyć zależność od państw trzecich w zakresie dostępu do surowców </w:t>
      </w:r>
      <w:r w:rsidR="00546ECB">
        <w:t>strategicznych</w:t>
      </w:r>
      <w:r w:rsidRPr="00337C3F">
        <w:t>, UE wyznaczyła następujące cele na 2030 r.:</w:t>
      </w:r>
    </w:p>
    <w:p w14:paraId="3BAA2B9B" w14:textId="2D66A304" w:rsidR="00337C3F" w:rsidRDefault="00337C3F" w:rsidP="00612B5D">
      <w:pPr>
        <w:pStyle w:val="Akapitzlist"/>
        <w:numPr>
          <w:ilvl w:val="0"/>
          <w:numId w:val="60"/>
        </w:numPr>
        <w:spacing w:after="80"/>
        <w:ind w:left="426"/>
      </w:pPr>
      <w:r w:rsidRPr="00337C3F">
        <w:rPr>
          <w:b/>
          <w:bCs/>
        </w:rPr>
        <w:t>wydobycie w UE</w:t>
      </w:r>
      <w:r>
        <w:rPr>
          <w:b/>
          <w:bCs/>
        </w:rPr>
        <w:t xml:space="preserve"> </w:t>
      </w:r>
      <w:r w:rsidRPr="00337C3F">
        <w:t>–</w:t>
      </w:r>
      <w:r>
        <w:t xml:space="preserve"> co najmniej 10% rocznego zużycia w UE ma pochodzić z wydobycia w UE;</w:t>
      </w:r>
    </w:p>
    <w:p w14:paraId="0A579DB9" w14:textId="0944BD70" w:rsidR="00337C3F" w:rsidRDefault="00337C3F" w:rsidP="00612B5D">
      <w:pPr>
        <w:pStyle w:val="Akapitzlist"/>
        <w:numPr>
          <w:ilvl w:val="0"/>
          <w:numId w:val="60"/>
        </w:numPr>
        <w:spacing w:after="80"/>
        <w:ind w:left="426"/>
      </w:pPr>
      <w:r w:rsidRPr="00337C3F">
        <w:rPr>
          <w:b/>
          <w:bCs/>
        </w:rPr>
        <w:t>przetwarzanie w UE</w:t>
      </w:r>
      <w:r>
        <w:t xml:space="preserve"> – co najmniej 40% rocznego zużycia w UE ma pochodzić z przetwarzania w UE;</w:t>
      </w:r>
    </w:p>
    <w:p w14:paraId="5E4A6F76" w14:textId="6A7FF4EC" w:rsidR="00337C3F" w:rsidRDefault="00337C3F" w:rsidP="00612B5D">
      <w:pPr>
        <w:pStyle w:val="Akapitzlist"/>
        <w:numPr>
          <w:ilvl w:val="0"/>
          <w:numId w:val="60"/>
        </w:numPr>
        <w:spacing w:after="80"/>
        <w:ind w:left="426"/>
      </w:pPr>
      <w:r w:rsidRPr="00337C3F">
        <w:rPr>
          <w:b/>
          <w:bCs/>
        </w:rPr>
        <w:t>recykling w UE</w:t>
      </w:r>
      <w:r>
        <w:t xml:space="preserve"> – co najmniej 25% rocznego zużycia w UE ma pochodzić z wewnętrznego recyklingu;</w:t>
      </w:r>
    </w:p>
    <w:p w14:paraId="3858AC49" w14:textId="2E00231F" w:rsidR="00337C3F" w:rsidRPr="00337C3F" w:rsidRDefault="00337C3F" w:rsidP="00612B5D">
      <w:pPr>
        <w:pStyle w:val="Akapitzlist"/>
        <w:numPr>
          <w:ilvl w:val="0"/>
          <w:numId w:val="60"/>
        </w:numPr>
        <w:spacing w:after="80"/>
        <w:ind w:left="426"/>
      </w:pPr>
      <w:r w:rsidRPr="00337C3F">
        <w:rPr>
          <w:b/>
          <w:bCs/>
        </w:rPr>
        <w:t>źródła zewnętrzne</w:t>
      </w:r>
      <w:r>
        <w:t xml:space="preserve"> – z jednego państwa trzeciego ma pochodzić nie więcej niż 65% rocznego zużycia w Unii każdego z surowców strategicznych na odpowiednim etapie przetwarzania.</w:t>
      </w:r>
    </w:p>
    <w:p w14:paraId="420B8E69" w14:textId="0183A38E" w:rsidR="00DB67BA" w:rsidRDefault="00337C3F" w:rsidP="00337C3F">
      <w:pPr>
        <w:spacing w:before="360" w:after="80"/>
      </w:pPr>
      <w:r>
        <w:t xml:space="preserve">Aby spełnić te cele, </w:t>
      </w:r>
      <w:r w:rsidR="00A667FB">
        <w:t xml:space="preserve">w 2024 r. </w:t>
      </w:r>
      <w:r>
        <w:t xml:space="preserve">przyjęto rozporządzenie </w:t>
      </w:r>
      <w:r w:rsidR="00E21A05" w:rsidRPr="00E21A05">
        <w:t xml:space="preserve">UE </w:t>
      </w:r>
      <w:r w:rsidR="000F0F23">
        <w:t xml:space="preserve">2024/1252 </w:t>
      </w:r>
      <w:r w:rsidR="00E21A05" w:rsidRPr="00E21A05">
        <w:t xml:space="preserve">dot. surowców krytycznych – </w:t>
      </w:r>
      <w:r w:rsidR="00E21A05" w:rsidRPr="006F3153">
        <w:rPr>
          <w:i/>
          <w:iCs/>
        </w:rPr>
        <w:t>Critical Raw Materia</w:t>
      </w:r>
      <w:r w:rsidR="00546ECB">
        <w:rPr>
          <w:i/>
          <w:iCs/>
        </w:rPr>
        <w:t>l</w:t>
      </w:r>
      <w:r w:rsidR="00E21A05" w:rsidRPr="006F3153">
        <w:rPr>
          <w:i/>
          <w:iCs/>
        </w:rPr>
        <w:t xml:space="preserve"> Act</w:t>
      </w:r>
      <w:r w:rsidR="00A667FB">
        <w:t>. Celem jego wdrożenia jest</w:t>
      </w:r>
      <w:r w:rsidR="00DB67BA">
        <w:t xml:space="preserve"> wzmocni</w:t>
      </w:r>
      <w:r w:rsidR="00546ECB">
        <w:t>enie</w:t>
      </w:r>
      <w:r w:rsidR="00DB67BA">
        <w:t xml:space="preserve"> wszystki</w:t>
      </w:r>
      <w:r w:rsidR="00546ECB">
        <w:t>ch</w:t>
      </w:r>
      <w:r w:rsidR="00DB67BA">
        <w:t xml:space="preserve"> etap</w:t>
      </w:r>
      <w:r w:rsidR="00546ECB">
        <w:t>ów</w:t>
      </w:r>
      <w:r w:rsidR="00DB67BA">
        <w:t xml:space="preserve"> europejskiego łańcucha wartości surowców krytycznych:</w:t>
      </w:r>
    </w:p>
    <w:p w14:paraId="46201641" w14:textId="77777777" w:rsidR="00546ECB" w:rsidRDefault="00546ECB" w:rsidP="00546ECB">
      <w:pPr>
        <w:pStyle w:val="Akapitzlist"/>
        <w:numPr>
          <w:ilvl w:val="0"/>
          <w:numId w:val="59"/>
        </w:numPr>
      </w:pPr>
      <w:r>
        <w:t>dywersyfikacja unijnego importu i zmniejszenie zależności strategicznych;</w:t>
      </w:r>
    </w:p>
    <w:p w14:paraId="58028A5D" w14:textId="77777777" w:rsidR="00546ECB" w:rsidRDefault="00546ECB" w:rsidP="00546ECB">
      <w:pPr>
        <w:pStyle w:val="Akapitzlist"/>
        <w:numPr>
          <w:ilvl w:val="0"/>
          <w:numId w:val="59"/>
        </w:numPr>
      </w:pPr>
      <w:r>
        <w:t>zwiększenie zdolności UE do monitorowania i łagodzenie ryzyka zakłóceń w podaży surowców krytycznych;</w:t>
      </w:r>
    </w:p>
    <w:p w14:paraId="7482E7F3" w14:textId="77777777" w:rsidR="00546ECB" w:rsidRDefault="00546ECB" w:rsidP="00546ECB">
      <w:pPr>
        <w:pStyle w:val="Akapitzlist"/>
        <w:numPr>
          <w:ilvl w:val="0"/>
          <w:numId w:val="59"/>
        </w:numPr>
      </w:pPr>
      <w:r>
        <w:t>ulepszenie obiegu zamknięty i zrównoważonego rozwoju.</w:t>
      </w:r>
    </w:p>
    <w:p w14:paraId="12427A2F" w14:textId="29F63C6B" w:rsidR="00F179C0" w:rsidRDefault="00F179C0" w:rsidP="00F179C0">
      <w:r>
        <w:t>Obecne działania UE oraz Polski polegają na dywersyfikacji dostaw tych surowców</w:t>
      </w:r>
      <w:r w:rsidR="00445816">
        <w:t xml:space="preserve">, ale także na </w:t>
      </w:r>
      <w:r>
        <w:t>prowadzeni</w:t>
      </w:r>
      <w:r w:rsidR="00445816">
        <w:t>u</w:t>
      </w:r>
      <w:r>
        <w:t xml:space="preserve"> prac poszukiwawczych na terenie UE, wsparciu recyklingu oraz substytucji, a także prowadzeniu odpowiedniej współpracy międzynarodowej. </w:t>
      </w:r>
      <w:r w:rsidR="00546ECB">
        <w:t>Działania te są realizowane w ramach wdrażania w kraju Polityki Surowcowej Państwa.</w:t>
      </w:r>
    </w:p>
    <w:p w14:paraId="0DDDDAC7" w14:textId="6F8C6C62" w:rsidR="00524DB9" w:rsidRPr="002631F2" w:rsidRDefault="00524DB9" w:rsidP="002631F2">
      <w:pPr>
        <w:pStyle w:val="Cele"/>
        <w:rPr>
          <w:b/>
          <w:bCs/>
        </w:rPr>
      </w:pPr>
      <w:r w:rsidRPr="002631F2">
        <w:rPr>
          <w:b/>
          <w:bCs/>
        </w:rPr>
        <w:t xml:space="preserve">Celem jest weryfikacja możliwości pokrywania zapotrzebowania na surowce </w:t>
      </w:r>
      <w:r w:rsidR="002631F2" w:rsidRPr="002631F2">
        <w:rPr>
          <w:b/>
          <w:bCs/>
        </w:rPr>
        <w:t>krytyczne</w:t>
      </w:r>
      <w:r w:rsidRPr="002631F2">
        <w:rPr>
          <w:b/>
          <w:bCs/>
        </w:rPr>
        <w:t xml:space="preserve"> i </w:t>
      </w:r>
      <w:r w:rsidR="002631F2" w:rsidRPr="002631F2">
        <w:rPr>
          <w:b/>
          <w:bCs/>
        </w:rPr>
        <w:t>strategiczne w następstwie krajowego pozyskania.</w:t>
      </w:r>
    </w:p>
    <w:p w14:paraId="225D02BC" w14:textId="175E1883" w:rsidR="00F179C0" w:rsidRDefault="00F179C0" w:rsidP="00F179C0">
      <w:pPr>
        <w:pStyle w:val="Polityka"/>
      </w:pPr>
      <w:r>
        <w:t>POLITYKA</w:t>
      </w:r>
    </w:p>
    <w:p w14:paraId="0D14A102" w14:textId="538BF9DD" w:rsidR="00445816" w:rsidRDefault="00445816" w:rsidP="00445816">
      <w:r>
        <w:t xml:space="preserve">Możliwym jest to, że w Polsce występują złoża kopalin do produkcji niektórych surowców strategicznych i krytycznych dla </w:t>
      </w:r>
      <w:r w:rsidR="00E21A05">
        <w:t xml:space="preserve">Polski i szerzej </w:t>
      </w:r>
      <w:r>
        <w:t>UE. Ich eksploatacja wymagałaby przeprowadzenia szczegółowej inwentaryzacji złóż konwencjonalnych i niekonwencjonalnych oraz analiz techniczno-ekonomicznych możliwości ich wykorzystania dla potrzeb przemysłu.</w:t>
      </w:r>
    </w:p>
    <w:p w14:paraId="1783F1B6" w14:textId="76A63A81" w:rsidR="00C618E6" w:rsidRDefault="00F179C0" w:rsidP="00F179C0">
      <w:r>
        <w:t xml:space="preserve">Polska posiada złoża </w:t>
      </w:r>
      <w:r w:rsidR="00445816">
        <w:t xml:space="preserve">różnych </w:t>
      </w:r>
      <w:r>
        <w:t>kopalin</w:t>
      </w:r>
      <w:r w:rsidR="00445816">
        <w:t xml:space="preserve">, dlatego możliwe jest występowanie również tych, które odpowiadają na potrzeby innowacyjnej transformacji – czyli </w:t>
      </w:r>
      <w:r w:rsidR="00524DB9">
        <w:t>tzw. surowców krytycznych i strategicznych</w:t>
      </w:r>
      <w:r w:rsidR="00445816">
        <w:t>. Z tego względu opracowany</w:t>
      </w:r>
      <w:r w:rsidR="00546ECB">
        <w:t>, a następnie wdrażany</w:t>
      </w:r>
      <w:r w:rsidR="00445816">
        <w:t xml:space="preserve"> zostanie </w:t>
      </w:r>
      <w:r w:rsidR="00445816" w:rsidRPr="002631F2">
        <w:rPr>
          <w:i/>
          <w:iCs/>
        </w:rPr>
        <w:t>Krajowy program poszukiwań surowców krytycznych</w:t>
      </w:r>
      <w:r w:rsidR="00445816">
        <w:t xml:space="preserve">, tak aby zidentyfikować perspektywę </w:t>
      </w:r>
      <w:r w:rsidR="00546ECB">
        <w:t xml:space="preserve">występowania złóż kopalin do </w:t>
      </w:r>
      <w:r w:rsidR="002631F2">
        <w:t>produkcji surowców krytycznych i strat</w:t>
      </w:r>
      <w:r w:rsidR="009A017E">
        <w:t>e</w:t>
      </w:r>
      <w:r w:rsidR="002631F2">
        <w:t>gicz</w:t>
      </w:r>
      <w:r w:rsidR="009A017E">
        <w:t>n</w:t>
      </w:r>
      <w:r w:rsidR="002631F2">
        <w:t>yc</w:t>
      </w:r>
      <w:r w:rsidR="009A017E">
        <w:t>h</w:t>
      </w:r>
      <w:r w:rsidR="002631F2">
        <w:t xml:space="preserve"> dla UE, które s</w:t>
      </w:r>
      <w:r w:rsidR="009A017E">
        <w:t>ą</w:t>
      </w:r>
      <w:r w:rsidR="002631F2">
        <w:t xml:space="preserve"> niezbędne do prowadzenia transformacji energetycznej. </w:t>
      </w:r>
    </w:p>
    <w:p w14:paraId="5F0BF84E" w14:textId="116A997F" w:rsidR="00F179C0" w:rsidRDefault="002631F2" w:rsidP="002631F2">
      <w:pPr>
        <w:pStyle w:val="Polityka"/>
      </w:pPr>
      <w:r>
        <w:t>DZIAŁANIA</w:t>
      </w:r>
    </w:p>
    <w:p w14:paraId="3C000C33" w14:textId="12C4CB1C" w:rsidR="0093231A" w:rsidRPr="00BF743A" w:rsidRDefault="0093231A" w:rsidP="00612B5D">
      <w:pPr>
        <w:pStyle w:val="Polityka"/>
        <w:numPr>
          <w:ilvl w:val="0"/>
          <w:numId w:val="58"/>
        </w:numPr>
        <w:spacing w:before="0"/>
        <w:rPr>
          <w:rFonts w:ascii="Lato" w:hAnsi="Lato"/>
          <w:b w:val="0"/>
          <w:bCs w:val="0"/>
          <w:sz w:val="20"/>
          <w:szCs w:val="20"/>
        </w:rPr>
      </w:pPr>
      <w:r w:rsidRPr="00BF743A">
        <w:rPr>
          <w:rFonts w:ascii="Lato" w:hAnsi="Lato"/>
          <w:b w:val="0"/>
          <w:bCs w:val="0"/>
          <w:sz w:val="20"/>
          <w:szCs w:val="20"/>
        </w:rPr>
        <w:fldChar w:fldCharType="begin"/>
      </w:r>
      <w:r w:rsidRPr="00BF743A">
        <w:rPr>
          <w:rFonts w:ascii="Lato" w:hAnsi="Lato"/>
          <w:b w:val="0"/>
          <w:bCs w:val="0"/>
          <w:sz w:val="20"/>
          <w:szCs w:val="20"/>
        </w:rPr>
        <w:instrText xml:space="preserve"> REF _Ref175320916 \h  \* MERGEFORMAT </w:instrText>
      </w:r>
      <w:r w:rsidRPr="00BF743A">
        <w:rPr>
          <w:rFonts w:ascii="Lato" w:hAnsi="Lato"/>
          <w:b w:val="0"/>
          <w:bCs w:val="0"/>
          <w:sz w:val="20"/>
          <w:szCs w:val="20"/>
        </w:rPr>
      </w:r>
      <w:r w:rsidRPr="00BF743A">
        <w:rPr>
          <w:rFonts w:ascii="Lato" w:hAnsi="Lato"/>
          <w:b w:val="0"/>
          <w:bCs w:val="0"/>
          <w:sz w:val="20"/>
          <w:szCs w:val="20"/>
        </w:rPr>
        <w:fldChar w:fldCharType="separate"/>
      </w:r>
      <w:r w:rsidR="00DD3929" w:rsidRPr="00BF743A">
        <w:rPr>
          <w:rFonts w:ascii="Lato" w:hAnsi="Lato"/>
          <w:b w:val="0"/>
          <w:bCs w:val="0"/>
          <w:sz w:val="20"/>
          <w:szCs w:val="20"/>
        </w:rPr>
        <w:t xml:space="preserve">Działanie </w:t>
      </w:r>
      <w:r w:rsidR="00DD3929" w:rsidRPr="00BF743A">
        <w:rPr>
          <w:rFonts w:ascii="Lato" w:hAnsi="Lato"/>
          <w:b w:val="0"/>
          <w:bCs w:val="0"/>
          <w:noProof/>
          <w:sz w:val="20"/>
          <w:szCs w:val="20"/>
        </w:rPr>
        <w:t>105</w:t>
      </w:r>
      <w:r w:rsidR="00DD3929" w:rsidRPr="00BF743A">
        <w:rPr>
          <w:rFonts w:ascii="Lato" w:hAnsi="Lato"/>
          <w:b w:val="0"/>
          <w:bCs w:val="0"/>
          <w:sz w:val="20"/>
          <w:szCs w:val="20"/>
        </w:rPr>
        <w:t>. Opracowanie i wdrażanie Krajowego programu poszukiwań surowców krytycznych.</w:t>
      </w:r>
      <w:r w:rsidRPr="00BF743A">
        <w:rPr>
          <w:rFonts w:ascii="Lato" w:hAnsi="Lato"/>
          <w:b w:val="0"/>
          <w:bCs w:val="0"/>
          <w:sz w:val="20"/>
          <w:szCs w:val="20"/>
        </w:rPr>
        <w:fldChar w:fldCharType="end"/>
      </w:r>
    </w:p>
    <w:p w14:paraId="0A92EC49" w14:textId="0AD2C6F7" w:rsidR="002631F2" w:rsidRPr="00F179C0" w:rsidRDefault="002631F2" w:rsidP="00F179C0"/>
    <w:p w14:paraId="25E00985" w14:textId="5240B0A6" w:rsidR="00C04D9C" w:rsidRDefault="00C04D9C" w:rsidP="00C04D9C">
      <w:pPr>
        <w:pStyle w:val="Nagwek3"/>
        <w:rPr>
          <w:color w:val="C00000"/>
        </w:rPr>
      </w:pPr>
      <w:bookmarkStart w:id="153" w:name="_Toc159598314"/>
      <w:bookmarkStart w:id="154" w:name="_Toc179536966"/>
      <w:r w:rsidRPr="00550223">
        <w:rPr>
          <w:color w:val="C00000"/>
        </w:rPr>
        <w:t>Pokrycie zapotrzebowania na</w:t>
      </w:r>
      <w:r w:rsidR="00060C25">
        <w:rPr>
          <w:color w:val="C00000"/>
        </w:rPr>
        <w:t> </w:t>
      </w:r>
      <w:r w:rsidRPr="00550223">
        <w:rPr>
          <w:color w:val="C00000"/>
        </w:rPr>
        <w:t>węgiel</w:t>
      </w:r>
      <w:r>
        <w:rPr>
          <w:color w:val="C00000"/>
        </w:rPr>
        <w:t> kamienny</w:t>
      </w:r>
      <w:bookmarkEnd w:id="153"/>
      <w:bookmarkEnd w:id="154"/>
    </w:p>
    <w:p w14:paraId="1EDA0C09" w14:textId="6B0C5A1F" w:rsidR="00C04D9C" w:rsidRDefault="00C04D9C" w:rsidP="00C04D9C">
      <w:r>
        <w:t xml:space="preserve">Węgiel kamienny od wielu lat stanowi podstawę pokrycia zapotrzebowania na energię pierwotną w Polsce, ale trend ten ulega zmianie, </w:t>
      </w:r>
      <w:r w:rsidR="008155B0">
        <w:t>ponieważ</w:t>
      </w:r>
      <w:r>
        <w:t xml:space="preserve"> Polska weszła na ścieżkę transformacji energetycznej. W</w:t>
      </w:r>
      <w:r w:rsidR="008155B0">
        <w:t> </w:t>
      </w:r>
      <w:r>
        <w:t>kolejnych latach wykorzystanie węgla będzie stopniowo zastępowane przez paliwa zeroemisyjne, a</w:t>
      </w:r>
      <w:r w:rsidR="008155B0">
        <w:t> </w:t>
      </w:r>
      <w:r>
        <w:t xml:space="preserve">przejściowo również przez gaz ziemny, który charakteryzuje się niższą niż w przypadku węgla emisyjnością, ale w tym okresie niezbędne jest również pokrycie zapotrzebowania na ten surowiec. </w:t>
      </w:r>
    </w:p>
    <w:p w14:paraId="2E0C6B25" w14:textId="101E86AA" w:rsidR="00C04D9C" w:rsidRPr="00B377B2" w:rsidRDefault="00C04D9C" w:rsidP="00C04D9C">
      <w:r>
        <w:t xml:space="preserve">Polska nie wyznacza celu w zakresie wykorzystania węgla brunatnego, gdyż jego wykorzystanie jest bezpośrednio powiązane z pracą elektrowni </w:t>
      </w:r>
      <w:r w:rsidR="0034179E">
        <w:t xml:space="preserve">zasilanej </w:t>
      </w:r>
      <w:r w:rsidR="00A11BF5">
        <w:t>tym</w:t>
      </w:r>
      <w:r w:rsidR="0034179E">
        <w:t xml:space="preserve"> surowcem</w:t>
      </w:r>
      <w:r>
        <w:t>. Z tego względu decydujące znaczenie w tym obszarze mają decyzje dotyczące pracy tych jednostek wytwórczych, uwzględniając wpływ na społeczne aspekty zakończenia wydobycia w danym regionie.</w:t>
      </w:r>
    </w:p>
    <w:p w14:paraId="2D7734EC" w14:textId="77777777" w:rsidR="00C04D9C" w:rsidRPr="00FD411D" w:rsidRDefault="00C04D9C" w:rsidP="00C04D9C">
      <w:pPr>
        <w:pStyle w:val="Nagwek4"/>
        <w:rPr>
          <w:color w:val="C00000"/>
        </w:rPr>
      </w:pPr>
      <w:bookmarkStart w:id="155" w:name="_Toc159598315"/>
      <w:bookmarkStart w:id="156" w:name="_Toc179536967"/>
      <w:r w:rsidRPr="00FD411D">
        <w:rPr>
          <w:color w:val="C00000"/>
        </w:rPr>
        <w:t>Zapewnienie pokrycia popytu na węgiel kamienny krajowym surowcem</w:t>
      </w:r>
      <w:bookmarkEnd w:id="155"/>
      <w:bookmarkEnd w:id="156"/>
    </w:p>
    <w:p w14:paraId="51360A57" w14:textId="77777777" w:rsidR="00C04D9C" w:rsidRDefault="00C04D9C" w:rsidP="00C04D9C">
      <w:r>
        <w:t>Krajowy surowiec pokrywa większość zapotrzebowania na węgiel kamienny. W 2022 r. wydobycie odpowiadało 83%</w:t>
      </w:r>
      <w:r>
        <w:rPr>
          <w:rStyle w:val="Odwoanieprzypisudolnego"/>
        </w:rPr>
        <w:footnoteReference w:id="74"/>
      </w:r>
      <w:r>
        <w:t xml:space="preserve"> zużycia, ale ze</w:t>
      </w:r>
      <w:r w:rsidRPr="004938AB">
        <w:t xml:space="preserve"> </w:t>
      </w:r>
      <w:r>
        <w:t xml:space="preserve">względu na właściwości fizyko-chemiczne krajowy surowiec zaspokaja przede wszystkim potrzeby sektora energetyki zawodowej. Popyt gospodarstw domowych pokrywany jest w pewnej części surowcem z importu. </w:t>
      </w:r>
    </w:p>
    <w:p w14:paraId="213785D2" w14:textId="4BA4B4E0" w:rsidR="00C04D9C" w:rsidRDefault="00C04D9C" w:rsidP="00C04D9C">
      <w:r>
        <w:t xml:space="preserve">Choć energetyczne wykorzystanie węgla wiąże się z emisjami, atutem źródeł opartych na tym paliwie jest ich dyspozycyjność, pozwalająca na produkcję energii powiązaną z czasem występowania popytu. Z tego względu zmniejszanie wykorzystania </w:t>
      </w:r>
      <w:r w:rsidRPr="00673535">
        <w:t xml:space="preserve">węgla musi być skorelowane w czasie z budową nowych pewnych i stabilnych źródeł oraz osiągnięciem dojrzałości technologicznej innych </w:t>
      </w:r>
      <w:r w:rsidR="00BC084E" w:rsidRPr="00673535">
        <w:t xml:space="preserve">ekonomicznych </w:t>
      </w:r>
      <w:r w:rsidRPr="00673535">
        <w:t xml:space="preserve">rozwiązań takich jak magazynowanie energii. </w:t>
      </w:r>
      <w:r>
        <w:t xml:space="preserve">To stanowi główną determinantę popytu na krajowy surowiec. </w:t>
      </w:r>
    </w:p>
    <w:p w14:paraId="75788F47" w14:textId="0EC61B49" w:rsidR="000A461A" w:rsidRDefault="00BC084E" w:rsidP="000A461A">
      <w:r>
        <w:t>Na wykorzystanie węgla w gospodarce krajowej wpływ mają unijne regulacje klimatyczno-energetyczne. Oprócz celów ogólnych dot. redukcji emisji GC, kształtowane są również przez regulacje dot. redukcji emisji metanu</w:t>
      </w:r>
      <w:r w:rsidR="000A461A">
        <w:t>. Rozporządzenie w sprawie redukcji emisji metanu w sektorze energetycznym oraz zmieniające rozporządzenie (UE) 2019/942 ma na względzie zachowanie i poprawę stanu środowiska poprzez redukcję emisji metanu z energii pochodzącej z paliw kopalnych produkowanej lub zużywanej w UE. Rozporządzenie dotyczy również ograniczenia emisji metanu z sektora węglowego i</w:t>
      </w:r>
      <w:r w:rsidR="00E30F95">
        <w:t> </w:t>
      </w:r>
      <w:r w:rsidR="000A461A">
        <w:t>zakłada nałożenie m.in. na przedsiębiorstwa górnicze ograniczenia emisji metanu odpowiednio: do 5</w:t>
      </w:r>
      <w:r w:rsidR="001D68F5">
        <w:t> </w:t>
      </w:r>
      <w:r w:rsidR="000A461A">
        <w:t>t/</w:t>
      </w:r>
      <w:r w:rsidR="001D68F5">
        <w:t>kt</w:t>
      </w:r>
      <w:r w:rsidR="000A461A">
        <w:t xml:space="preserve"> wydobytego węgla do 1 stycznia 2027 r. oraz do 3 t/</w:t>
      </w:r>
      <w:r w:rsidR="001D68F5">
        <w:t>kt</w:t>
      </w:r>
      <w:r w:rsidR="000A461A">
        <w:t xml:space="preserve"> wydobytego węgla do 1 stycznia 2031 r., co</w:t>
      </w:r>
      <w:r w:rsidR="00DC5106">
        <w:t> </w:t>
      </w:r>
      <w:r w:rsidR="000A461A">
        <w:t>w</w:t>
      </w:r>
      <w:r w:rsidR="001D68F5">
        <w:t> </w:t>
      </w:r>
      <w:r w:rsidR="000A461A">
        <w:t>warunkach polskich rodzić będzie dodatkowe wyzwania.</w:t>
      </w:r>
    </w:p>
    <w:p w14:paraId="595F8ED5" w14:textId="476BCE57" w:rsidR="00C04D9C" w:rsidRDefault="00BC084E" w:rsidP="00C04D9C">
      <w:bookmarkStart w:id="157" w:name="_Hlk159935424"/>
      <w:r>
        <w:t>Górnictwo węglowe i energetyka oparta na węglu stanowi stosunkowo duży segment krajowej gospodarki, dlatego sposób przeprowadzania transformacji musi przebiegać również z uwzględnieniem sprawiedliwego wymiaru transformacji regionów węglowych</w:t>
      </w:r>
      <w:bookmarkEnd w:id="157"/>
      <w:r>
        <w:t xml:space="preserve">. Z tego względu zawarto dwie umowy społeczne mające na celu </w:t>
      </w:r>
      <w:r w:rsidRPr="00CD72EB">
        <w:t>zapewnieni</w:t>
      </w:r>
      <w:r>
        <w:t>e</w:t>
      </w:r>
      <w:r w:rsidRPr="00CD72EB">
        <w:t xml:space="preserve"> stabilności procesu wygaszania</w:t>
      </w:r>
      <w:r>
        <w:t xml:space="preserve"> kopalń</w:t>
      </w:r>
      <w:r w:rsidR="00C04D9C">
        <w:rPr>
          <w:rStyle w:val="Odwoanieprzypisudolnego"/>
        </w:rPr>
        <w:footnoteReference w:id="75"/>
      </w:r>
      <w:r w:rsidR="00C04D9C">
        <w:t>.</w:t>
      </w:r>
    </w:p>
    <w:p w14:paraId="41F777D7" w14:textId="64251D55" w:rsidR="00C04D9C" w:rsidRDefault="00C04D9C" w:rsidP="00C04D9C">
      <w:r>
        <w:t xml:space="preserve">W 2022 r. </w:t>
      </w:r>
      <w:r w:rsidR="008F3F4E">
        <w:t>złożono wniosek do KE w</w:t>
      </w:r>
      <w:r w:rsidR="001D68F5">
        <w:t xml:space="preserve"> sprawie</w:t>
      </w:r>
      <w:r w:rsidR="008F3F4E">
        <w:t xml:space="preserve"> </w:t>
      </w:r>
      <w:r>
        <w:t xml:space="preserve">tzw. </w:t>
      </w:r>
      <w:r w:rsidRPr="006328A9">
        <w:t>Now</w:t>
      </w:r>
      <w:r w:rsidR="008F3F4E">
        <w:t>ego</w:t>
      </w:r>
      <w:r w:rsidRPr="006328A9">
        <w:t xml:space="preserve"> System</w:t>
      </w:r>
      <w:r w:rsidR="008F3F4E">
        <w:t>u</w:t>
      </w:r>
      <w:r w:rsidRPr="006328A9">
        <w:t xml:space="preserve"> Wsparcia dla sektora wydobywczego węgla kamiennego</w:t>
      </w:r>
      <w:r w:rsidR="008F3F4E">
        <w:t>, który</w:t>
      </w:r>
      <w:r w:rsidRPr="006328A9">
        <w:t xml:space="preserve"> uwzględnia</w:t>
      </w:r>
      <w:r w:rsidR="008F3F4E">
        <w:t>ł</w:t>
      </w:r>
      <w:r w:rsidRPr="006328A9">
        <w:t xml:space="preserve"> umowę społeczną do</w:t>
      </w:r>
      <w:r>
        <w:t>tyczącą</w:t>
      </w:r>
      <w:r w:rsidRPr="006328A9">
        <w:t xml:space="preserve"> transformacji sektora górnictwa węgla kamiennego z 2021</w:t>
      </w:r>
      <w:r w:rsidR="0034179E">
        <w:t> </w:t>
      </w:r>
      <w:r w:rsidRPr="006328A9">
        <w:t>r.</w:t>
      </w:r>
      <w:r>
        <w:t xml:space="preserve"> Aby zapobiec niekontrolowanej upadłości spółek system przewiduje dopłaty w</w:t>
      </w:r>
      <w:r w:rsidR="001D68F5">
        <w:t> </w:t>
      </w:r>
      <w:r>
        <w:t>przypadku, gdy różnica między kosztami a dochodami jest dodatnia, ale jednocześnie ustanowiony jest mechanizm cen referencyjnych oraz określone limity wydobycia.</w:t>
      </w:r>
      <w:r w:rsidR="0034179E">
        <w:t xml:space="preserve"> </w:t>
      </w:r>
      <w:r w:rsidR="001D68F5">
        <w:t>Z</w:t>
      </w:r>
      <w:r w:rsidR="0034179E">
        <w:t xml:space="preserve">akończenie procesu notyfikacji </w:t>
      </w:r>
      <w:r w:rsidR="001D68F5">
        <w:t xml:space="preserve">planowane jest </w:t>
      </w:r>
      <w:r w:rsidR="0034179E">
        <w:t>w 2024</w:t>
      </w:r>
      <w:r w:rsidR="00A11BF5">
        <w:t xml:space="preserve"> </w:t>
      </w:r>
      <w:r w:rsidR="0034179E">
        <w:t>r.</w:t>
      </w:r>
    </w:p>
    <w:p w14:paraId="4DBD539D" w14:textId="3E2E60E3" w:rsidR="00C04D9C" w:rsidRPr="00F77BDA" w:rsidRDefault="00F77BDA" w:rsidP="00F77BDA">
      <w:pPr>
        <w:pStyle w:val="Cele"/>
        <w:rPr>
          <w:rStyle w:val="CeleZnak"/>
          <w:b/>
        </w:rPr>
      </w:pPr>
      <w:r w:rsidRPr="00F77BDA">
        <w:rPr>
          <w:rStyle w:val="CeleZnak"/>
          <w:b/>
        </w:rPr>
        <w:t xml:space="preserve">Prognozy wskazują, że krajowe </w:t>
      </w:r>
      <w:r w:rsidR="0097636C">
        <w:rPr>
          <w:rStyle w:val="CeleZnak"/>
          <w:b/>
        </w:rPr>
        <w:t>zużycie</w:t>
      </w:r>
      <w:r w:rsidR="0097636C" w:rsidRPr="00F77BDA">
        <w:rPr>
          <w:rStyle w:val="CeleZnak"/>
          <w:b/>
        </w:rPr>
        <w:t xml:space="preserve"> </w:t>
      </w:r>
      <w:r>
        <w:rPr>
          <w:rStyle w:val="CeleZnak"/>
          <w:b/>
        </w:rPr>
        <w:t xml:space="preserve">węgla kamiennego energetycznego </w:t>
      </w:r>
      <w:r w:rsidRPr="00F77BDA">
        <w:rPr>
          <w:rStyle w:val="CeleZnak"/>
          <w:b/>
        </w:rPr>
        <w:t>nie</w:t>
      </w:r>
      <w:r w:rsidR="0097636C">
        <w:rPr>
          <w:rStyle w:val="CeleZnak"/>
          <w:b/>
        </w:rPr>
        <w:t> </w:t>
      </w:r>
      <w:r w:rsidRPr="00F77BDA">
        <w:rPr>
          <w:rStyle w:val="CeleZnak"/>
          <w:b/>
        </w:rPr>
        <w:t xml:space="preserve">przekroczy </w:t>
      </w:r>
      <w:r w:rsidR="0097636C">
        <w:rPr>
          <w:rStyle w:val="CeleZnak"/>
          <w:b/>
        </w:rPr>
        <w:t>22,5</w:t>
      </w:r>
      <w:r>
        <w:rPr>
          <w:rStyle w:val="CeleZnak"/>
          <w:b/>
        </w:rPr>
        <w:t xml:space="preserve"> </w:t>
      </w:r>
      <w:r w:rsidRPr="00F77BDA">
        <w:rPr>
          <w:rStyle w:val="CeleZnak"/>
          <w:b/>
        </w:rPr>
        <w:t>mln t w 2030 r.</w:t>
      </w:r>
      <w:r>
        <w:rPr>
          <w:rStyle w:val="CeleZnak"/>
          <w:b/>
        </w:rPr>
        <w:t xml:space="preserve"> </w:t>
      </w:r>
      <w:r w:rsidR="00C80842">
        <w:rPr>
          <w:rStyle w:val="CeleZnak"/>
          <w:b/>
        </w:rPr>
        <w:t>D</w:t>
      </w:r>
      <w:r>
        <w:rPr>
          <w:rStyle w:val="CeleZnak"/>
          <w:b/>
        </w:rPr>
        <w:t>ostępność krajowego surowca wpływać będzie na poziom jego wykorzystania w gospodarce.</w:t>
      </w:r>
    </w:p>
    <w:p w14:paraId="53FADB7C" w14:textId="77777777" w:rsidR="00C04D9C" w:rsidRPr="00673535" w:rsidRDefault="00C04D9C" w:rsidP="00C04D9C">
      <w:pPr>
        <w:pStyle w:val="Polityka"/>
      </w:pPr>
      <w:r w:rsidRPr="00673535">
        <w:t>POLITYKA</w:t>
      </w:r>
    </w:p>
    <w:p w14:paraId="59C31929" w14:textId="77777777" w:rsidR="00C04D9C" w:rsidRDefault="00C04D9C" w:rsidP="00C04D9C">
      <w:r w:rsidRPr="00E63CF3">
        <w:t>Głównym źródłem pokrycia zapotrzebowania na węgiel kamienny będzie wydobycie krajowe, a import powinien mieć jedynie charakter uzupełniający, dlatego priorytetem jest zapewnienie możliwie najwyższej ekonomiki wydobycia surowca w kraju</w:t>
      </w:r>
      <w:r>
        <w:t>. Nie wyklucza się również rozwoju innowacji w wydobyciu i wykorzystaniu surowca, które mogą pozwolić na efektywniejsze i „czystsze” wykorzystanie surowca.</w:t>
      </w:r>
    </w:p>
    <w:p w14:paraId="2CA91010" w14:textId="28E950F7" w:rsidR="00C04D9C" w:rsidRDefault="00C04D9C" w:rsidP="00C04D9C">
      <w:r>
        <w:t>Zawarte umowy społeczne</w:t>
      </w:r>
      <w:r>
        <w:rPr>
          <w:rStyle w:val="Odwoanieprzypisudolnego"/>
        </w:rPr>
        <w:footnoteReference w:id="76"/>
      </w:r>
      <w:r>
        <w:t xml:space="preserve"> mają zapewniać podaż surowca dla gospodarki, a jednocześnie mają na celu sprawiedliwe przeprowadzenie transformacji energetycznej – uwzględniając wpływ na pracowników branży węglowej i całych regionów zależnych od gospodarki węglowej. W przypadku bardzo istotnej zmiany na rynku – np. w wyniku istotnych wzrostów cen EUA, spadków cen lub szybszej niż prognozowana transformacji energetycznej, </w:t>
      </w:r>
      <w:r w:rsidRPr="00260F5F">
        <w:t xml:space="preserve">harmonogramu zamykania kopalń </w:t>
      </w:r>
      <w:r>
        <w:t xml:space="preserve">powinny ulec renegocjacji, z zachowaniem praw pracowniczych. </w:t>
      </w:r>
    </w:p>
    <w:p w14:paraId="67178928" w14:textId="19D3E3FB" w:rsidR="00BC084E" w:rsidRDefault="00BC084E" w:rsidP="00BC084E">
      <w:bookmarkStart w:id="158" w:name="_Hlk159935497"/>
      <w:r>
        <w:t>Ze względu na fakt, że właściwości krajowego surowca odpowiadają przede wszystkim potrzebom sektora energetyki zawodowej, priorytetem pozostaje zmniejszanie zapotrzebowania na węgiel kamienny w gospodarstwach domowych i odejście od jego wykorzystania w tym segmencie do 2040 r., co ograniczy potrzeby importowe i wpłynie korzystanie na jakość powietrza.</w:t>
      </w:r>
    </w:p>
    <w:bookmarkEnd w:id="158"/>
    <w:p w14:paraId="03F092D8" w14:textId="77777777" w:rsidR="00C04D9C" w:rsidRPr="00C46DAA" w:rsidRDefault="00C04D9C" w:rsidP="00C04D9C">
      <w:pPr>
        <w:pStyle w:val="Polityka"/>
      </w:pPr>
      <w:r w:rsidRPr="00C46DAA">
        <w:t>DZIAŁANIA</w:t>
      </w:r>
    </w:p>
    <w:p w14:paraId="3554A07A" w14:textId="1E7AEB99" w:rsidR="000C5CA2" w:rsidRDefault="000C5CA2" w:rsidP="00C04D9C">
      <w:pPr>
        <w:pStyle w:val="Akapitzlist"/>
        <w:numPr>
          <w:ilvl w:val="0"/>
          <w:numId w:val="6"/>
        </w:numPr>
      </w:pPr>
      <w:r>
        <w:fldChar w:fldCharType="begin"/>
      </w:r>
      <w:r>
        <w:instrText xml:space="preserve"> REF _Ref157434814 \h </w:instrText>
      </w:r>
      <w:r>
        <w:fldChar w:fldCharType="separate"/>
      </w:r>
      <w:r w:rsidR="00DD3929" w:rsidRPr="00570679">
        <w:t xml:space="preserve">Działanie </w:t>
      </w:r>
      <w:r w:rsidR="00DD3929">
        <w:rPr>
          <w:noProof/>
        </w:rPr>
        <w:t>120</w:t>
      </w:r>
      <w:r w:rsidR="00DD3929" w:rsidRPr="00570679">
        <w:t xml:space="preserve">. Efektywna gospodarka surowcami </w:t>
      </w:r>
      <w:r w:rsidR="00DD3929">
        <w:t>ważnymi dla krajowej i unijnej gospodarki</w:t>
      </w:r>
      <w:r w:rsidR="00DD3929" w:rsidRPr="00570679">
        <w:t>.</w:t>
      </w:r>
      <w:r>
        <w:fldChar w:fldCharType="end"/>
      </w:r>
    </w:p>
    <w:p w14:paraId="6571B50B" w14:textId="15704864" w:rsidR="000C5CA2" w:rsidRDefault="000C5CA2" w:rsidP="00C04D9C">
      <w:pPr>
        <w:pStyle w:val="Akapitzlist"/>
        <w:numPr>
          <w:ilvl w:val="0"/>
          <w:numId w:val="6"/>
        </w:numPr>
      </w:pPr>
      <w:r>
        <w:fldChar w:fldCharType="begin"/>
      </w:r>
      <w:r>
        <w:instrText xml:space="preserve"> REF _Ref157435553 \h </w:instrText>
      </w:r>
      <w:r>
        <w:fldChar w:fldCharType="separate"/>
      </w:r>
      <w:r w:rsidR="00DD3929" w:rsidRPr="00570679">
        <w:t xml:space="preserve">Działanie </w:t>
      </w:r>
      <w:r w:rsidR="00DD3929">
        <w:rPr>
          <w:noProof/>
        </w:rPr>
        <w:t>133</w:t>
      </w:r>
      <w:r w:rsidR="00DD3929" w:rsidRPr="00570679">
        <w:t xml:space="preserve">. Zapewnienie </w:t>
      </w:r>
      <w:r w:rsidR="00DD3929" w:rsidRPr="00B31627">
        <w:t>wsparcia</w:t>
      </w:r>
      <w:r w:rsidR="00DD3929" w:rsidRPr="00570679">
        <w:t xml:space="preserve"> dla regionów węglowych.</w:t>
      </w:r>
      <w:r>
        <w:fldChar w:fldCharType="end"/>
      </w:r>
    </w:p>
    <w:p w14:paraId="0D29D9A7" w14:textId="399C0179" w:rsidR="000C5CA2" w:rsidRDefault="000C5CA2" w:rsidP="00C04D9C">
      <w:pPr>
        <w:pStyle w:val="Akapitzlist"/>
        <w:numPr>
          <w:ilvl w:val="0"/>
          <w:numId w:val="6"/>
        </w:numPr>
      </w:pPr>
      <w:r>
        <w:fldChar w:fldCharType="begin"/>
      </w:r>
      <w:r>
        <w:instrText xml:space="preserve"> REF _Ref157429580 \h </w:instrText>
      </w:r>
      <w:r>
        <w:fldChar w:fldCharType="separate"/>
      </w:r>
      <w:r w:rsidR="00DD3929" w:rsidRPr="00163CF0">
        <w:t xml:space="preserve">Działanie </w:t>
      </w:r>
      <w:r w:rsidR="00DD3929">
        <w:rPr>
          <w:noProof/>
        </w:rPr>
        <w:t>140</w:t>
      </w:r>
      <w:r w:rsidR="00DD3929" w:rsidRPr="00163CF0">
        <w:t>. Projekt badawczy – odmetanowanie z zastosowaniem technologii podziemnych wierceń kierunkowych.</w:t>
      </w:r>
      <w:r>
        <w:fldChar w:fldCharType="end"/>
      </w:r>
    </w:p>
    <w:p w14:paraId="1E73E0B8" w14:textId="7345021A" w:rsidR="006F34B5" w:rsidRDefault="004E000C" w:rsidP="006F34B5">
      <w:pPr>
        <w:pStyle w:val="Nagwek3"/>
        <w:rPr>
          <w:color w:val="C00000"/>
        </w:rPr>
      </w:pPr>
      <w:bookmarkStart w:id="159" w:name="_Toc159598316"/>
      <w:bookmarkStart w:id="160" w:name="_Toc179536968"/>
      <w:r>
        <w:rPr>
          <w:color w:val="C00000"/>
        </w:rPr>
        <w:t>P</w:t>
      </w:r>
      <w:r w:rsidR="008A46D0">
        <w:rPr>
          <w:color w:val="C00000"/>
        </w:rPr>
        <w:t>okrycie</w:t>
      </w:r>
      <w:r>
        <w:rPr>
          <w:color w:val="C00000"/>
        </w:rPr>
        <w:t xml:space="preserve"> </w:t>
      </w:r>
      <w:r w:rsidR="000D4915">
        <w:rPr>
          <w:color w:val="C00000"/>
        </w:rPr>
        <w:t>zapotrzebowania na</w:t>
      </w:r>
      <w:r w:rsidR="008A46D0">
        <w:rPr>
          <w:color w:val="C00000"/>
        </w:rPr>
        <w:t xml:space="preserve"> </w:t>
      </w:r>
      <w:r w:rsidR="000D4915">
        <w:rPr>
          <w:color w:val="C00000"/>
        </w:rPr>
        <w:t>gaz</w:t>
      </w:r>
      <w:r w:rsidR="008A46D0">
        <w:rPr>
          <w:color w:val="C00000"/>
        </w:rPr>
        <w:t> </w:t>
      </w:r>
      <w:r w:rsidR="000D4915">
        <w:rPr>
          <w:color w:val="C00000"/>
        </w:rPr>
        <w:t>ziemny</w:t>
      </w:r>
      <w:bookmarkEnd w:id="159"/>
      <w:bookmarkEnd w:id="160"/>
    </w:p>
    <w:p w14:paraId="610EA4E1" w14:textId="2F61E94F" w:rsidR="0038115D" w:rsidRDefault="00DE0CED" w:rsidP="005B0E34">
      <w:r>
        <w:rPr>
          <w:noProof/>
        </w:rPr>
        <mc:AlternateContent>
          <mc:Choice Requires="wps">
            <w:drawing>
              <wp:anchor distT="0" distB="0" distL="114300" distR="114300" simplePos="0" relativeHeight="251663360" behindDoc="1" locked="0" layoutInCell="1" allowOverlap="1" wp14:anchorId="6B1C642B" wp14:editId="44A3D94D">
                <wp:simplePos x="0" y="0"/>
                <wp:positionH relativeFrom="margin">
                  <wp:posOffset>3126105</wp:posOffset>
                </wp:positionH>
                <wp:positionV relativeFrom="paragraph">
                  <wp:posOffset>66675</wp:posOffset>
                </wp:positionV>
                <wp:extent cx="2531110" cy="666750"/>
                <wp:effectExtent l="19050" t="57150" r="97790" b="61595"/>
                <wp:wrapSquare wrapText="bothSides"/>
                <wp:docPr id="2124906607" name="Prostokąt: zaokrąglone rogi 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31110" cy="666750"/>
                        </a:xfrm>
                        <a:prstGeom prst="roundRect">
                          <a:avLst>
                            <a:gd name="adj" fmla="val 11857"/>
                          </a:avLst>
                        </a:prstGeom>
                        <a:solidFill>
                          <a:schemeClr val="bg1"/>
                        </a:solidFill>
                        <a:ln w="6350">
                          <a:solidFill>
                            <a:srgbClr val="C00000"/>
                          </a:solidFill>
                        </a:ln>
                        <a:effectLst>
                          <a:outerShdw blurRad="50800" dist="38100" algn="l"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txbx>
                        <w:txbxContent>
                          <w:p w14:paraId="1B0A8996" w14:textId="3CCC838B" w:rsidR="00E267CA" w:rsidRPr="004E21CF" w:rsidRDefault="00C61F47" w:rsidP="00E267CA">
                            <w:pPr>
                              <w:pStyle w:val="Ramka"/>
                            </w:pPr>
                            <w:r>
                              <w:t>Ze względu na ograniczone zasoby krajowe gazu ziemnego</w:t>
                            </w:r>
                            <w:r w:rsidR="000947CE">
                              <w:t xml:space="preserve">, większość zapotrzebowania </w:t>
                            </w:r>
                            <w:r w:rsidR="003A4978">
                              <w:t>jest pokrywana surowcem z importu</w:t>
                            </w:r>
                            <w:r w:rsidR="00CB596F">
                              <w:t xml:space="preserve"> oraz wydobyciem własnym poza granicami kraju</w:t>
                            </w:r>
                            <w:r w:rsidR="00A439AD">
                              <w:t xml:space="preserve">. </w:t>
                            </w:r>
                          </w:p>
                        </w:txbxContent>
                      </wps:txbx>
                      <wps:bodyPr rot="0" spcFirstLastPara="0" vertOverflow="overflow" horzOverflow="overflow" vert="horz" wrap="square" lIns="72000" tIns="90000" rIns="72000" bIns="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6B1C642B" id="Prostokąt: zaokrąglone rogi 40" o:spid="_x0000_s1100" style="position:absolute;left:0;text-align:left;margin-left:246.15pt;margin-top:5.25pt;width:199.3pt;height:52.5pt;z-index:-2516531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777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" fillcolor="white [3212]" strokecolor="#c00000" strokeweight=".5pt">
                <v:stroke joinstyle="miter"/>
                <v:shadow on="t" color="black" opacity="26214f" origin="-.5" offset="3pt,0"/>
                <v:path arrowok="t"/>
                <v:textbox style="mso-fit-shape-to-text:t" inset="2mm,2.5mm,2mm,0">
                  <w:txbxContent>
                    <w:p w14:paraId="1B0A8996" w14:textId="3CCC838B" w:rsidR="00E267CA" w:rsidRPr="004E21CF" w:rsidRDefault="00C61F47" w:rsidP="00E267CA">
                      <w:pPr>
                        <w:pStyle w:val="Ramka"/>
                      </w:pPr>
                      <w:r>
                        <w:t>Ze względu na ograniczone zasoby krajowe gazu ziemnego</w:t>
                      </w:r>
                      <w:r w:rsidR="000947CE">
                        <w:t xml:space="preserve">, większość zapotrzebowania </w:t>
                      </w:r>
                      <w:r w:rsidR="003A4978">
                        <w:t>jest pokrywana surowcem z importu</w:t>
                      </w:r>
                      <w:r w:rsidR="00CB596F">
                        <w:t xml:space="preserve"> oraz wydobyciem własnym poza granicami kraju</w:t>
                      </w:r>
                      <w:r w:rsidR="00A439AD">
                        <w:t xml:space="preserve">. </w:t>
                      </w:r>
                    </w:p>
                  </w:txbxContent>
                </v:textbox>
                <w10:wrap type="square" anchorx="margin"/>
              </v:roundrect>
            </w:pict>
          </mc:Fallback>
        </mc:AlternateContent>
      </w:r>
      <w:r w:rsidR="0038115D">
        <w:t>Gaz ziemny odpowiada za istotn</w:t>
      </w:r>
      <w:r w:rsidR="00D83268">
        <w:t>ą</w:t>
      </w:r>
      <w:r w:rsidR="0038115D">
        <w:t xml:space="preserve"> część pokrycia zapotrzebowania na energię pierwotn</w:t>
      </w:r>
      <w:r w:rsidR="00D83268">
        <w:t>ą</w:t>
      </w:r>
      <w:r w:rsidR="0038115D">
        <w:t xml:space="preserve"> w kraju, a popyt na ten surowiec nie ulegnie spadkowi wcześniej niż </w:t>
      </w:r>
      <w:r w:rsidR="00CB596F">
        <w:t>w</w:t>
      </w:r>
      <w:r w:rsidR="0038115D">
        <w:t xml:space="preserve"> 2030 r. – </w:t>
      </w:r>
      <w:r w:rsidR="00E53753">
        <w:t>wówczas przewiduje się szczyt zapotrzebowania.</w:t>
      </w:r>
      <w:r w:rsidR="0038115D">
        <w:t xml:space="preserve"> </w:t>
      </w:r>
      <w:r w:rsidR="00E53753">
        <w:t>Ze względu na p</w:t>
      </w:r>
      <w:r w:rsidR="00CB596F">
        <w:t xml:space="preserve">omostową </w:t>
      </w:r>
      <w:r w:rsidR="00E53753">
        <w:t>rolę w</w:t>
      </w:r>
      <w:r w:rsidR="00CB596F">
        <w:t xml:space="preserve"> procesie </w:t>
      </w:r>
      <w:r w:rsidR="00E53753">
        <w:t>transformacji energetycznej,</w:t>
      </w:r>
      <w:r w:rsidR="0038115D">
        <w:t xml:space="preserve"> niezbędne jest zagwarantowanie pewności dostaw tego surowca do odbiorców.</w:t>
      </w:r>
    </w:p>
    <w:p w14:paraId="433E4AC1" w14:textId="458FD365" w:rsidR="00B613FC" w:rsidRDefault="0038115D" w:rsidP="005B0E34">
      <w:r>
        <w:t>W tej części określono cele dotyczące</w:t>
      </w:r>
      <w:r w:rsidR="00B613FC">
        <w:t xml:space="preserve"> dywersyfikacji dostaw gazu ziemnego spoza kraju, </w:t>
      </w:r>
      <w:r w:rsidR="00FE0740">
        <w:t>pokrywania części popytu na surowiec zasobami własnymi, a także zapewniania odpowiednio rozwiniętej i sprawnej infrastruktury krajowej</w:t>
      </w:r>
      <w:r w:rsidR="004D1ABA">
        <w:t xml:space="preserve"> i transgranicznej</w:t>
      </w:r>
      <w:r w:rsidR="00FE0740">
        <w:t xml:space="preserve">, która umożliwia odbiorcom dostęp do surowca. </w:t>
      </w:r>
    </w:p>
    <w:p w14:paraId="6A7C8B8E" w14:textId="033ACB12" w:rsidR="00FE0740" w:rsidRDefault="00D0260B" w:rsidP="00B613FC">
      <w:r>
        <w:t>Obok określenia polityk i działań mających na celu pokrycie popytu na gaz ziemny, niezbędne jest także zdefiniowanie celów dotyczących gotowości do radzenia sobie z ograniczeniami lub przerwami w dostawach surowca, co również uwzględniono w tej części dokumentu.</w:t>
      </w:r>
    </w:p>
    <w:p w14:paraId="44EAAEEE" w14:textId="5BA31619" w:rsidR="00B03CB7" w:rsidRPr="00B229EA" w:rsidRDefault="00B03CB7" w:rsidP="00B613FC">
      <w:r>
        <w:t xml:space="preserve">Część zagadnień związanych z </w:t>
      </w:r>
      <w:r w:rsidR="003654C6">
        <w:t>infrastrukturą</w:t>
      </w:r>
      <w:r>
        <w:t xml:space="preserve"> </w:t>
      </w:r>
      <w:r w:rsidR="003654C6">
        <w:t xml:space="preserve">gazową </w:t>
      </w:r>
      <w:r>
        <w:t>i pewnością pokrycia zapotrzebowania na surowiec zostały omówione również w 4. wymiarze, w obszarze 4.2.</w:t>
      </w:r>
    </w:p>
    <w:p w14:paraId="1BDCA0B6" w14:textId="4F816E86" w:rsidR="006F34B5" w:rsidRPr="001D79FD" w:rsidRDefault="006F34B5" w:rsidP="001D79FD">
      <w:pPr>
        <w:pStyle w:val="Nagwek4"/>
        <w:rPr>
          <w:color w:val="C00000"/>
        </w:rPr>
      </w:pPr>
      <w:bookmarkStart w:id="161" w:name="_Toc159598317"/>
      <w:bookmarkStart w:id="162" w:name="_Toc179536969"/>
      <w:r w:rsidRPr="001D79FD">
        <w:rPr>
          <w:color w:val="C00000"/>
        </w:rPr>
        <w:t xml:space="preserve">Dywersyfikacja dostaw </w:t>
      </w:r>
      <w:r w:rsidR="00550223">
        <w:rPr>
          <w:color w:val="C00000"/>
        </w:rPr>
        <w:t xml:space="preserve">(importu) </w:t>
      </w:r>
      <w:r w:rsidRPr="001D79FD">
        <w:rPr>
          <w:color w:val="C00000"/>
        </w:rPr>
        <w:t>gazu ziemnego</w:t>
      </w:r>
      <w:bookmarkEnd w:id="161"/>
      <w:bookmarkEnd w:id="162"/>
      <w:r w:rsidRPr="001D79FD">
        <w:rPr>
          <w:color w:val="C00000"/>
        </w:rPr>
        <w:t xml:space="preserve"> </w:t>
      </w:r>
    </w:p>
    <w:p w14:paraId="0F1EFFD3" w14:textId="1F510887" w:rsidR="00CB596F" w:rsidRDefault="00CB596F" w:rsidP="00CB596F">
      <w:r>
        <w:t xml:space="preserve">Kryzys na rynkach energetycznych w latach 2021–2022 r. pokazał jak bardzo istotne jest zapewnienie odpowiednio głębokiej dywersyfikacji dostaw surowców, mając na względzie uzależnienie pokrycia krajowego popytu na dany surowiec od importu. W 2022 r. dostawy gazu ziemnego spoza kraju </w:t>
      </w:r>
      <w:r w:rsidR="004D1ABA">
        <w:t>odpowiadały równowartości</w:t>
      </w:r>
      <w:r>
        <w:t xml:space="preserve"> niemal 87%</w:t>
      </w:r>
      <w:r>
        <w:rPr>
          <w:rStyle w:val="Odwoanieprzypisudolnego"/>
        </w:rPr>
        <w:footnoteReference w:id="77"/>
      </w:r>
      <w:r>
        <w:t xml:space="preserve"> </w:t>
      </w:r>
      <w:r w:rsidR="004D1ABA">
        <w:t xml:space="preserve">rocznego </w:t>
      </w:r>
      <w:r>
        <w:t>zużycia , przy łącznym zapotrzebowaniu ok.16,6 mld m</w:t>
      </w:r>
      <w:r w:rsidRPr="00D1513B">
        <w:rPr>
          <w:vertAlign w:val="superscript"/>
        </w:rPr>
        <w:t>3</w:t>
      </w:r>
      <w:r>
        <w:t>. Należy jednak zauważyć, że zapotrzebowanie w 2022 r. było rekordowo niskie z powodu kryzysu i nie odpowiada rocznemu zużyciu w okresach przed i pokryzysowym.</w:t>
      </w:r>
    </w:p>
    <w:p w14:paraId="33490CCE" w14:textId="0A57EC81" w:rsidR="00CB596F" w:rsidRDefault="00CB596F" w:rsidP="00CB596F">
      <w:r>
        <w:t>Sytuacja Polski w odniesieniu do gazu ziemnego była znacznie lepsza niż w innych państwach europejskich, gdyż inwestycje infrastrukturalne (m.in. terminal LNG w Świnoujściu i Baltic Pipe) zostały zrealizowane w takim czasie, aby możliwe było nieprzedłużanie kontraktu z rosyjską spółką Gazprom. Ich realizacja stwarza także możliwości zwiększenia roli Polski w kontekście przesyłu i handlu gazem w regionie.</w:t>
      </w:r>
    </w:p>
    <w:p w14:paraId="147D1BCC" w14:textId="576EFB3C" w:rsidR="00CB596F" w:rsidRPr="005B0E34" w:rsidRDefault="00CB596F" w:rsidP="00CB596F">
      <w:pPr>
        <w:pStyle w:val="Cele"/>
        <w:rPr>
          <w:rStyle w:val="CeleZnak"/>
          <w:b/>
        </w:rPr>
      </w:pPr>
      <w:r w:rsidRPr="00793CBE">
        <w:rPr>
          <w:b/>
          <w:bCs/>
        </w:rPr>
        <w:t xml:space="preserve">Celem w obszarze dywersyfikacji dostaw gazu ziemnego jest </w:t>
      </w:r>
      <w:r>
        <w:rPr>
          <w:b/>
          <w:bCs/>
        </w:rPr>
        <w:t>utrzymanie osiągniętego uniezależnienia</w:t>
      </w:r>
      <w:r w:rsidRPr="00793CBE">
        <w:rPr>
          <w:b/>
          <w:bCs/>
        </w:rPr>
        <w:t xml:space="preserve"> od dostaw z </w:t>
      </w:r>
      <w:r>
        <w:rPr>
          <w:b/>
          <w:bCs/>
        </w:rPr>
        <w:t>jednego</w:t>
      </w:r>
      <w:r w:rsidRPr="00793CBE">
        <w:rPr>
          <w:b/>
          <w:bCs/>
        </w:rPr>
        <w:t xml:space="preserve"> źródła </w:t>
      </w:r>
      <w:r>
        <w:rPr>
          <w:b/>
          <w:bCs/>
        </w:rPr>
        <w:t>(lub</w:t>
      </w:r>
      <w:r w:rsidRPr="00793CBE">
        <w:rPr>
          <w:b/>
          <w:bCs/>
        </w:rPr>
        <w:t xml:space="preserve"> kierunku</w:t>
      </w:r>
      <w:r>
        <w:rPr>
          <w:b/>
          <w:bCs/>
        </w:rPr>
        <w:t>)</w:t>
      </w:r>
      <w:r w:rsidRPr="00793CBE">
        <w:rPr>
          <w:b/>
          <w:bCs/>
        </w:rPr>
        <w:t xml:space="preserve"> w </w:t>
      </w:r>
      <w:r w:rsidRPr="005B0E34">
        <w:rPr>
          <w:rStyle w:val="CeleZnak"/>
          <w:b/>
        </w:rPr>
        <w:t>okresie transformacji</w:t>
      </w:r>
      <w:r>
        <w:rPr>
          <w:rStyle w:val="CeleZnak"/>
          <w:b/>
        </w:rPr>
        <w:t xml:space="preserve"> oraz możliwości eksportowych do państw zainteresowanych wykorzystywaniem infrastruktury transgranicznej, co pozwoli na kontraktację dostaw na warunkach rynkowych</w:t>
      </w:r>
      <w:r w:rsidRPr="005B0E34">
        <w:rPr>
          <w:rStyle w:val="CeleZnak"/>
          <w:b/>
        </w:rPr>
        <w:t xml:space="preserve">. </w:t>
      </w:r>
    </w:p>
    <w:p w14:paraId="51DEC585" w14:textId="77777777" w:rsidR="00D32EE4" w:rsidRDefault="00CB596F" w:rsidP="00CB596F">
      <w:r w:rsidRPr="00793CBE">
        <w:t>Cel może ulec zmianie w długiej perspektywie – gdy krajowe zapotrzebowanie spadnie do poziomu, w</w:t>
      </w:r>
      <w:r w:rsidR="00F618A1">
        <w:t> </w:t>
      </w:r>
      <w:r w:rsidRPr="00793CBE">
        <w:t xml:space="preserve">którym wykorzystanie gazu ziemnego w gospodarce będzie na tyle niskie, że ryzyko przerw w dostawach </w:t>
      </w:r>
      <w:r>
        <w:t>gazu ziemnego na potrzeby sektora energetycznego i odbiorców indywidualnych zostanie wyeliminowane dzięki wydobyciu własnemu w kraju i za granicą</w:t>
      </w:r>
      <w:r w:rsidRPr="00793CBE">
        <w:t>.</w:t>
      </w:r>
    </w:p>
    <w:p w14:paraId="1EA0163C" w14:textId="34E1B4B8" w:rsidR="00CB596F" w:rsidRDefault="00CB596F" w:rsidP="008155B0">
      <w:pPr>
        <w:pStyle w:val="Bezodstpw"/>
      </w:pPr>
    </w:p>
    <w:tbl>
      <w:tblPr>
        <w:tblStyle w:val="Tabela-Siatka"/>
        <w:tblpPr w:leftFromText="141" w:rightFromText="141" w:vertAnchor="text" w:horzAnchor="margin" w:tblpXSpec="right" w:tblpY="54"/>
        <w:tblW w:w="0" w:type="auto"/>
        <w:tblBorders>
          <w:top w:val="none" w:sz="0" w:space="0" w:color="auto"/>
          <w:left w:val="none" w:sz="0" w:space="0" w:color="auto"/>
          <w:bottom w:val="none" w:sz="0" w:space="0" w:color="auto"/>
          <w:right w:val="none" w:sz="0" w:space="0" w:color="auto"/>
          <w:insideH w:val="none" w:sz="0" w:space="0" w:color="auto"/>
          <w:insideV w:val="single" w:sz="4" w:space="0" w:color="D9D9D9" w:themeColor="background1" w:themeShade="D9"/>
        </w:tblBorders>
        <w:tblLayout w:type="fixed"/>
        <w:tblLook w:val="04A0" w:firstRow="1" w:lastRow="0" w:firstColumn="1" w:lastColumn="0" w:noHBand="0" w:noVBand="1"/>
      </w:tblPr>
      <w:tblGrid>
        <w:gridCol w:w="993"/>
        <w:gridCol w:w="1417"/>
      </w:tblGrid>
      <w:tr w:rsidR="00D32EE4" w:rsidRPr="006A47D6" w14:paraId="6983E81E" w14:textId="77777777" w:rsidTr="00D32EE4">
        <w:tc>
          <w:tcPr>
            <w:tcW w:w="2410" w:type="dxa"/>
            <w:gridSpan w:val="2"/>
          </w:tcPr>
          <w:p w14:paraId="2007E25E" w14:textId="60F33E41" w:rsidR="00D32EE4" w:rsidRPr="00D32EE4" w:rsidRDefault="00D32EE4" w:rsidP="00D32EE4">
            <w:pPr>
              <w:pStyle w:val="nawigator"/>
              <w:spacing w:after="60"/>
              <w:rPr>
                <w:b w:val="0"/>
                <w:bCs/>
                <w:color w:val="74121D"/>
              </w:rPr>
            </w:pPr>
            <w:r>
              <w:rPr>
                <w:b w:val="0"/>
                <w:bCs/>
                <w:color w:val="74121D"/>
              </w:rPr>
              <w:t>zużycie gazu ziemnego</w:t>
            </w:r>
          </w:p>
        </w:tc>
      </w:tr>
      <w:tr w:rsidR="00D32EE4" w:rsidRPr="006A47D6" w14:paraId="525879E4" w14:textId="77777777" w:rsidTr="00D32EE4">
        <w:tc>
          <w:tcPr>
            <w:tcW w:w="993" w:type="dxa"/>
          </w:tcPr>
          <w:p w14:paraId="046CBB0B" w14:textId="16C0F4AE" w:rsidR="00D32EE4" w:rsidRPr="00D32EE4" w:rsidRDefault="00D32EE4" w:rsidP="00D32EE4">
            <w:pPr>
              <w:pStyle w:val="nawigator"/>
              <w:jc w:val="right"/>
              <w:rPr>
                <w:b w:val="0"/>
                <w:bCs/>
                <w:color w:val="74121D"/>
              </w:rPr>
            </w:pPr>
            <w:r w:rsidRPr="00D32EE4">
              <w:rPr>
                <w:b w:val="0"/>
                <w:bCs/>
                <w:color w:val="74121D"/>
              </w:rPr>
              <w:t>2030</w:t>
            </w:r>
          </w:p>
        </w:tc>
        <w:tc>
          <w:tcPr>
            <w:tcW w:w="1417" w:type="dxa"/>
          </w:tcPr>
          <w:p w14:paraId="5A5036F0" w14:textId="18E64597" w:rsidR="00D32EE4" w:rsidRPr="006A47D6" w:rsidRDefault="00D32EE4" w:rsidP="00D32EE4">
            <w:pPr>
              <w:pStyle w:val="nawigator"/>
              <w:rPr>
                <w:color w:val="74121D"/>
              </w:rPr>
            </w:pPr>
            <w:r>
              <w:rPr>
                <w:color w:val="74121D"/>
              </w:rPr>
              <w:t xml:space="preserve">23 mld </w:t>
            </w:r>
            <w:r w:rsidRPr="00F51585">
              <w:rPr>
                <w:color w:val="74121D"/>
              </w:rPr>
              <w:t>m</w:t>
            </w:r>
            <w:r w:rsidRPr="00F51585">
              <w:rPr>
                <w:color w:val="74121D"/>
                <w:vertAlign w:val="superscript"/>
              </w:rPr>
              <w:t>3</w:t>
            </w:r>
          </w:p>
        </w:tc>
      </w:tr>
      <w:tr w:rsidR="00D32EE4" w:rsidRPr="006A47D6" w14:paraId="3DA34C23" w14:textId="77777777" w:rsidTr="00D32EE4">
        <w:tc>
          <w:tcPr>
            <w:tcW w:w="993" w:type="dxa"/>
          </w:tcPr>
          <w:p w14:paraId="2748FE77" w14:textId="14473E8F" w:rsidR="00D32EE4" w:rsidRPr="00D32EE4" w:rsidRDefault="00D32EE4" w:rsidP="00D32EE4">
            <w:pPr>
              <w:pStyle w:val="nawigator"/>
              <w:jc w:val="right"/>
              <w:rPr>
                <w:b w:val="0"/>
                <w:bCs/>
                <w:color w:val="74121D"/>
              </w:rPr>
            </w:pPr>
            <w:r w:rsidRPr="00D32EE4">
              <w:rPr>
                <w:b w:val="0"/>
                <w:bCs/>
                <w:color w:val="74121D"/>
              </w:rPr>
              <w:t>2040</w:t>
            </w:r>
          </w:p>
        </w:tc>
        <w:tc>
          <w:tcPr>
            <w:tcW w:w="1417" w:type="dxa"/>
          </w:tcPr>
          <w:p w14:paraId="3656DE84" w14:textId="02C0E68F" w:rsidR="00D32EE4" w:rsidRPr="006A47D6" w:rsidRDefault="00D32EE4" w:rsidP="00D32EE4">
            <w:pPr>
              <w:pStyle w:val="nawigator"/>
              <w:rPr>
                <w:color w:val="74121D"/>
              </w:rPr>
            </w:pPr>
            <w:r>
              <w:rPr>
                <w:color w:val="74121D"/>
              </w:rPr>
              <w:t>1</w:t>
            </w:r>
            <w:r w:rsidR="00937470">
              <w:rPr>
                <w:color w:val="74121D"/>
              </w:rPr>
              <w:t>3</w:t>
            </w:r>
            <w:r w:rsidRPr="00F51585">
              <w:rPr>
                <w:color w:val="74121D"/>
              </w:rPr>
              <w:t xml:space="preserve"> mld m</w:t>
            </w:r>
            <w:r w:rsidRPr="00F51585">
              <w:rPr>
                <w:color w:val="74121D"/>
                <w:vertAlign w:val="superscript"/>
              </w:rPr>
              <w:t>3</w:t>
            </w:r>
          </w:p>
        </w:tc>
      </w:tr>
    </w:tbl>
    <w:p w14:paraId="5EB94006" w14:textId="474D9BA3" w:rsidR="00AB7C90" w:rsidRDefault="008155B0" w:rsidP="00CB596F">
      <w:r>
        <w:t>Aktualnie</w:t>
      </w:r>
      <w:r w:rsidR="00AB7C90">
        <w:t xml:space="preserve"> przewiduje się, że szczyt krajowego zapotrzebowania na gaz ziemny nastąpi w </w:t>
      </w:r>
      <w:r w:rsidR="00D32EE4">
        <w:t>okresie</w:t>
      </w:r>
      <w:r w:rsidR="00AB7C90">
        <w:t xml:space="preserve"> 2025–2030 i będzie wynosić ok. 23 mld m</w:t>
      </w:r>
      <w:r w:rsidR="00AB7C90" w:rsidRPr="00AB7C90">
        <w:rPr>
          <w:vertAlign w:val="superscript"/>
        </w:rPr>
        <w:t>3</w:t>
      </w:r>
      <w:r w:rsidR="00AB7C90">
        <w:rPr>
          <w:vertAlign w:val="superscript"/>
        </w:rPr>
        <w:t>.</w:t>
      </w:r>
      <w:r w:rsidR="00AB7C90">
        <w:t>. W perspektywie 2040 r. może wynieść ok. 13 mld m</w:t>
      </w:r>
      <w:r w:rsidR="00AB7C90" w:rsidRPr="00AB7C90">
        <w:rPr>
          <w:vertAlign w:val="superscript"/>
        </w:rPr>
        <w:t>3</w:t>
      </w:r>
      <w:r w:rsidR="00AB7C90">
        <w:t>.</w:t>
      </w:r>
      <w:r w:rsidR="00AB7C90">
        <w:rPr>
          <w:vertAlign w:val="superscript"/>
        </w:rPr>
        <w:t xml:space="preserve"> </w:t>
      </w:r>
    </w:p>
    <w:p w14:paraId="4898D756" w14:textId="77777777" w:rsidR="00F3711B" w:rsidRDefault="00F3711B" w:rsidP="006C637D">
      <w:pPr>
        <w:pStyle w:val="Polityka"/>
      </w:pPr>
      <w:r w:rsidRPr="00C46DAA">
        <w:t>POLITYKA</w:t>
      </w:r>
    </w:p>
    <w:p w14:paraId="5CC3526D" w14:textId="77777777" w:rsidR="00660FE1" w:rsidRDefault="00660FE1" w:rsidP="00660FE1">
      <w:pPr>
        <w:spacing w:after="80"/>
      </w:pPr>
      <w:r>
        <w:t>Cel dywersyfikacyjny dostaw gazu ziemnego będzie realizowany przez:</w:t>
      </w:r>
    </w:p>
    <w:p w14:paraId="4C3DFA8F" w14:textId="3DFA68A2" w:rsidR="00660FE1" w:rsidRDefault="00660FE1" w:rsidP="00D121F4">
      <w:pPr>
        <w:pStyle w:val="Akapitzlist"/>
        <w:numPr>
          <w:ilvl w:val="0"/>
          <w:numId w:val="7"/>
        </w:numPr>
      </w:pPr>
      <w:r>
        <w:t>zapewnienie możliwości odbioru dostaw gazu ziemnego, dzięki odpowiedniej ochron</w:t>
      </w:r>
      <w:r w:rsidR="004D1ABA">
        <w:t xml:space="preserve">ie </w:t>
      </w:r>
      <w:r>
        <w:t>i</w:t>
      </w:r>
      <w:r w:rsidR="004D1ABA">
        <w:t> </w:t>
      </w:r>
      <w:r>
        <w:t>utrzymaniu pełnej funkcjonalności:</w:t>
      </w:r>
    </w:p>
    <w:p w14:paraId="00C22D6C" w14:textId="77777777" w:rsidR="00660FE1" w:rsidRDefault="00660FE1" w:rsidP="00D121F4">
      <w:pPr>
        <w:pStyle w:val="Akapitzlist"/>
        <w:numPr>
          <w:ilvl w:val="1"/>
          <w:numId w:val="7"/>
        </w:numPr>
      </w:pPr>
      <w:r>
        <w:t xml:space="preserve">połączeń z systemami państw sąsiadujących (Niemcy, Litwa, Czechy, Słowacja, Ukraina), </w:t>
      </w:r>
    </w:p>
    <w:p w14:paraId="34554A2C" w14:textId="79E7B698" w:rsidR="00660FE1" w:rsidRDefault="00660FE1" w:rsidP="00D121F4">
      <w:pPr>
        <w:pStyle w:val="Akapitzlist"/>
        <w:numPr>
          <w:ilvl w:val="1"/>
          <w:numId w:val="7"/>
        </w:numPr>
      </w:pPr>
      <w:r>
        <w:t>gazociągu Baltic Pipe, umożliwiającego import z szelfu norweskiego</w:t>
      </w:r>
      <w:r w:rsidR="004D1ABA">
        <w:t xml:space="preserve"> i duńskiego</w:t>
      </w:r>
      <w:r>
        <w:t>,</w:t>
      </w:r>
    </w:p>
    <w:p w14:paraId="470B4DD5" w14:textId="77777777" w:rsidR="00660FE1" w:rsidRDefault="00660FE1" w:rsidP="00D121F4">
      <w:pPr>
        <w:pStyle w:val="Akapitzlist"/>
        <w:numPr>
          <w:ilvl w:val="1"/>
          <w:numId w:val="7"/>
        </w:numPr>
      </w:pPr>
      <w:r>
        <w:t>terminalu regazyfikacyjnego LNG w Świnoujściu</w:t>
      </w:r>
    </w:p>
    <w:p w14:paraId="17B5AD2D" w14:textId="77777777" w:rsidR="00660FE1" w:rsidRDefault="00660FE1" w:rsidP="00D121F4">
      <w:pPr>
        <w:pStyle w:val="Akapitzlist"/>
        <w:numPr>
          <w:ilvl w:val="0"/>
          <w:numId w:val="7"/>
        </w:numPr>
      </w:pPr>
      <w:r>
        <w:t xml:space="preserve">budowę </w:t>
      </w:r>
      <w:r w:rsidRPr="007E4C7D">
        <w:t>terminal</w:t>
      </w:r>
      <w:r>
        <w:t>u</w:t>
      </w:r>
      <w:r w:rsidRPr="007E4C7D">
        <w:t xml:space="preserve"> </w:t>
      </w:r>
      <w:r>
        <w:t xml:space="preserve">LNG typu </w:t>
      </w:r>
      <w:r w:rsidRPr="007E4C7D">
        <w:t>FSRU w Zatoce Gdańskiej</w:t>
      </w:r>
      <w:r>
        <w:t>,</w:t>
      </w:r>
    </w:p>
    <w:p w14:paraId="2FC14967" w14:textId="77777777" w:rsidR="00660FE1" w:rsidRDefault="00660FE1" w:rsidP="00D121F4">
      <w:pPr>
        <w:pStyle w:val="Akapitzlist"/>
        <w:numPr>
          <w:ilvl w:val="0"/>
          <w:numId w:val="7"/>
        </w:numPr>
      </w:pPr>
      <w:r>
        <w:t>zapewnienie odpowiednio rozwiniętej i sprawnej infrastruktury przesyłowej wewnątrz kraju,</w:t>
      </w:r>
    </w:p>
    <w:p w14:paraId="2529B4C9" w14:textId="77777777" w:rsidR="00660FE1" w:rsidRDefault="00660FE1" w:rsidP="00D121F4">
      <w:pPr>
        <w:pStyle w:val="Akapitzlist"/>
        <w:numPr>
          <w:ilvl w:val="0"/>
          <w:numId w:val="7"/>
        </w:numPr>
      </w:pPr>
      <w:r>
        <w:t xml:space="preserve">zobowiązanie przedsiębiorstw energetycznych do dywersyfikacji dostaw gazu ziemnego z zagranicy – do 2026 r.  udział gazu ziemnego importowanego z jednego źródła w danym roku kalendarzowym nie może przekraczać 33%. Wyniki cyklicznego monitorowania </w:t>
      </w:r>
      <w:r w:rsidRPr="00DB574E">
        <w:t xml:space="preserve">bezpieczeństwa dostaw paliw gazowych </w:t>
      </w:r>
      <w:r>
        <w:t>będą stanowić podstawę do określania tego poziomu w kolejnych latach i w dalszej perspektywie.</w:t>
      </w:r>
    </w:p>
    <w:p w14:paraId="40E71A74" w14:textId="77777777" w:rsidR="00F3711B" w:rsidRPr="00C46DAA" w:rsidRDefault="00F3711B" w:rsidP="006C637D">
      <w:pPr>
        <w:pStyle w:val="Polityka"/>
      </w:pPr>
      <w:r w:rsidRPr="00C46DAA">
        <w:t>DZIAŁANIA</w:t>
      </w:r>
    </w:p>
    <w:p w14:paraId="5D551B19" w14:textId="4EEFE3C3" w:rsidR="00284561" w:rsidRDefault="00284561" w:rsidP="008340D5">
      <w:pPr>
        <w:pStyle w:val="Akapitzlist"/>
        <w:numPr>
          <w:ilvl w:val="0"/>
          <w:numId w:val="6"/>
        </w:numPr>
        <w:rPr>
          <w:szCs w:val="20"/>
        </w:rPr>
      </w:pPr>
      <w:r>
        <w:rPr>
          <w:szCs w:val="20"/>
        </w:rPr>
        <w:fldChar w:fldCharType="begin"/>
      </w:r>
      <w:r>
        <w:rPr>
          <w:szCs w:val="20"/>
        </w:rPr>
        <w:instrText xml:space="preserve"> REF _Ref157434707 \h </w:instrText>
      </w:r>
      <w:r>
        <w:rPr>
          <w:szCs w:val="20"/>
        </w:rPr>
      </w:r>
      <w:r>
        <w:rPr>
          <w:szCs w:val="20"/>
        </w:rPr>
        <w:fldChar w:fldCharType="separate"/>
      </w:r>
      <w:r w:rsidR="00DD3929" w:rsidRPr="00570679">
        <w:t xml:space="preserve">Działanie </w:t>
      </w:r>
      <w:r w:rsidR="00DD3929">
        <w:rPr>
          <w:noProof/>
        </w:rPr>
        <w:t>106</w:t>
      </w:r>
      <w:r w:rsidR="00DD3929" w:rsidRPr="00570679">
        <w:t xml:space="preserve">. </w:t>
      </w:r>
      <w:r w:rsidR="00DD3929">
        <w:t>Utrzymanie sprawnych połączeń międzysystemowych i terminalu LNG w Świnoujściu</w:t>
      </w:r>
      <w:r w:rsidR="00DD3929" w:rsidRPr="00570679">
        <w:t>.</w:t>
      </w:r>
      <w:r>
        <w:rPr>
          <w:szCs w:val="20"/>
        </w:rPr>
        <w:fldChar w:fldCharType="end"/>
      </w:r>
    </w:p>
    <w:p w14:paraId="51300297" w14:textId="455EDD6C" w:rsidR="00D14AB7" w:rsidRPr="00284561" w:rsidRDefault="00284561" w:rsidP="00284561">
      <w:pPr>
        <w:pStyle w:val="Akapitzlist"/>
        <w:numPr>
          <w:ilvl w:val="0"/>
          <w:numId w:val="6"/>
        </w:numPr>
        <w:rPr>
          <w:szCs w:val="20"/>
        </w:rPr>
      </w:pPr>
      <w:r>
        <w:rPr>
          <w:szCs w:val="20"/>
        </w:rPr>
        <w:fldChar w:fldCharType="begin"/>
      </w:r>
      <w:r>
        <w:rPr>
          <w:szCs w:val="20"/>
        </w:rPr>
        <w:instrText xml:space="preserve"> REF _Ref157434743 \h </w:instrText>
      </w:r>
      <w:r>
        <w:rPr>
          <w:szCs w:val="20"/>
        </w:rPr>
      </w:r>
      <w:r>
        <w:rPr>
          <w:szCs w:val="20"/>
        </w:rPr>
        <w:fldChar w:fldCharType="separate"/>
      </w:r>
      <w:r w:rsidR="00DD3929" w:rsidRPr="00570679">
        <w:t xml:space="preserve">Działanie </w:t>
      </w:r>
      <w:r w:rsidR="00DD3929">
        <w:rPr>
          <w:noProof/>
        </w:rPr>
        <w:t>108</w:t>
      </w:r>
      <w:r w:rsidR="00DD3929" w:rsidRPr="00570679">
        <w:t xml:space="preserve">. </w:t>
      </w:r>
      <w:r w:rsidR="00DD3929">
        <w:t>B</w:t>
      </w:r>
      <w:r w:rsidR="00DD3929" w:rsidRPr="00570679">
        <w:t>udow</w:t>
      </w:r>
      <w:r w:rsidR="00DD3929">
        <w:t>a</w:t>
      </w:r>
      <w:r w:rsidR="00DD3929" w:rsidRPr="00570679">
        <w:t xml:space="preserve"> terminal</w:t>
      </w:r>
      <w:r w:rsidR="00DD3929">
        <w:t>u</w:t>
      </w:r>
      <w:r w:rsidR="00DD3929" w:rsidRPr="00570679">
        <w:t xml:space="preserve"> FSRU w Zatoce Gdańskiej.</w:t>
      </w:r>
      <w:r>
        <w:rPr>
          <w:szCs w:val="20"/>
        </w:rPr>
        <w:fldChar w:fldCharType="end"/>
      </w:r>
    </w:p>
    <w:p w14:paraId="24AB722D" w14:textId="0941BAC9" w:rsidR="001D79FD" w:rsidRDefault="001D79FD" w:rsidP="001D79FD">
      <w:pPr>
        <w:pStyle w:val="Nagwek4"/>
        <w:rPr>
          <w:color w:val="C00000"/>
        </w:rPr>
      </w:pPr>
      <w:bookmarkStart w:id="163" w:name="_Toc159598318"/>
      <w:bookmarkStart w:id="164" w:name="_Toc179536970"/>
      <w:r w:rsidRPr="00D1513B">
        <w:rPr>
          <w:color w:val="C00000"/>
        </w:rPr>
        <w:t>Utrzymanie krajowego poziomu</w:t>
      </w:r>
      <w:r w:rsidRPr="001D79FD">
        <w:rPr>
          <w:color w:val="C00000"/>
        </w:rPr>
        <w:t xml:space="preserve"> wydobycia gazu ziemnego</w:t>
      </w:r>
      <w:bookmarkEnd w:id="163"/>
      <w:bookmarkEnd w:id="164"/>
    </w:p>
    <w:p w14:paraId="72AF866E" w14:textId="77372CF7" w:rsidR="00F3544D" w:rsidRDefault="00DE0CED" w:rsidP="00DB574E">
      <w:r>
        <w:rPr>
          <w:noProof/>
        </w:rPr>
        <mc:AlternateContent>
          <mc:Choice Requires="wps">
            <w:drawing>
              <wp:anchor distT="0" distB="0" distL="114300" distR="114300" simplePos="0" relativeHeight="251674624" behindDoc="1" locked="0" layoutInCell="1" allowOverlap="1" wp14:anchorId="4F69F97A" wp14:editId="6C375548">
                <wp:simplePos x="0" y="0"/>
                <wp:positionH relativeFrom="margin">
                  <wp:align>right</wp:align>
                </wp:positionH>
                <wp:positionV relativeFrom="paragraph">
                  <wp:posOffset>60960</wp:posOffset>
                </wp:positionV>
                <wp:extent cx="2620010" cy="1042670"/>
                <wp:effectExtent l="19050" t="57150" r="104140" b="62230"/>
                <wp:wrapSquare wrapText="bothSides"/>
                <wp:docPr id="1706642508" name="Prostokąt: zaokrąglone rogi 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20010" cy="1042670"/>
                        </a:xfrm>
                        <a:prstGeom prst="roundRect">
                          <a:avLst>
                            <a:gd name="adj" fmla="val 11857"/>
                          </a:avLst>
                        </a:prstGeom>
                        <a:solidFill>
                          <a:schemeClr val="bg1"/>
                        </a:solidFill>
                        <a:ln w="6350">
                          <a:solidFill>
                            <a:srgbClr val="C00000"/>
                          </a:solidFill>
                        </a:ln>
                        <a:effectLst>
                          <a:outerShdw blurRad="50800" dist="38100" algn="l"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txbx>
                        <w:txbxContent>
                          <w:p w14:paraId="42AA0421" w14:textId="23B18058" w:rsidR="004D4432" w:rsidRPr="004E21CF" w:rsidRDefault="004D4432" w:rsidP="004D4432">
                            <w:pPr>
                              <w:pStyle w:val="Ramka"/>
                            </w:pPr>
                            <w:r>
                              <w:t xml:space="preserve">W Polsce wydobywa się gaz ziemny wysokometanowy i zaazotowany, które różnią się właściwościami fizycznymi i wartością opałową. Z tego względu ten drugi wykorzystuje się wyłącznie lokalnie. </w:t>
                            </w:r>
                          </w:p>
                        </w:txbxContent>
                      </wps:txbx>
                      <wps:bodyPr rot="0" spcFirstLastPara="0" vertOverflow="overflow" horzOverflow="overflow" vert="horz" wrap="square" lIns="72000" tIns="90000" rIns="72000" bIns="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4F69F97A" id="Prostokąt: zaokrąglone rogi 38" o:spid="_x0000_s1101" style="position:absolute;left:0;text-align:left;margin-left:155.1pt;margin-top:4.8pt;width:206.3pt;height:82.1pt;z-index:-25164185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arcsize="777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" fillcolor="white [3212]" strokecolor="#c00000" strokeweight=".5pt">
                <v:stroke joinstyle="miter"/>
                <v:shadow on="t" color="black" opacity="26214f" origin="-.5" offset="3pt,0"/>
                <v:path arrowok="t"/>
                <v:textbox style="mso-fit-shape-to-text:t" inset="2mm,2.5mm,2mm,0">
                  <w:txbxContent>
                    <w:p w14:paraId="42AA0421" w14:textId="23B18058" w:rsidR="004D4432" w:rsidRPr="004E21CF" w:rsidRDefault="004D4432" w:rsidP="004D4432">
                      <w:pPr>
                        <w:pStyle w:val="Ramka"/>
                      </w:pPr>
                      <w:r>
                        <w:t xml:space="preserve">W Polsce wydobywa się gaz ziemny wysokometanowy i zaazotowany, które różnią się właściwościami fizycznymi i wartością opałową. Z tego względu ten drugi wykorzystuje się wyłącznie lokalnie. </w:t>
                      </w:r>
                    </w:p>
                  </w:txbxContent>
                </v:textbox>
                <w10:wrap type="square" anchorx="margin"/>
              </v:roundrect>
            </w:pict>
          </mc:Fallback>
        </mc:AlternateContent>
      </w:r>
      <w:r w:rsidR="00DB574E">
        <w:t xml:space="preserve">Choć głównym źródłem pokrycia zapotrzebowania na gaz ziemny w Polsce </w:t>
      </w:r>
      <w:r w:rsidR="00E133EB">
        <w:t>s</w:t>
      </w:r>
      <w:r w:rsidR="00DB574E">
        <w:t xml:space="preserve">ą dostawy spoza kraju, </w:t>
      </w:r>
      <w:r w:rsidR="00D474AA">
        <w:t>część popytu pokrywana jest</w:t>
      </w:r>
      <w:r w:rsidR="00DB574E">
        <w:t xml:space="preserve"> krajow</w:t>
      </w:r>
      <w:r w:rsidR="00D474AA">
        <w:t>ym</w:t>
      </w:r>
      <w:r w:rsidR="00DB574E">
        <w:t xml:space="preserve"> wydobyci</w:t>
      </w:r>
      <w:r w:rsidR="00660FE1">
        <w:t>em</w:t>
      </w:r>
      <w:r w:rsidR="00DB574E">
        <w:t xml:space="preserve">. </w:t>
      </w:r>
      <w:r w:rsidR="00E133EB">
        <w:t>L</w:t>
      </w:r>
      <w:r w:rsidR="00DB574E">
        <w:t xml:space="preserve">okalne wykorzystanie surowca redukuje koszty </w:t>
      </w:r>
      <w:r w:rsidR="001A55A8">
        <w:t>związane z transportem, a jednocześnie jest to</w:t>
      </w:r>
      <w:r w:rsidR="00DB574E">
        <w:t xml:space="preserve"> działalność wpływa</w:t>
      </w:r>
      <w:r w:rsidR="001A55A8">
        <w:t>jąca</w:t>
      </w:r>
      <w:r w:rsidR="00DB574E">
        <w:t xml:space="preserve"> na </w:t>
      </w:r>
      <w:r w:rsidR="001A55A8">
        <w:t>wzrost PKB. A</w:t>
      </w:r>
      <w:r w:rsidR="00DB574E">
        <w:t>ktywność gospodarcz</w:t>
      </w:r>
      <w:r w:rsidR="001A55A8">
        <w:t>a wpływa także na utrzymanie krajowych kompetencji</w:t>
      </w:r>
      <w:r w:rsidR="00E133EB">
        <w:t xml:space="preserve"> technicznych</w:t>
      </w:r>
      <w:r w:rsidR="001A55A8">
        <w:t xml:space="preserve">, które mogą być wykorzystane </w:t>
      </w:r>
      <w:r w:rsidR="00E133EB">
        <w:t xml:space="preserve">również </w:t>
      </w:r>
      <w:r w:rsidR="001A55A8">
        <w:t xml:space="preserve">w innych </w:t>
      </w:r>
      <w:r w:rsidR="00E133EB">
        <w:t>obszarach związanych z transformacją i funkcjonowaniem gospodarki.</w:t>
      </w:r>
      <w:r w:rsidR="00894DDD">
        <w:t xml:space="preserve"> </w:t>
      </w:r>
    </w:p>
    <w:p w14:paraId="2DEF4F1A" w14:textId="04CB7485" w:rsidR="00DB574E" w:rsidRDefault="00894DDD" w:rsidP="00DB574E">
      <w:r>
        <w:t xml:space="preserve">Krajowe wydobycie gazu ziemnego </w:t>
      </w:r>
      <w:r w:rsidRPr="00C67596">
        <w:t>wysokometanow</w:t>
      </w:r>
      <w:r>
        <w:t xml:space="preserve">ego i zaazotowanego utrzymuje się na stosunkowo stałym poziomie. W 2022 r. wyniosło ok. </w:t>
      </w:r>
      <w:r w:rsidR="00B17B9C">
        <w:t>3,8</w:t>
      </w:r>
      <w:r w:rsidR="00D1513B">
        <w:t xml:space="preserve"> mld m</w:t>
      </w:r>
      <w:r w:rsidR="00D1513B" w:rsidRPr="00D1513B">
        <w:rPr>
          <w:vertAlign w:val="superscript"/>
        </w:rPr>
        <w:t>3</w:t>
      </w:r>
      <w:r w:rsidR="00D1513B">
        <w:t xml:space="preserve"> (</w:t>
      </w:r>
      <w:r w:rsidR="00D1513B" w:rsidRPr="00C67596">
        <w:t>w przeliczeniu na gaz ziemny wysokometanowy</w:t>
      </w:r>
      <w:r w:rsidR="004938AB">
        <w:t>)</w:t>
      </w:r>
      <w:r w:rsidR="004938AB">
        <w:rPr>
          <w:rStyle w:val="Odwoanieprzypisudolnego"/>
        </w:rPr>
        <w:footnoteReference w:id="78"/>
      </w:r>
      <w:r>
        <w:t xml:space="preserve">, co odpowiadało </w:t>
      </w:r>
      <w:r w:rsidR="004D1ABA">
        <w:t>ok. 23%</w:t>
      </w:r>
      <w:r>
        <w:t xml:space="preserve"> zapotrzebowania na surowiec.</w:t>
      </w:r>
    </w:p>
    <w:p w14:paraId="5434166A" w14:textId="77777777" w:rsidR="00662459" w:rsidRDefault="00662459" w:rsidP="00662459">
      <w:bookmarkStart w:id="165" w:name="_Hlk177400370"/>
      <w:r>
        <w:t xml:space="preserve">Alternatywą wpływającą na zmniejszenie importu gazu ziemnego do kraju oraz pozwalającą na zwiększenie wykorzystania krajowych źródeł energii może być popularyzacja produkcji gazów zdekarbonizowanych. Dotyczy to w szczególności rozpoczęcia wytwarzania biometanu, który swoimi parametrami technicznymi nie różni się praktycznie od gazu ziemnego, ale także produkcja wodoru. </w:t>
      </w:r>
    </w:p>
    <w:bookmarkEnd w:id="165"/>
    <w:p w14:paraId="27D806FF" w14:textId="63E8977D" w:rsidR="00D1513B" w:rsidRDefault="00D1513B" w:rsidP="00D1513B">
      <w:pPr>
        <w:pStyle w:val="Cele"/>
        <w:rPr>
          <w:rStyle w:val="CeleZnak"/>
          <w:b/>
        </w:rPr>
      </w:pPr>
      <w:r>
        <w:rPr>
          <w:rStyle w:val="CeleZnak"/>
          <w:b/>
        </w:rPr>
        <w:t xml:space="preserve">Celem </w:t>
      </w:r>
      <w:r w:rsidR="00D802EB">
        <w:rPr>
          <w:rStyle w:val="CeleZnak"/>
          <w:b/>
        </w:rPr>
        <w:t xml:space="preserve">do 2030 r. </w:t>
      </w:r>
      <w:r>
        <w:rPr>
          <w:rStyle w:val="CeleZnak"/>
          <w:b/>
        </w:rPr>
        <w:t xml:space="preserve">jest utrzymanie </w:t>
      </w:r>
      <w:r w:rsidR="004D1ABA">
        <w:rPr>
          <w:rStyle w:val="CeleZnak"/>
          <w:b/>
        </w:rPr>
        <w:t>poziomu krajowego wydobycia gazu ziemnego na możliwie stałym, stabilnym poziomie</w:t>
      </w:r>
      <w:r w:rsidR="00DC2DAD">
        <w:rPr>
          <w:rStyle w:val="CeleZnak"/>
          <w:b/>
        </w:rPr>
        <w:t xml:space="preserve"> </w:t>
      </w:r>
      <w:bookmarkStart w:id="166" w:name="_Hlk177400394"/>
      <w:r w:rsidR="00DC2DAD">
        <w:rPr>
          <w:rStyle w:val="CeleZnak"/>
          <w:b/>
        </w:rPr>
        <w:t>oraz rozwijanie wykorzystania gazów zdekarbonizowanych. stanowiących alternatywę dla gazu ziemnego</w:t>
      </w:r>
      <w:bookmarkEnd w:id="166"/>
      <w:r w:rsidR="004D1ABA">
        <w:rPr>
          <w:rStyle w:val="CeleZnak"/>
          <w:bCs/>
        </w:rPr>
        <w:t xml:space="preserve">. </w:t>
      </w:r>
    </w:p>
    <w:p w14:paraId="49450D95" w14:textId="77777777" w:rsidR="00F3711B" w:rsidRDefault="00F3711B" w:rsidP="00DC2DAD">
      <w:pPr>
        <w:pStyle w:val="Polityka"/>
      </w:pPr>
      <w:r w:rsidRPr="006C637D">
        <w:t>POLITYKA</w:t>
      </w:r>
    </w:p>
    <w:p w14:paraId="3CC4BCF3" w14:textId="35F19ECE" w:rsidR="008155B0" w:rsidRDefault="008155B0" w:rsidP="00C918FA">
      <w:r>
        <w:t xml:space="preserve">Nadal </w:t>
      </w:r>
      <w:r w:rsidRPr="00C67596">
        <w:t>głównym sposobem pokrycia zapotrzebowania na gaz ziemny będzie import</w:t>
      </w:r>
      <w:r>
        <w:t xml:space="preserve"> oraz wydobycie własne poza granicami kraju. W dalszej perspektywie, gdy popyt na surowiec będzie spadał, tempo spadku krajowego wydobycia będzie niższe niż redukcja importu, choć może to ulegać zmianie w oparciu o</w:t>
      </w:r>
      <w:r w:rsidR="008B58DE">
        <w:t> </w:t>
      </w:r>
      <w:r>
        <w:t xml:space="preserve">zmieniające się warunki rynkowe. </w:t>
      </w:r>
    </w:p>
    <w:p w14:paraId="7926F6B3" w14:textId="6BE14945" w:rsidR="00F3711B" w:rsidRDefault="00D802EB" w:rsidP="00C918FA">
      <w:r>
        <w:t>Ut</w:t>
      </w:r>
      <w:r w:rsidRPr="00D802EB">
        <w:t xml:space="preserve">rzymanie stabilnego </w:t>
      </w:r>
      <w:r>
        <w:t xml:space="preserve">krajowego </w:t>
      </w:r>
      <w:r w:rsidRPr="00D802EB">
        <w:t>wydobycia gazu ziemnego</w:t>
      </w:r>
      <w:r>
        <w:t xml:space="preserve"> wymaga </w:t>
      </w:r>
      <w:r w:rsidRPr="00D802EB">
        <w:t>kontynuowani</w:t>
      </w:r>
      <w:r>
        <w:t>a</w:t>
      </w:r>
      <w:r w:rsidRPr="00D802EB">
        <w:t xml:space="preserve"> poszukiwania</w:t>
      </w:r>
      <w:r w:rsidR="005F4143">
        <w:t>, rozpoznawania, dokumentowania</w:t>
      </w:r>
      <w:r w:rsidRPr="00D802EB">
        <w:t xml:space="preserve"> </w:t>
      </w:r>
      <w:r w:rsidR="004D1ABA">
        <w:t xml:space="preserve">i zagospodarowania </w:t>
      </w:r>
      <w:r w:rsidRPr="00D802EB">
        <w:t>nowych złóż, które zastąpią wyeksploatowane złoża, a także zwiększani</w:t>
      </w:r>
      <w:r w:rsidR="00D474AA">
        <w:t>a</w:t>
      </w:r>
      <w:r w:rsidRPr="00D802EB">
        <w:t xml:space="preserve"> efektywności wydobycia</w:t>
      </w:r>
      <w:r>
        <w:t>, również przez wykorzystanie innowacyjnych metod wydobycia</w:t>
      </w:r>
      <w:r w:rsidR="005F4143">
        <w:t xml:space="preserve">, </w:t>
      </w:r>
      <w:r w:rsidR="005F4143" w:rsidRPr="005F4143">
        <w:t>w tym sposobów intensyfikacji wydobycia węglowodorów</w:t>
      </w:r>
      <w:r>
        <w:t>.</w:t>
      </w:r>
      <w:r w:rsidR="009E4C24">
        <w:t xml:space="preserve"> </w:t>
      </w:r>
      <w:r w:rsidR="008D7A02">
        <w:t>Jest to korzystne zarówno dla odbiorców, jak i podmiotów z branży poszukiwawczo-wydobywczej, ponieważ gaz ziemny z własnego wydobycia standardowo charakteryzuje się największą konkurencyjnością cenową.</w:t>
      </w:r>
      <w:r w:rsidR="00C918FA">
        <w:t xml:space="preserve"> Podejmowane będą również działania w celu usprawnienia procesu rozpoznawania i dokumentowania złóż gazu ziemnego, nadzoru nad wielkością wydobycia gazu ziemnego ze złóż oraz efektywnego przepływu informacji.</w:t>
      </w:r>
    </w:p>
    <w:p w14:paraId="45CC0E18" w14:textId="1663ACEA" w:rsidR="00BE103C" w:rsidRDefault="00BE103C" w:rsidP="00C918FA">
      <w:bookmarkStart w:id="167" w:name="_Hlk177400746"/>
      <w:r>
        <w:t xml:space="preserve">Kwestie rozwoju wykorzystania biometanu oraz wodoru zostały opisane odpowiednio w częściach </w:t>
      </w:r>
      <w:r>
        <w:fldChar w:fldCharType="begin"/>
      </w:r>
      <w:r>
        <w:instrText xml:space="preserve"> REF _Ref158105628 \n \h </w:instrText>
      </w:r>
      <w:r>
        <w:fldChar w:fldCharType="separate"/>
      </w:r>
      <w:r w:rsidR="00DD3929">
        <w:t>Cel. 1.2.1</w:t>
      </w:r>
      <w:r>
        <w:fldChar w:fldCharType="end"/>
      </w:r>
      <w:r>
        <w:fldChar w:fldCharType="begin"/>
      </w:r>
      <w:r>
        <w:instrText xml:space="preserve"> REF _Ref158105628 \r \h </w:instrText>
      </w:r>
      <w:r>
        <w:fldChar w:fldCharType="separate"/>
      </w:r>
      <w:r w:rsidR="00DD3929">
        <w:t>Cel. 1.2.1</w:t>
      </w:r>
      <w:r>
        <w:fldChar w:fldCharType="end"/>
      </w:r>
      <w:r>
        <w:t xml:space="preserve"> oraz </w:t>
      </w:r>
      <w:r>
        <w:fldChar w:fldCharType="begin"/>
      </w:r>
      <w:r>
        <w:instrText xml:space="preserve"> REF _Ref177389379 \r \h </w:instrText>
      </w:r>
      <w:r>
        <w:fldChar w:fldCharType="separate"/>
      </w:r>
      <w:r w:rsidR="00DD3929">
        <w:t>Obszar 3.6</w:t>
      </w:r>
      <w:r>
        <w:fldChar w:fldCharType="end"/>
      </w:r>
    </w:p>
    <w:bookmarkEnd w:id="167"/>
    <w:p w14:paraId="4EAFDAA2" w14:textId="77777777" w:rsidR="00F3711B" w:rsidRPr="00D802EB" w:rsidRDefault="00F3711B" w:rsidP="006C637D">
      <w:pPr>
        <w:pStyle w:val="Polityka"/>
      </w:pPr>
      <w:r w:rsidRPr="006C637D">
        <w:t>DZIAŁANIA</w:t>
      </w:r>
    </w:p>
    <w:p w14:paraId="7070CAF3" w14:textId="6413F6E6" w:rsidR="00F3711B" w:rsidRDefault="00DF172E" w:rsidP="00DF172E">
      <w:pPr>
        <w:pStyle w:val="Akapitzlist"/>
        <w:numPr>
          <w:ilvl w:val="0"/>
          <w:numId w:val="6"/>
        </w:numPr>
        <w:rPr>
          <w:szCs w:val="20"/>
        </w:rPr>
      </w:pPr>
      <w:r>
        <w:rPr>
          <w:szCs w:val="20"/>
        </w:rPr>
        <w:fldChar w:fldCharType="begin"/>
      </w:r>
      <w:r>
        <w:rPr>
          <w:szCs w:val="20"/>
        </w:rPr>
        <w:instrText xml:space="preserve"> REF _Ref157434814 \h </w:instrText>
      </w:r>
      <w:r>
        <w:rPr>
          <w:szCs w:val="20"/>
        </w:rPr>
      </w:r>
      <w:r>
        <w:rPr>
          <w:szCs w:val="20"/>
        </w:rPr>
        <w:fldChar w:fldCharType="separate"/>
      </w:r>
      <w:r w:rsidR="00DD3929" w:rsidRPr="00570679">
        <w:t xml:space="preserve">Działanie </w:t>
      </w:r>
      <w:r w:rsidR="00DD3929">
        <w:rPr>
          <w:noProof/>
        </w:rPr>
        <w:t>120</w:t>
      </w:r>
      <w:r w:rsidR="00DD3929" w:rsidRPr="00570679">
        <w:t xml:space="preserve">. Efektywna gospodarka surowcami </w:t>
      </w:r>
      <w:r w:rsidR="00DD3929">
        <w:t>ważnymi dla krajowej i unijnej gospodarki</w:t>
      </w:r>
      <w:r w:rsidR="00DD3929" w:rsidRPr="00570679">
        <w:t>.</w:t>
      </w:r>
      <w:r>
        <w:rPr>
          <w:szCs w:val="20"/>
        </w:rPr>
        <w:fldChar w:fldCharType="end"/>
      </w:r>
    </w:p>
    <w:bookmarkStart w:id="168" w:name="_Hlk177400755"/>
    <w:p w14:paraId="197D0A83" w14:textId="51476AC3" w:rsidR="00EB6EC3" w:rsidRDefault="00BE103C" w:rsidP="00DF172E">
      <w:pPr>
        <w:pStyle w:val="Akapitzlist"/>
        <w:numPr>
          <w:ilvl w:val="0"/>
          <w:numId w:val="6"/>
        </w:numPr>
        <w:rPr>
          <w:szCs w:val="20"/>
        </w:rPr>
      </w:pPr>
      <w:r>
        <w:rPr>
          <w:szCs w:val="20"/>
        </w:rPr>
        <w:fldChar w:fldCharType="begin"/>
      </w:r>
      <w:r>
        <w:rPr>
          <w:szCs w:val="20"/>
        </w:rPr>
        <w:instrText xml:space="preserve"> REF _Ref174104352 \h </w:instrText>
      </w:r>
      <w:r>
        <w:rPr>
          <w:szCs w:val="20"/>
        </w:rPr>
      </w:r>
      <w:r>
        <w:rPr>
          <w:szCs w:val="20"/>
        </w:rPr>
        <w:fldChar w:fldCharType="separate"/>
      </w:r>
      <w:r w:rsidR="00DD3929">
        <w:t xml:space="preserve">Działanie </w:t>
      </w:r>
      <w:r w:rsidR="00DD3929">
        <w:rPr>
          <w:noProof/>
        </w:rPr>
        <w:t>9</w:t>
      </w:r>
      <w:r w:rsidR="00DD3929">
        <w:t>.</w:t>
      </w:r>
      <w:r w:rsidR="00DD3929" w:rsidRPr="00845CDE">
        <w:t xml:space="preserve"> </w:t>
      </w:r>
      <w:r w:rsidR="00DD3929">
        <w:t>Pakiet wsparcia rozwoju rynku biogazu i biometanu.</w:t>
      </w:r>
      <w:r>
        <w:rPr>
          <w:szCs w:val="20"/>
        </w:rPr>
        <w:fldChar w:fldCharType="end"/>
      </w:r>
    </w:p>
    <w:p w14:paraId="3274E35E" w14:textId="55688AE5" w:rsidR="00EB6EC3" w:rsidRDefault="00EB6EC3" w:rsidP="00DF172E">
      <w:pPr>
        <w:pStyle w:val="Akapitzlist"/>
        <w:numPr>
          <w:ilvl w:val="0"/>
          <w:numId w:val="6"/>
        </w:numPr>
        <w:rPr>
          <w:szCs w:val="20"/>
        </w:rPr>
      </w:pPr>
      <w:r>
        <w:rPr>
          <w:szCs w:val="20"/>
        </w:rPr>
        <w:fldChar w:fldCharType="begin"/>
      </w:r>
      <w:r>
        <w:rPr>
          <w:szCs w:val="20"/>
        </w:rPr>
        <w:instrText xml:space="preserve"> REF _Ref157429352 \h </w:instrText>
      </w:r>
      <w:r>
        <w:rPr>
          <w:szCs w:val="20"/>
        </w:rPr>
      </w:r>
      <w:r>
        <w:rPr>
          <w:szCs w:val="20"/>
        </w:rPr>
        <w:fldChar w:fldCharType="separate"/>
      </w:r>
      <w:r w:rsidR="00DD3929" w:rsidRPr="00F12C9E">
        <w:t xml:space="preserve">Działanie </w:t>
      </w:r>
      <w:r w:rsidR="00DD3929">
        <w:rPr>
          <w:noProof/>
        </w:rPr>
        <w:t>112</w:t>
      </w:r>
      <w:r w:rsidR="00DD3929" w:rsidRPr="00F12C9E">
        <w:t>. Rozwój infrastruktury wodorowej.</w:t>
      </w:r>
      <w:r>
        <w:rPr>
          <w:szCs w:val="20"/>
        </w:rPr>
        <w:fldChar w:fldCharType="end"/>
      </w:r>
    </w:p>
    <w:p w14:paraId="7B33AD8B" w14:textId="0A260A6D" w:rsidR="00BE103C" w:rsidRPr="00DF172E" w:rsidRDefault="00EB6EC3" w:rsidP="00DF172E">
      <w:pPr>
        <w:pStyle w:val="Akapitzlist"/>
        <w:numPr>
          <w:ilvl w:val="0"/>
          <w:numId w:val="6"/>
        </w:numPr>
        <w:rPr>
          <w:szCs w:val="20"/>
        </w:rPr>
      </w:pPr>
      <w:r>
        <w:rPr>
          <w:szCs w:val="20"/>
        </w:rPr>
        <w:fldChar w:fldCharType="begin"/>
      </w:r>
      <w:r>
        <w:rPr>
          <w:szCs w:val="20"/>
        </w:rPr>
        <w:instrText xml:space="preserve"> REF _Ref159316111 \h </w:instrText>
      </w:r>
      <w:r>
        <w:rPr>
          <w:szCs w:val="20"/>
        </w:rPr>
      </w:r>
      <w:r>
        <w:rPr>
          <w:szCs w:val="20"/>
        </w:rPr>
        <w:fldChar w:fldCharType="separate"/>
      </w:r>
      <w:r w:rsidR="00DD3929">
        <w:t xml:space="preserve">Działanie </w:t>
      </w:r>
      <w:r w:rsidR="00DD3929">
        <w:rPr>
          <w:noProof/>
        </w:rPr>
        <w:t>114</w:t>
      </w:r>
      <w:r w:rsidR="00DD3929">
        <w:t xml:space="preserve">. </w:t>
      </w:r>
      <w:r w:rsidR="00DD3929" w:rsidRPr="0084678D">
        <w:t>Wsparcie dla realizacji „Programu rozwoju magazynowania wodoru w</w:t>
      </w:r>
      <w:r w:rsidR="00DD3929">
        <w:t> </w:t>
      </w:r>
      <w:r w:rsidR="00DD3929" w:rsidRPr="0084678D">
        <w:t>kawernach solnych dla wzmocnienia krytycznej infrastruktury Polski”</w:t>
      </w:r>
      <w:r w:rsidR="00DD3929">
        <w:t>.</w:t>
      </w:r>
      <w:r>
        <w:rPr>
          <w:szCs w:val="20"/>
        </w:rPr>
        <w:fldChar w:fldCharType="end"/>
      </w:r>
    </w:p>
    <w:p w14:paraId="1EAB56AE" w14:textId="405F6EB5" w:rsidR="000D4915" w:rsidRDefault="000D4915" w:rsidP="001D79FD">
      <w:pPr>
        <w:pStyle w:val="Nagwek4"/>
        <w:rPr>
          <w:color w:val="C00000"/>
        </w:rPr>
      </w:pPr>
      <w:bookmarkStart w:id="169" w:name="_Toc159598319"/>
      <w:bookmarkStart w:id="170" w:name="_Toc179536971"/>
      <w:bookmarkEnd w:id="168"/>
      <w:r>
        <w:rPr>
          <w:color w:val="C00000"/>
        </w:rPr>
        <w:t>Zapewnienie odpowiedniego stanu i rozwoju infrastruktury przesyłu</w:t>
      </w:r>
      <w:r w:rsidR="00E61ADB">
        <w:rPr>
          <w:color w:val="C00000"/>
        </w:rPr>
        <w:t>, magazynowania</w:t>
      </w:r>
      <w:r>
        <w:rPr>
          <w:color w:val="C00000"/>
        </w:rPr>
        <w:t xml:space="preserve"> i</w:t>
      </w:r>
      <w:r w:rsidR="008A138F">
        <w:rPr>
          <w:color w:val="C00000"/>
        </w:rPr>
        <w:t> </w:t>
      </w:r>
      <w:r>
        <w:rPr>
          <w:color w:val="C00000"/>
        </w:rPr>
        <w:t>dystrybucji gazu ziemnego</w:t>
      </w:r>
      <w:bookmarkEnd w:id="169"/>
      <w:bookmarkEnd w:id="170"/>
    </w:p>
    <w:p w14:paraId="76923F1F" w14:textId="1B4DAD5D" w:rsidR="00E61ADB" w:rsidRDefault="00E61ADB" w:rsidP="0037385E">
      <w:r>
        <w:rPr>
          <w:noProof/>
        </w:rPr>
        <mc:AlternateContent>
          <mc:Choice Requires="wps">
            <w:drawing>
              <wp:anchor distT="0" distB="0" distL="114300" distR="114300" simplePos="0" relativeHeight="251746304" behindDoc="1" locked="0" layoutInCell="1" allowOverlap="1" wp14:anchorId="3EA78BCC" wp14:editId="3CAAE3D5">
                <wp:simplePos x="0" y="0"/>
                <wp:positionH relativeFrom="margin">
                  <wp:align>right</wp:align>
                </wp:positionH>
                <wp:positionV relativeFrom="paragraph">
                  <wp:posOffset>69083</wp:posOffset>
                </wp:positionV>
                <wp:extent cx="2620010" cy="1963420"/>
                <wp:effectExtent l="19050" t="57150" r="123190" b="71120"/>
                <wp:wrapSquare wrapText="bothSides"/>
                <wp:docPr id="849817367" name="Prostokąt: zaokrąglone rogi 1"/>
                <wp:cNvGraphicFramePr/>
                <a:graphic xmlns:a="http://schemas.openxmlformats.org/drawingml/2006/main">
                  <a:graphicData uri="http://schemas.microsoft.com/office/word/2010/wordprocessingShape">
                    <wps:wsp>
                      <wps:cNvSpPr/>
                      <wps:spPr>
                        <a:xfrm>
                          <a:off x="0" y="0"/>
                          <a:ext cx="2620010" cy="1963420"/>
                        </a:xfrm>
                        <a:prstGeom prst="roundRect">
                          <a:avLst>
                            <a:gd name="adj" fmla="val 11857"/>
                          </a:avLst>
                        </a:prstGeom>
                        <a:solidFill>
                          <a:schemeClr val="bg1"/>
                        </a:solidFill>
                        <a:ln w="6350">
                          <a:solidFill>
                            <a:srgbClr val="C00000"/>
                          </a:solidFill>
                          <a:extLst>
                            <a:ext uri="{C807C97D-BFC1-408E-A445-0C87EB9F89A2}">
                              <ask:lineSketchStyleProps xmlns:ask="http://schemas.microsoft.com/office/drawing/2018/sketchyshapes" sd="3209426022">
                                <a:custGeom>
                                  <a:avLst/>
                                  <a:gdLst>
                                    <a:gd name="connsiteX0" fmla="*/ 0 w 2969895"/>
                                    <a:gd name="connsiteY0" fmla="*/ 369497 h 2597150"/>
                                    <a:gd name="connsiteX1" fmla="*/ 369497 w 2969895"/>
                                    <a:gd name="connsiteY1" fmla="*/ 0 h 2597150"/>
                                    <a:gd name="connsiteX2" fmla="*/ 860295 w 2969895"/>
                                    <a:gd name="connsiteY2" fmla="*/ 0 h 2597150"/>
                                    <a:gd name="connsiteX3" fmla="*/ 1373402 w 2969895"/>
                                    <a:gd name="connsiteY3" fmla="*/ 0 h 2597150"/>
                                    <a:gd name="connsiteX4" fmla="*/ 1908819 w 2969895"/>
                                    <a:gd name="connsiteY4" fmla="*/ 0 h 2597150"/>
                                    <a:gd name="connsiteX5" fmla="*/ 2600398 w 2969895"/>
                                    <a:gd name="connsiteY5" fmla="*/ 0 h 2597150"/>
                                    <a:gd name="connsiteX6" fmla="*/ 2969895 w 2969895"/>
                                    <a:gd name="connsiteY6" fmla="*/ 369497 h 2597150"/>
                                    <a:gd name="connsiteX7" fmla="*/ 2969895 w 2969895"/>
                                    <a:gd name="connsiteY7" fmla="*/ 933138 h 2597150"/>
                                    <a:gd name="connsiteX8" fmla="*/ 2969895 w 2969895"/>
                                    <a:gd name="connsiteY8" fmla="*/ 1571105 h 2597150"/>
                                    <a:gd name="connsiteX9" fmla="*/ 2969895 w 2969895"/>
                                    <a:gd name="connsiteY9" fmla="*/ 2227653 h 2597150"/>
                                    <a:gd name="connsiteX10" fmla="*/ 2600398 w 2969895"/>
                                    <a:gd name="connsiteY10" fmla="*/ 2597150 h 2597150"/>
                                    <a:gd name="connsiteX11" fmla="*/ 2087291 w 2969895"/>
                                    <a:gd name="connsiteY11" fmla="*/ 2597150 h 2597150"/>
                                    <a:gd name="connsiteX12" fmla="*/ 1596493 w 2969895"/>
                                    <a:gd name="connsiteY12" fmla="*/ 2597150 h 2597150"/>
                                    <a:gd name="connsiteX13" fmla="*/ 1083385 w 2969895"/>
                                    <a:gd name="connsiteY13" fmla="*/ 2597150 h 2597150"/>
                                    <a:gd name="connsiteX14" fmla="*/ 369497 w 2969895"/>
                                    <a:gd name="connsiteY14" fmla="*/ 2597150 h 2597150"/>
                                    <a:gd name="connsiteX15" fmla="*/ 0 w 2969895"/>
                                    <a:gd name="connsiteY15" fmla="*/ 2227653 h 2597150"/>
                                    <a:gd name="connsiteX16" fmla="*/ 0 w 2969895"/>
                                    <a:gd name="connsiteY16" fmla="*/ 1664012 h 2597150"/>
                                    <a:gd name="connsiteX17" fmla="*/ 0 w 2969895"/>
                                    <a:gd name="connsiteY17" fmla="*/ 1007464 h 2597150"/>
                                    <a:gd name="connsiteX18" fmla="*/ 0 w 2969895"/>
                                    <a:gd name="connsiteY18" fmla="*/ 369497 h 25971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Lst>
                                  <a:rect l="l" t="t" r="r" b="b"/>
                                  <a:pathLst>
                                    <a:path w="2969895" h="2597150" fill="none" extrusionOk="0">
                                      <a:moveTo>
                                        <a:pt x="0" y="369497"/>
                                      </a:moveTo>
                                      <a:cubicBezTo>
                                        <a:pt x="-21648" y="122196"/>
                                        <a:pt x="151284" y="20440"/>
                                        <a:pt x="369497" y="0"/>
                                      </a:cubicBezTo>
                                      <a:cubicBezTo>
                                        <a:pt x="522987" y="20037"/>
                                        <a:pt x="761634" y="-14955"/>
                                        <a:pt x="860295" y="0"/>
                                      </a:cubicBezTo>
                                      <a:cubicBezTo>
                                        <a:pt x="958956" y="14955"/>
                                        <a:pt x="1258306" y="-1385"/>
                                        <a:pt x="1373402" y="0"/>
                                      </a:cubicBezTo>
                                      <a:cubicBezTo>
                                        <a:pt x="1488498" y="1385"/>
                                        <a:pt x="1708357" y="-23685"/>
                                        <a:pt x="1908819" y="0"/>
                                      </a:cubicBezTo>
                                      <a:cubicBezTo>
                                        <a:pt x="2109281" y="23685"/>
                                        <a:pt x="2348083" y="10816"/>
                                        <a:pt x="2600398" y="0"/>
                                      </a:cubicBezTo>
                                      <a:cubicBezTo>
                                        <a:pt x="2768901" y="15078"/>
                                        <a:pt x="2966036" y="150633"/>
                                        <a:pt x="2969895" y="369497"/>
                                      </a:cubicBezTo>
                                      <a:cubicBezTo>
                                        <a:pt x="2962113" y="608285"/>
                                        <a:pt x="2992646" y="718113"/>
                                        <a:pt x="2969895" y="933138"/>
                                      </a:cubicBezTo>
                                      <a:cubicBezTo>
                                        <a:pt x="2947144" y="1148163"/>
                                        <a:pt x="2959903" y="1379042"/>
                                        <a:pt x="2969895" y="1571105"/>
                                      </a:cubicBezTo>
                                      <a:cubicBezTo>
                                        <a:pt x="2979887" y="1763168"/>
                                        <a:pt x="2979459" y="1952072"/>
                                        <a:pt x="2969895" y="2227653"/>
                                      </a:cubicBezTo>
                                      <a:cubicBezTo>
                                        <a:pt x="2972534" y="2425813"/>
                                        <a:pt x="2839732" y="2580296"/>
                                        <a:pt x="2600398" y="2597150"/>
                                      </a:cubicBezTo>
                                      <a:cubicBezTo>
                                        <a:pt x="2371648" y="2583364"/>
                                        <a:pt x="2211376" y="2579538"/>
                                        <a:pt x="2087291" y="2597150"/>
                                      </a:cubicBezTo>
                                      <a:cubicBezTo>
                                        <a:pt x="1963206" y="2614762"/>
                                        <a:pt x="1722052" y="2580167"/>
                                        <a:pt x="1596493" y="2597150"/>
                                      </a:cubicBezTo>
                                      <a:cubicBezTo>
                                        <a:pt x="1470934" y="2614133"/>
                                        <a:pt x="1334604" y="2607859"/>
                                        <a:pt x="1083385" y="2597150"/>
                                      </a:cubicBezTo>
                                      <a:cubicBezTo>
                                        <a:pt x="832166" y="2586441"/>
                                        <a:pt x="530773" y="2610674"/>
                                        <a:pt x="369497" y="2597150"/>
                                      </a:cubicBezTo>
                                      <a:cubicBezTo>
                                        <a:pt x="155534" y="2581945"/>
                                        <a:pt x="17352" y="2459324"/>
                                        <a:pt x="0" y="2227653"/>
                                      </a:cubicBezTo>
                                      <a:cubicBezTo>
                                        <a:pt x="-17492" y="1985602"/>
                                        <a:pt x="10018" y="1857958"/>
                                        <a:pt x="0" y="1664012"/>
                                      </a:cubicBezTo>
                                      <a:cubicBezTo>
                                        <a:pt x="-10018" y="1470066"/>
                                        <a:pt x="30211" y="1274151"/>
                                        <a:pt x="0" y="1007464"/>
                                      </a:cubicBezTo>
                                      <a:cubicBezTo>
                                        <a:pt x="-30211" y="740777"/>
                                        <a:pt x="28398" y="678939"/>
                                        <a:pt x="0" y="369497"/>
                                      </a:cubicBezTo>
                                      <a:close/>
                                    </a:path>
                                    <a:path w="2969895" h="2597150" stroke="0" extrusionOk="0">
                                      <a:moveTo>
                                        <a:pt x="0" y="369497"/>
                                      </a:moveTo>
                                      <a:cubicBezTo>
                                        <a:pt x="34577" y="178421"/>
                                        <a:pt x="167617" y="23472"/>
                                        <a:pt x="369497" y="0"/>
                                      </a:cubicBezTo>
                                      <a:cubicBezTo>
                                        <a:pt x="518833" y="25358"/>
                                        <a:pt x="763926" y="-12862"/>
                                        <a:pt x="927222" y="0"/>
                                      </a:cubicBezTo>
                                      <a:cubicBezTo>
                                        <a:pt x="1090519" y="12862"/>
                                        <a:pt x="1283092" y="13454"/>
                                        <a:pt x="1529566" y="0"/>
                                      </a:cubicBezTo>
                                      <a:cubicBezTo>
                                        <a:pt x="1776040" y="-13454"/>
                                        <a:pt x="2346815" y="-6698"/>
                                        <a:pt x="2600398" y="0"/>
                                      </a:cubicBezTo>
                                      <a:cubicBezTo>
                                        <a:pt x="2790254" y="-14900"/>
                                        <a:pt x="2963476" y="163312"/>
                                        <a:pt x="2969895" y="369497"/>
                                      </a:cubicBezTo>
                                      <a:cubicBezTo>
                                        <a:pt x="2964010" y="618454"/>
                                        <a:pt x="2992138" y="705432"/>
                                        <a:pt x="2969895" y="933138"/>
                                      </a:cubicBezTo>
                                      <a:cubicBezTo>
                                        <a:pt x="2947652" y="1160844"/>
                                        <a:pt x="2959065" y="1396088"/>
                                        <a:pt x="2969895" y="1552523"/>
                                      </a:cubicBezTo>
                                      <a:cubicBezTo>
                                        <a:pt x="2980725" y="1708958"/>
                                        <a:pt x="2989525" y="1922101"/>
                                        <a:pt x="2969895" y="2227653"/>
                                      </a:cubicBezTo>
                                      <a:cubicBezTo>
                                        <a:pt x="2961485" y="2426742"/>
                                        <a:pt x="2843982" y="2584275"/>
                                        <a:pt x="2600398" y="2597150"/>
                                      </a:cubicBezTo>
                                      <a:cubicBezTo>
                                        <a:pt x="2446371" y="2597226"/>
                                        <a:pt x="2156238" y="2611024"/>
                                        <a:pt x="2042673" y="2597150"/>
                                      </a:cubicBezTo>
                                      <a:cubicBezTo>
                                        <a:pt x="1929108" y="2583276"/>
                                        <a:pt x="1682141" y="2616607"/>
                                        <a:pt x="1484948" y="2597150"/>
                                      </a:cubicBezTo>
                                      <a:cubicBezTo>
                                        <a:pt x="1287756" y="2577693"/>
                                        <a:pt x="1127330" y="2623505"/>
                                        <a:pt x="927222" y="2597150"/>
                                      </a:cubicBezTo>
                                      <a:cubicBezTo>
                                        <a:pt x="727114" y="2570795"/>
                                        <a:pt x="553257" y="2623034"/>
                                        <a:pt x="369497" y="2597150"/>
                                      </a:cubicBezTo>
                                      <a:cubicBezTo>
                                        <a:pt x="194263" y="2631399"/>
                                        <a:pt x="3410" y="2439480"/>
                                        <a:pt x="0" y="2227653"/>
                                      </a:cubicBezTo>
                                      <a:cubicBezTo>
                                        <a:pt x="-13465" y="2026099"/>
                                        <a:pt x="2425" y="1821961"/>
                                        <a:pt x="0" y="1645431"/>
                                      </a:cubicBezTo>
                                      <a:cubicBezTo>
                                        <a:pt x="-2425" y="1468901"/>
                                        <a:pt x="-3089" y="1229156"/>
                                        <a:pt x="0" y="1063209"/>
                                      </a:cubicBezTo>
                                      <a:cubicBezTo>
                                        <a:pt x="3089" y="897262"/>
                                        <a:pt x="-3659" y="513368"/>
                                        <a:pt x="0" y="369497"/>
                                      </a:cubicBezTo>
                                      <a:close/>
                                    </a:path>
                                  </a:pathLst>
                                </a:custGeom>
                                <ask:type>
                                  <ask:lineSketchNone/>
                                </ask:type>
                              </ask:lineSketchStyleProps>
                            </a:ext>
                          </a:extLst>
                        </a:ln>
                        <a:effectLst>
                          <a:outerShdw blurRad="50800" dist="38100" algn="l"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txbx>
                        <w:txbxContent>
                          <w:p w14:paraId="3F9FF54C" w14:textId="7B40C6F4" w:rsidR="00E61ADB" w:rsidRPr="004E21CF" w:rsidRDefault="00E61ADB" w:rsidP="00E61ADB">
                            <w:pPr>
                              <w:pStyle w:val="Ramka"/>
                            </w:pPr>
                            <w:bookmarkStart w:id="171" w:name="_Hlk159561529"/>
                            <w:r w:rsidRPr="00793CBE">
                              <w:t>Krajowy system przesyłowy</w:t>
                            </w:r>
                            <w:r>
                              <w:t xml:space="preserve"> zasilany jest </w:t>
                            </w:r>
                            <w:r w:rsidRPr="00793CBE">
                              <w:t>przywozem paliw gazowych</w:t>
                            </w:r>
                            <w:r>
                              <w:t xml:space="preserve"> z zagranicy, wydobyciem </w:t>
                            </w:r>
                            <w:r w:rsidRPr="00FD5859">
                              <w:t>krajowym</w:t>
                            </w:r>
                            <w:r>
                              <w:t>, podziemnymi magazynami gazu</w:t>
                            </w:r>
                            <w:bookmarkEnd w:id="171"/>
                            <w:r>
                              <w:t xml:space="preserve">. </w:t>
                            </w:r>
                          </w:p>
                        </w:txbxContent>
                      </wps:txbx>
                      <wps:bodyPr rot="0" spcFirstLastPara="0" vertOverflow="overflow" horzOverflow="overflow" vert="horz" wrap="square" lIns="72000" tIns="90000" rIns="72000" bIns="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3EA78BCC" id="_x0000_s1102" style="position:absolute;left:0;text-align:left;margin-left:155.1pt;margin-top:5.45pt;width:206.3pt;height:154.6pt;z-index:-25157017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arcsize="777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" fillcolor="white [3212]" strokecolor="#c00000" strokeweight=".5pt">
                <v:stroke joinstyle="miter"/>
                <v:shadow on="t" color="black" opacity="26214f" origin="-.5" offset="3pt,0"/>
                <v:textbox style="mso-fit-shape-to-text:t" inset="2mm,2.5mm,2mm,0">
                  <w:txbxContent>
                    <w:p w14:paraId="3F9FF54C" w14:textId="7B40C6F4" w:rsidR="00E61ADB" w:rsidRPr="004E21CF" w:rsidRDefault="00E61ADB" w:rsidP="00E61ADB">
                      <w:pPr>
                        <w:pStyle w:val="Ramka"/>
                      </w:pPr>
                      <w:bookmarkStart w:id="172" w:name="_Hlk159561529"/>
                      <w:r w:rsidRPr="00793CBE">
                        <w:t>Krajowy system przesyłowy</w:t>
                      </w:r>
                      <w:r>
                        <w:t xml:space="preserve"> zasilany jest </w:t>
                      </w:r>
                      <w:r w:rsidRPr="00793CBE">
                        <w:t>przywozem paliw gazowych</w:t>
                      </w:r>
                      <w:r>
                        <w:t xml:space="preserve"> z zagranicy, wydobyciem </w:t>
                      </w:r>
                      <w:r w:rsidRPr="00FD5859">
                        <w:t>krajowym</w:t>
                      </w:r>
                      <w:r>
                        <w:t>, podziemnymi magazynami gazu</w:t>
                      </w:r>
                      <w:bookmarkEnd w:id="172"/>
                      <w:r>
                        <w:t xml:space="preserve">. </w:t>
                      </w:r>
                    </w:p>
                  </w:txbxContent>
                </v:textbox>
                <w10:wrap type="square" anchorx="margin"/>
              </v:roundrect>
            </w:pict>
          </mc:Fallback>
        </mc:AlternateContent>
      </w:r>
      <w:r>
        <w:t>Zapewnienie odpowiedniego stanu</w:t>
      </w:r>
      <w:r w:rsidRPr="00FD5859">
        <w:t xml:space="preserve"> infrastruktury gazowej</w:t>
      </w:r>
      <w:r>
        <w:t>, jej rozbudowa, a także</w:t>
      </w:r>
      <w:r w:rsidRPr="007E4C7D">
        <w:t xml:space="preserve"> </w:t>
      </w:r>
      <w:r w:rsidRPr="00333F1B">
        <w:t>wystarczająca w</w:t>
      </w:r>
      <w:r>
        <w:t> </w:t>
      </w:r>
      <w:r w:rsidRPr="00333F1B">
        <w:t>stosunku do konsumpcji pojemność magazynowa</w:t>
      </w:r>
      <w:r>
        <w:t xml:space="preserve">, to czynniki wpływające na obecną i perspektywiczną pewność dostaw gazu ziemnego do odbiorców. </w:t>
      </w:r>
    </w:p>
    <w:p w14:paraId="638C7249" w14:textId="3FEA9A5B" w:rsidR="00E61ADB" w:rsidRDefault="00E61ADB" w:rsidP="0037385E">
      <w:r>
        <w:t xml:space="preserve">Z tego względu działalność w tym obszarze jest ściśle określona w ustawie – </w:t>
      </w:r>
      <w:r w:rsidRPr="00C829B7">
        <w:rPr>
          <w:i/>
          <w:iCs/>
        </w:rPr>
        <w:t>Prawo energetyczne</w:t>
      </w:r>
      <w:r>
        <w:t xml:space="preserve"> i regulowana przez Prezesa Urzędu Regulacji Energetyki (URE). Sytuacja jest </w:t>
      </w:r>
      <w:r w:rsidRPr="00FD5859">
        <w:t xml:space="preserve">szczegółowo monitorowana zarówno przez ministra właściwego do spraw energii, jak również – w zakresie </w:t>
      </w:r>
      <w:r w:rsidRPr="00997BA4">
        <w:t xml:space="preserve">nadzoru nad infrastrukturą gazową przesyłową </w:t>
      </w:r>
      <w:r w:rsidRPr="00FD5859">
        <w:t xml:space="preserve">– przez Pełnomocnika Rządu do spraw Strategicznej Infrastruktury Energetycznej. </w:t>
      </w:r>
      <w:r>
        <w:t xml:space="preserve">Kluczową rolę pełni operator systemu przesyłowego gazowego (OSPg). Ponieważ czas inwestycji infrastrukturalnych i perspektywa ma charakter długookresowy, OSPg wyznaczany jest w wielkoletniej perspektywie. Prezes URE wyznaczył OSP Gaz-System S.A. do pełnienia funkcji OSPg do 6 grudnia 2068 r. Poza OSPg funkcjonują także operatorzy </w:t>
      </w:r>
      <w:r w:rsidRPr="00A24E12">
        <w:t>systemów dystrybucyjnych gazowych</w:t>
      </w:r>
      <w:r>
        <w:t xml:space="preserve">, </w:t>
      </w:r>
      <w:r w:rsidRPr="00A24E12">
        <w:t>operator</w:t>
      </w:r>
      <w:r>
        <w:t>zy</w:t>
      </w:r>
      <w:r w:rsidRPr="00A24E12">
        <w:t xml:space="preserve"> systemów skraplania gazu ziemnego</w:t>
      </w:r>
      <w:r>
        <w:t xml:space="preserve"> oraz </w:t>
      </w:r>
      <w:r w:rsidRPr="00A24E12">
        <w:t xml:space="preserve">operator </w:t>
      </w:r>
      <w:r w:rsidRPr="0037385E">
        <w:t>systemu magazynowania</w:t>
      </w:r>
      <w:r w:rsidRPr="00125C70">
        <w:t>.</w:t>
      </w:r>
    </w:p>
    <w:p w14:paraId="1E093543" w14:textId="77777777" w:rsidR="00E61ADB" w:rsidRDefault="00E61ADB" w:rsidP="0037385E">
      <w:r>
        <w:t>Przed podmiotami realizującymi zadania w obszarze funkcjonowania i rozwoju systemu przesyłowego i dystrybucyjnych oraz magazynowania gazu ziemnego stoją wyzwania związane z koniecznością dostosowania instalacji i urządzeń do transportowania i magazynowania również innych gazów zdekarbonizowanych tj. biometanu, wodoru, gazów syntezowych, jak również w obszarze cyberbezpieczeństwa.</w:t>
      </w:r>
    </w:p>
    <w:p w14:paraId="5FF91C16" w14:textId="4F067E7A" w:rsidR="00FB43D9" w:rsidRPr="003F2449" w:rsidRDefault="00E61ADB" w:rsidP="003F2449">
      <w:pPr>
        <w:pStyle w:val="Cele"/>
        <w:rPr>
          <w:b/>
          <w:shd w:val="clear" w:color="auto" w:fill="F2F2F2" w:themeFill="background1" w:themeFillShade="F2"/>
        </w:rPr>
      </w:pPr>
      <w:r w:rsidRPr="0053209D">
        <w:rPr>
          <w:rStyle w:val="CeleZnak"/>
          <w:bCs/>
        </w:rPr>
        <w:t xml:space="preserve">Celem </w:t>
      </w:r>
      <w:r>
        <w:rPr>
          <w:rStyle w:val="CeleZnak"/>
          <w:bCs/>
        </w:rPr>
        <w:t>podejmowanych działań</w:t>
      </w:r>
      <w:r w:rsidRPr="0053209D">
        <w:rPr>
          <w:rStyle w:val="CeleZnak"/>
          <w:bCs/>
        </w:rPr>
        <w:t xml:space="preserve"> jest</w:t>
      </w:r>
      <w:r>
        <w:rPr>
          <w:rStyle w:val="CeleZnak"/>
          <w:b/>
        </w:rPr>
        <w:t xml:space="preserve"> </w:t>
      </w:r>
      <w:r w:rsidRPr="00C829B7">
        <w:rPr>
          <w:rStyle w:val="CeleZnak"/>
          <w:b/>
        </w:rPr>
        <w:t xml:space="preserve">zapewnienie </w:t>
      </w:r>
      <w:r>
        <w:rPr>
          <w:rStyle w:val="CeleZnak"/>
          <w:b/>
        </w:rPr>
        <w:t>odpowiedniego poziomu</w:t>
      </w:r>
      <w:r w:rsidRPr="00C829B7">
        <w:rPr>
          <w:rStyle w:val="CeleZnak"/>
          <w:b/>
        </w:rPr>
        <w:t xml:space="preserve"> </w:t>
      </w:r>
      <w:r>
        <w:rPr>
          <w:rStyle w:val="CeleZnak"/>
          <w:b/>
        </w:rPr>
        <w:t>b</w:t>
      </w:r>
      <w:r w:rsidRPr="00C829B7">
        <w:rPr>
          <w:rStyle w:val="CeleZnak"/>
          <w:b/>
        </w:rPr>
        <w:t>ezpieczeństwa</w:t>
      </w:r>
      <w:r>
        <w:rPr>
          <w:rStyle w:val="CeleZnak"/>
          <w:b/>
        </w:rPr>
        <w:t xml:space="preserve"> dostaw</w:t>
      </w:r>
      <w:r w:rsidRPr="00C829B7">
        <w:rPr>
          <w:rStyle w:val="CeleZnak"/>
          <w:b/>
        </w:rPr>
        <w:t xml:space="preserve"> </w:t>
      </w:r>
      <w:r>
        <w:rPr>
          <w:rStyle w:val="CeleZnak"/>
          <w:b/>
        </w:rPr>
        <w:t xml:space="preserve">i stabilności funkcjonowania </w:t>
      </w:r>
      <w:r w:rsidRPr="00C829B7">
        <w:rPr>
          <w:rStyle w:val="CeleZnak"/>
          <w:b/>
        </w:rPr>
        <w:t>infrastruktury gazowej, pozwalające</w:t>
      </w:r>
      <w:r>
        <w:rPr>
          <w:rStyle w:val="CeleZnak"/>
          <w:b/>
        </w:rPr>
        <w:t>go</w:t>
      </w:r>
      <w:r w:rsidRPr="00C829B7">
        <w:rPr>
          <w:rStyle w:val="CeleZnak"/>
          <w:b/>
        </w:rPr>
        <w:t xml:space="preserve"> na pokrycie bieżącego i</w:t>
      </w:r>
      <w:r>
        <w:rPr>
          <w:rStyle w:val="CeleZnak"/>
          <w:b/>
        </w:rPr>
        <w:t> </w:t>
      </w:r>
      <w:r w:rsidRPr="00C829B7">
        <w:rPr>
          <w:rStyle w:val="CeleZnak"/>
          <w:b/>
        </w:rPr>
        <w:t>perspektywicznego zapotrzebowania</w:t>
      </w:r>
      <w:r>
        <w:rPr>
          <w:rStyle w:val="CeleZnak"/>
          <w:b/>
        </w:rPr>
        <w:t xml:space="preserve">, również w kontekście regionalnym, a także ewentualnego dostosowywania infrastruktury do możliwości transportu </w:t>
      </w:r>
      <w:r w:rsidR="00F75BFF">
        <w:rPr>
          <w:rStyle w:val="CeleZnak"/>
          <w:b/>
        </w:rPr>
        <w:t xml:space="preserve">i magazynowania </w:t>
      </w:r>
      <w:r>
        <w:rPr>
          <w:rStyle w:val="CeleZnak"/>
          <w:b/>
        </w:rPr>
        <w:t>gazów zdekarbonizowanych, zgodnie z uzasadnieniem rynkowym i możliwościami technicznymi.</w:t>
      </w:r>
    </w:p>
    <w:p w14:paraId="0F40A108" w14:textId="641A4C97" w:rsidR="00F3711B" w:rsidRDefault="00F3711B" w:rsidP="00F3711B">
      <w:pPr>
        <w:spacing w:before="240" w:after="80"/>
        <w:rPr>
          <w:rFonts w:ascii="Bahnschrift" w:hAnsi="Bahnschrift"/>
        </w:rPr>
      </w:pPr>
      <w:r w:rsidRPr="00C46DAA">
        <w:rPr>
          <w:rFonts w:ascii="Bahnschrift" w:hAnsi="Bahnschrift"/>
          <w:b/>
          <w:bCs/>
          <w:sz w:val="32"/>
          <w:szCs w:val="32"/>
        </w:rPr>
        <w:t>POLITYKA</w:t>
      </w:r>
    </w:p>
    <w:p w14:paraId="142CAB5F" w14:textId="0E673E94" w:rsidR="00E61ADB" w:rsidRDefault="00E61ADB" w:rsidP="00E61ADB">
      <w:r w:rsidRPr="0053209D">
        <w:t>Zapewnienie odpowiedniego stanu</w:t>
      </w:r>
      <w:r>
        <w:t xml:space="preserve"> </w:t>
      </w:r>
      <w:r w:rsidRPr="0053209D">
        <w:t>i rozwoju infrastruktury gazu ziemnego</w:t>
      </w:r>
      <w:r>
        <w:t xml:space="preserve"> będzie opierać się o regulowaną działalność dedykowanych podmiotów – operatorów. </w:t>
      </w:r>
      <w:r w:rsidR="00F75BFF">
        <w:t>Tak j</w:t>
      </w:r>
      <w:r>
        <w:t xml:space="preserve">ak dotychczas </w:t>
      </w:r>
      <w:r w:rsidRPr="002B4DFC">
        <w:rPr>
          <w:b/>
          <w:bCs/>
        </w:rPr>
        <w:t>operator system</w:t>
      </w:r>
      <w:r>
        <w:rPr>
          <w:b/>
          <w:bCs/>
        </w:rPr>
        <w:t>u</w:t>
      </w:r>
      <w:r w:rsidRPr="002B4DFC">
        <w:rPr>
          <w:b/>
          <w:bCs/>
        </w:rPr>
        <w:t xml:space="preserve"> przesyłow</w:t>
      </w:r>
      <w:r>
        <w:rPr>
          <w:b/>
          <w:bCs/>
        </w:rPr>
        <w:t>ego</w:t>
      </w:r>
      <w:r>
        <w:t xml:space="preserve"> będzie realizować zadania określane w </w:t>
      </w:r>
      <w:r w:rsidRPr="00FD5859">
        <w:t>plan</w:t>
      </w:r>
      <w:r>
        <w:t>ach</w:t>
      </w:r>
      <w:r w:rsidRPr="00FD5859">
        <w:t xml:space="preserve"> rozwoju w zakresie zaspokojenia obecnego i</w:t>
      </w:r>
      <w:r>
        <w:t> </w:t>
      </w:r>
      <w:r w:rsidRPr="00FD5859">
        <w:t>przyszłego zapotrzebowania na paliwa gazowe na okres 10 lat</w:t>
      </w:r>
      <w:r>
        <w:t xml:space="preserve"> (obecnie obowiązuje plan na okres 2024–2033), zaś operatorzy </w:t>
      </w:r>
      <w:r w:rsidRPr="00E224B5">
        <w:rPr>
          <w:b/>
          <w:bCs/>
        </w:rPr>
        <w:t>systemów dystrybucyjnych</w:t>
      </w:r>
      <w:r>
        <w:t xml:space="preserve"> będą nadal opracowywać i realizować takie plany w perspektywie 5-letniej</w:t>
      </w:r>
      <w:r w:rsidRPr="00FD5859">
        <w:t>.</w:t>
      </w:r>
      <w:r w:rsidRPr="00997BA4">
        <w:t xml:space="preserve"> Również operator systemu magazynowania będzie realizował zadania określone w planie rozwoju w zakresie zaspokojenia obecnego i przyszłego zapotrzebowania na pojemności instalacji magazynowych na okres 10 lat.</w:t>
      </w:r>
      <w:r>
        <w:t xml:space="preserve"> </w:t>
      </w:r>
    </w:p>
    <w:p w14:paraId="33016F76" w14:textId="080D5158" w:rsidR="0053209D" w:rsidRDefault="002B4DFC" w:rsidP="00F3711B">
      <w:r>
        <w:t>Plany określane są w oparciu o analizy techniczne oraz prognozy zapotrzebowania na surowiec</w:t>
      </w:r>
      <w:r w:rsidR="00E224B5">
        <w:t>, a prowadzone inwestycje powinny uwzględniać możliwość transportu gazów zdekarbonizowanych.</w:t>
      </w:r>
    </w:p>
    <w:p w14:paraId="185C40A1" w14:textId="57AD1246" w:rsidR="00F3711B" w:rsidRPr="000E51BB" w:rsidRDefault="00F3711B" w:rsidP="000E51BB">
      <w:pPr>
        <w:keepNext/>
        <w:spacing w:before="240" w:after="80"/>
        <w:rPr>
          <w:rFonts w:ascii="Bahnschrift" w:hAnsi="Bahnschrift"/>
          <w:sz w:val="32"/>
          <w:szCs w:val="32"/>
        </w:rPr>
      </w:pPr>
      <w:r w:rsidRPr="00C46DAA">
        <w:rPr>
          <w:rFonts w:ascii="Bahnschrift" w:hAnsi="Bahnschrift"/>
          <w:b/>
          <w:bCs/>
          <w:sz w:val="32"/>
          <w:szCs w:val="32"/>
        </w:rPr>
        <w:t>DZIAŁANIA</w:t>
      </w:r>
    </w:p>
    <w:p w14:paraId="24453BEB" w14:textId="24866C12" w:rsidR="00173CF7" w:rsidRDefault="00173CF7" w:rsidP="001D4BA5">
      <w:pPr>
        <w:pStyle w:val="Akapitzlist"/>
        <w:numPr>
          <w:ilvl w:val="0"/>
          <w:numId w:val="16"/>
        </w:numPr>
      </w:pPr>
      <w:r>
        <w:fldChar w:fldCharType="begin"/>
      </w:r>
      <w:r>
        <w:instrText xml:space="preserve"> REF _Ref159502277 \h </w:instrText>
      </w:r>
      <w:r>
        <w:fldChar w:fldCharType="separate"/>
      </w:r>
      <w:r w:rsidR="00DD3929">
        <w:t xml:space="preserve">Działanie </w:t>
      </w:r>
      <w:r w:rsidR="00DD3929">
        <w:rPr>
          <w:noProof/>
        </w:rPr>
        <w:t>109</w:t>
      </w:r>
      <w:r w:rsidR="00DD3929">
        <w:t xml:space="preserve">. </w:t>
      </w:r>
      <w:r w:rsidR="00DD3929" w:rsidRPr="00441EDE">
        <w:t>Zwiększanie pojemności i mocy odbioru systemu magazynowania gazu ziemnego</w:t>
      </w:r>
      <w:r>
        <w:fldChar w:fldCharType="end"/>
      </w:r>
    </w:p>
    <w:p w14:paraId="73D05808" w14:textId="3989B765" w:rsidR="00EB6384" w:rsidRDefault="008D0028" w:rsidP="001D4BA5">
      <w:pPr>
        <w:pStyle w:val="Akapitzlist"/>
        <w:numPr>
          <w:ilvl w:val="0"/>
          <w:numId w:val="16"/>
        </w:numPr>
      </w:pPr>
      <w:r>
        <w:fldChar w:fldCharType="begin"/>
      </w:r>
      <w:r>
        <w:instrText xml:space="preserve"> REF _Ref159499172 \h </w:instrText>
      </w:r>
      <w:r>
        <w:fldChar w:fldCharType="separate"/>
      </w:r>
      <w:r w:rsidR="00DD3929">
        <w:t xml:space="preserve">Działanie </w:t>
      </w:r>
      <w:r w:rsidR="00DD3929">
        <w:rPr>
          <w:noProof/>
        </w:rPr>
        <w:t>110</w:t>
      </w:r>
      <w:r w:rsidR="00DD3929">
        <w:t xml:space="preserve">. </w:t>
      </w:r>
      <w:r w:rsidR="00DD3929" w:rsidRPr="00E410E0">
        <w:t xml:space="preserve">Rozbudowa i modernizacja systemu </w:t>
      </w:r>
      <w:r w:rsidR="00DD3929">
        <w:t xml:space="preserve">gazowego </w:t>
      </w:r>
      <w:r w:rsidR="00DD3929" w:rsidRPr="00E410E0">
        <w:t>przesyłowego i</w:t>
      </w:r>
      <w:r w:rsidR="00DD3929">
        <w:t> </w:t>
      </w:r>
      <w:r w:rsidR="00DD3929" w:rsidRPr="00E410E0">
        <w:t>dystrybucyjnego zgodnie z przyjętymi planami rozwoju oraz ich aktualizacjami</w:t>
      </w:r>
      <w:r>
        <w:fldChar w:fldCharType="end"/>
      </w:r>
      <w:r w:rsidR="00E15D8C">
        <w:t>.</w:t>
      </w:r>
    </w:p>
    <w:p w14:paraId="3CF59DD2" w14:textId="70FB7208" w:rsidR="00CC5FCD" w:rsidRDefault="00CC5FCD" w:rsidP="00CC5FCD">
      <w:pPr>
        <w:pStyle w:val="Nagwek4"/>
        <w:rPr>
          <w:color w:val="C00000"/>
        </w:rPr>
      </w:pPr>
      <w:bookmarkStart w:id="173" w:name="_Toc159598320"/>
      <w:bookmarkStart w:id="174" w:name="_Toc179536972"/>
      <w:r>
        <w:rPr>
          <w:color w:val="C00000"/>
        </w:rPr>
        <w:t>Zapewnienie gotowości do radzenia sobie z ograniczeniami w dostawach gazu ziemnego</w:t>
      </w:r>
      <w:bookmarkEnd w:id="173"/>
      <w:bookmarkEnd w:id="174"/>
    </w:p>
    <w:p w14:paraId="1839E737" w14:textId="472EEC5B" w:rsidR="008A7D3F" w:rsidRDefault="00647401" w:rsidP="007B67BC">
      <w:r>
        <w:t xml:space="preserve">Zakłócenie dostaw </w:t>
      </w:r>
      <w:r w:rsidR="008A7D3F">
        <w:t>gazu ziemnego do</w:t>
      </w:r>
      <w:r>
        <w:t xml:space="preserve"> krajowego systemu gazowego lub nieprzewidziane sytuacje mające wpływ na jego funkcjonowanie i pokrywanie potrzeb odbiorców oraz </w:t>
      </w:r>
      <w:r w:rsidR="00265D1D">
        <w:t>możliwość wystąpienia nadzwyczajnie wysokiego zapotrzebowania</w:t>
      </w:r>
      <w:r w:rsidR="00265D1D" w:rsidDel="00265D1D">
        <w:t xml:space="preserve"> </w:t>
      </w:r>
      <w:r>
        <w:t xml:space="preserve">wymagają określonego zabezpieczenia. </w:t>
      </w:r>
    </w:p>
    <w:p w14:paraId="12F692C3" w14:textId="5DF457D4" w:rsidR="00647401" w:rsidRPr="006868BC" w:rsidRDefault="00E15E7D" w:rsidP="007B67BC">
      <w:r>
        <w:t xml:space="preserve">Obszar </w:t>
      </w:r>
      <w:r w:rsidR="00647401">
        <w:t>t</w:t>
      </w:r>
      <w:r>
        <w:t>en</w:t>
      </w:r>
      <w:r w:rsidR="00647401">
        <w:t xml:space="preserve"> został uregulowan</w:t>
      </w:r>
      <w:r>
        <w:t>y</w:t>
      </w:r>
      <w:r w:rsidR="00647401">
        <w:t xml:space="preserve"> w r</w:t>
      </w:r>
      <w:r w:rsidR="00647401" w:rsidRPr="00647401">
        <w:t>ozporządzeni</w:t>
      </w:r>
      <w:r w:rsidR="00647401">
        <w:t>u</w:t>
      </w:r>
      <w:r w:rsidR="00647401" w:rsidRPr="00647401">
        <w:t xml:space="preserve"> </w:t>
      </w:r>
      <w:r w:rsidR="00647401">
        <w:t xml:space="preserve">UE </w:t>
      </w:r>
      <w:r w:rsidR="00647401" w:rsidRPr="00647401">
        <w:t>2017/1938 dotycząc</w:t>
      </w:r>
      <w:r w:rsidR="00647401">
        <w:t xml:space="preserve">ym </w:t>
      </w:r>
      <w:r w:rsidR="00647401" w:rsidRPr="00647401">
        <w:t>bezpieczeństw</w:t>
      </w:r>
      <w:r w:rsidR="00647401">
        <w:t>a</w:t>
      </w:r>
      <w:r w:rsidR="00647401" w:rsidRPr="00647401">
        <w:t xml:space="preserve"> dostaw gazu ziemnego</w:t>
      </w:r>
      <w:r w:rsidR="00647401">
        <w:t xml:space="preserve">, w którym określono </w:t>
      </w:r>
      <w:r w:rsidR="00265D1D">
        <w:t xml:space="preserve">przepisy obejmujące kwestie m.in. odpowiedzialności, standardów </w:t>
      </w:r>
      <w:r w:rsidR="00647401">
        <w:t>dostaw</w:t>
      </w:r>
      <w:r>
        <w:t xml:space="preserve"> i</w:t>
      </w:r>
      <w:r w:rsidR="00647401">
        <w:t xml:space="preserve"> </w:t>
      </w:r>
      <w:r>
        <w:t>infrastruktury</w:t>
      </w:r>
      <w:r w:rsidR="00647401">
        <w:t xml:space="preserve">, ocen ryzyka czy </w:t>
      </w:r>
      <w:r>
        <w:t xml:space="preserve">konieczności opracowania planów </w:t>
      </w:r>
      <w:r w:rsidRPr="00E15E7D">
        <w:t>zapobiegawczych i planów na wypadek sytuacji nadzwyczajnej</w:t>
      </w:r>
      <w:r>
        <w:t xml:space="preserve">. </w:t>
      </w:r>
      <w:r w:rsidR="006868BC">
        <w:t xml:space="preserve">Zgodnie z art. 8 ust. 2 lit a–b Polska posiada </w:t>
      </w:r>
      <w:r w:rsidR="006868BC" w:rsidRPr="006868BC">
        <w:rPr>
          <w:b/>
          <w:bCs/>
        </w:rPr>
        <w:t>plan działań zapobiegawczych</w:t>
      </w:r>
      <w:r w:rsidR="006868BC">
        <w:t xml:space="preserve"> oraz </w:t>
      </w:r>
      <w:r w:rsidR="006868BC" w:rsidRPr="006868BC">
        <w:rPr>
          <w:b/>
          <w:bCs/>
        </w:rPr>
        <w:t>plan na wypadek sytuacji nadzwyczajnej</w:t>
      </w:r>
      <w:r w:rsidR="006868BC">
        <w:rPr>
          <w:b/>
          <w:bCs/>
        </w:rPr>
        <w:t xml:space="preserve"> </w:t>
      </w:r>
      <w:r w:rsidR="006868BC" w:rsidRPr="00ED0B20">
        <w:t>–</w:t>
      </w:r>
      <w:r w:rsidR="006868BC">
        <w:rPr>
          <w:b/>
          <w:bCs/>
        </w:rPr>
        <w:t xml:space="preserve"> </w:t>
      </w:r>
      <w:r w:rsidR="006868BC">
        <w:t>oba dokumenty zostały zaktualizowane w 2023 r.</w:t>
      </w:r>
      <w:r w:rsidR="00ED0B20" w:rsidRPr="00ED0B20">
        <w:t xml:space="preserve"> </w:t>
      </w:r>
      <w:r w:rsidR="00ED0B20">
        <w:t>Aktualizację przeprowadza się co 4 lata lub częściej w przypadku potrzeb.</w:t>
      </w:r>
      <w:r w:rsidR="00D010FB">
        <w:t xml:space="preserve"> </w:t>
      </w:r>
    </w:p>
    <w:p w14:paraId="3E6DDADF" w14:textId="7B93C93C" w:rsidR="006868BC" w:rsidRPr="003967BC" w:rsidRDefault="003967BC" w:rsidP="007B67BC">
      <w:r w:rsidRPr="003967BC">
        <w:t xml:space="preserve">W </w:t>
      </w:r>
      <w:r w:rsidR="006868BC" w:rsidRPr="006868BC">
        <w:rPr>
          <w:i/>
          <w:iCs/>
        </w:rPr>
        <w:t>Plan</w:t>
      </w:r>
      <w:r>
        <w:rPr>
          <w:i/>
          <w:iCs/>
        </w:rPr>
        <w:t>ie</w:t>
      </w:r>
      <w:r w:rsidR="006868BC" w:rsidRPr="006868BC">
        <w:rPr>
          <w:i/>
          <w:iCs/>
        </w:rPr>
        <w:t xml:space="preserve"> działań zapobiegawczych</w:t>
      </w:r>
      <w:r w:rsidR="006868BC">
        <w:rPr>
          <w:i/>
          <w:iCs/>
        </w:rPr>
        <w:t xml:space="preserve"> 2023 </w:t>
      </w:r>
      <w:r w:rsidR="006868BC" w:rsidRPr="006868BC">
        <w:t>(</w:t>
      </w:r>
      <w:hyperlink r:id="rId75" w:history="1">
        <w:r w:rsidR="006868BC" w:rsidRPr="006868BC">
          <w:rPr>
            <w:rStyle w:val="Hipercze"/>
          </w:rPr>
          <w:t>link</w:t>
        </w:r>
      </w:hyperlink>
      <w:r w:rsidR="006868BC" w:rsidRPr="006868BC">
        <w:t>) określ</w:t>
      </w:r>
      <w:r>
        <w:t>ono</w:t>
      </w:r>
      <w:r w:rsidR="006868BC" w:rsidRPr="006868BC">
        <w:t xml:space="preserve"> środki mające na celu usunięcie lub złagodzenie ryzyka i zagrożeń w dostawach gazu ziemnego wysokometanowego</w:t>
      </w:r>
      <w:r>
        <w:t>, s</w:t>
      </w:r>
      <w:r w:rsidR="006868BC" w:rsidRPr="006868BC">
        <w:t>charakteryz</w:t>
      </w:r>
      <w:r>
        <w:t>owano</w:t>
      </w:r>
      <w:r w:rsidR="006868BC" w:rsidRPr="006868BC">
        <w:t xml:space="preserve"> również zdolności Polski do dostarczania gazu ziemnego zgodnie ze standardami określonymi w rozporządzeniu UE 2017/1938</w:t>
      </w:r>
      <w:r>
        <w:t xml:space="preserve">. W dokumencie odniesiono się również do segmentu gazu zaazotowanego. Szczególna uwaga poświęcona została </w:t>
      </w:r>
      <w:r w:rsidRPr="003967BC">
        <w:t>zapewnien</w:t>
      </w:r>
      <w:r>
        <w:t>iu</w:t>
      </w:r>
      <w:r w:rsidRPr="003967BC">
        <w:t xml:space="preserve"> zgodności ze standardem w zakresie dostaw do odbiorców należących do grupy odbiorców chronionych, w czasie 30 dni nadzwyczajnie wysokiego zapotrzebowania na gaz ziemny z prawdopodobieństwem wystąpienia raz na 20 lat</w:t>
      </w:r>
      <w:r>
        <w:t xml:space="preserve"> </w:t>
      </w:r>
      <w:r w:rsidR="00453051">
        <w:t>(</w:t>
      </w:r>
      <w:r>
        <w:t xml:space="preserve">w Polsce </w:t>
      </w:r>
      <w:r w:rsidRPr="003967BC">
        <w:t>wynosi ok. 1 226,8 mln</w:t>
      </w:r>
      <w:r>
        <w:t> </w:t>
      </w:r>
      <w:r w:rsidRPr="003967BC">
        <w:t>m</w:t>
      </w:r>
      <w:r w:rsidRPr="003967BC">
        <w:rPr>
          <w:vertAlign w:val="superscript"/>
        </w:rPr>
        <w:t>3</w:t>
      </w:r>
      <w:r w:rsidR="00453051">
        <w:t>).</w:t>
      </w:r>
      <w:r>
        <w:t xml:space="preserve"> Dokument zawiera również </w:t>
      </w:r>
      <w:r w:rsidRPr="003967BC">
        <w:t xml:space="preserve">najważniejsze elementy współpracy regionalnej </w:t>
      </w:r>
      <w:r>
        <w:t>oraz</w:t>
      </w:r>
      <w:r w:rsidRPr="003967BC">
        <w:t xml:space="preserve"> opis mechanizmów stosowanych do celów współpracy pomiędzy państwami członkowskimi w odpowiednich grupach ryzyka</w:t>
      </w:r>
      <w:r>
        <w:t>.</w:t>
      </w:r>
    </w:p>
    <w:p w14:paraId="49D3307F" w14:textId="4C9106C0" w:rsidR="006868BC" w:rsidRDefault="003967BC" w:rsidP="006868BC">
      <w:r>
        <w:t xml:space="preserve">W </w:t>
      </w:r>
      <w:r w:rsidRPr="00ED0B20">
        <w:rPr>
          <w:i/>
          <w:iCs/>
        </w:rPr>
        <w:t>Planie na wypadek sytuacji nadzwyczajnej</w:t>
      </w:r>
      <w:r>
        <w:t xml:space="preserve"> (</w:t>
      </w:r>
      <w:hyperlink r:id="rId76" w:history="1">
        <w:r w:rsidRPr="003967BC">
          <w:rPr>
            <w:rStyle w:val="Hipercze"/>
          </w:rPr>
          <w:t>link</w:t>
        </w:r>
      </w:hyperlink>
      <w:r>
        <w:t xml:space="preserve">) </w:t>
      </w:r>
      <w:r w:rsidRPr="006868BC">
        <w:t>określ</w:t>
      </w:r>
      <w:r>
        <w:t>ono</w:t>
      </w:r>
      <w:r w:rsidR="00ED0B20">
        <w:t>: (a) zakres odpowiedzialności uczestników rynku oraz organu właściwego za bezpieczeństwo dostaw gazu ziemnego (w rozumieniu art. 3 ust. 2 rozporządzenia UE 2017/1938); (b) zasady monitorowania krajowego rynku gazu ziemnego; (c) role, procedury postępowania, dostępne środki, schematy komunikacji między podmiotami w przypadku wystąpienia poszczególnych stanów kryzysowych; (d) działania podejmowane przez organy administracji publicznej, przedsiębiorstwa energetyczne, operatora systemu przesyłowego gazowego lub operatora systemu połączonego gazowego, operatora systemu dystrybucyjnego gazowego, operatora systemu skraplania gazu ziemnego oraz operatora systemu magazynowania – w każdym ze stanów kryzysowych; (e) rolę organu właściwego oraz sposoby postępowania w przypadku wystąpienia sytuacji kryzysowej, w tym tryb wykorzystania środków rynkowych i nierynkowych.</w:t>
      </w:r>
    </w:p>
    <w:p w14:paraId="0F831350" w14:textId="2D57DE40" w:rsidR="00D010FB" w:rsidRPr="00D010FB" w:rsidRDefault="00E15E7D" w:rsidP="00D010FB">
      <w:pPr>
        <w:pStyle w:val="Cele"/>
        <w:rPr>
          <w:b/>
          <w:bCs/>
        </w:rPr>
      </w:pPr>
      <w:r w:rsidRPr="00ED0B20">
        <w:rPr>
          <w:b/>
          <w:bCs/>
        </w:rPr>
        <w:t xml:space="preserve">Celem </w:t>
      </w:r>
      <w:r w:rsidR="00ED0B20" w:rsidRPr="00ED0B20">
        <w:rPr>
          <w:b/>
          <w:bCs/>
        </w:rPr>
        <w:t xml:space="preserve">jest </w:t>
      </w:r>
      <w:r w:rsidR="00ED0B20">
        <w:rPr>
          <w:b/>
          <w:bCs/>
        </w:rPr>
        <w:t xml:space="preserve">zapewnienie kompleksowego systemu </w:t>
      </w:r>
      <w:r w:rsidRPr="00ED0B20">
        <w:rPr>
          <w:b/>
          <w:bCs/>
        </w:rPr>
        <w:t>gotowoś</w:t>
      </w:r>
      <w:r w:rsidR="009A757B">
        <w:rPr>
          <w:b/>
          <w:bCs/>
        </w:rPr>
        <w:t>ci</w:t>
      </w:r>
      <w:r w:rsidRPr="00ED0B20">
        <w:rPr>
          <w:b/>
          <w:bCs/>
        </w:rPr>
        <w:t xml:space="preserve"> do radzenia sobie z</w:t>
      </w:r>
      <w:r w:rsidR="00ED0B20">
        <w:rPr>
          <w:b/>
          <w:bCs/>
        </w:rPr>
        <w:t> </w:t>
      </w:r>
      <w:r w:rsidRPr="00ED0B20">
        <w:rPr>
          <w:b/>
          <w:bCs/>
        </w:rPr>
        <w:t>ograniczeniami w dostawach gazu ziemnego</w:t>
      </w:r>
      <w:r w:rsidR="00ED0B20" w:rsidRPr="00ED0B20">
        <w:rPr>
          <w:b/>
          <w:bCs/>
        </w:rPr>
        <w:t xml:space="preserve"> w sytuacjach</w:t>
      </w:r>
      <w:r w:rsidR="00ED0B20">
        <w:rPr>
          <w:b/>
          <w:bCs/>
        </w:rPr>
        <w:t xml:space="preserve"> nadzwyczajnych i zwiększonego zapotrzebowania na surowiec.</w:t>
      </w:r>
      <w:r w:rsidR="00ED0B20" w:rsidRPr="00ED0B20">
        <w:rPr>
          <w:b/>
          <w:bCs/>
        </w:rPr>
        <w:t xml:space="preserve"> </w:t>
      </w:r>
      <w:r w:rsidRPr="00ED0B20">
        <w:rPr>
          <w:b/>
          <w:bCs/>
        </w:rPr>
        <w:t xml:space="preserve"> </w:t>
      </w:r>
    </w:p>
    <w:p w14:paraId="0D0C9393" w14:textId="77777777" w:rsidR="00CC5FCD" w:rsidRDefault="00CC5FCD" w:rsidP="00C01DAA">
      <w:pPr>
        <w:pStyle w:val="Polityka"/>
      </w:pPr>
      <w:r w:rsidRPr="00C46DAA">
        <w:t>POLITYKA</w:t>
      </w:r>
    </w:p>
    <w:p w14:paraId="368631C4" w14:textId="20F8F4AB" w:rsidR="00CC5FCD" w:rsidRDefault="00ED0B20" w:rsidP="00CC5FCD">
      <w:r>
        <w:t>G</w:t>
      </w:r>
      <w:r w:rsidRPr="00ED0B20">
        <w:t xml:space="preserve">otowość do radzenia sobie z ograniczeniami w dostawach gazu ziemnego w sytuacjach nadzwyczajnych </w:t>
      </w:r>
      <w:r>
        <w:t xml:space="preserve">opiera się przede wszystkim na </w:t>
      </w:r>
      <w:r w:rsidRPr="00ED0B20">
        <w:t>posiadani</w:t>
      </w:r>
      <w:r w:rsidR="009A757B">
        <w:t>u</w:t>
      </w:r>
      <w:r w:rsidRPr="00ED0B20">
        <w:t xml:space="preserve"> odpowiedniej infrastruktury</w:t>
      </w:r>
      <w:r>
        <w:t xml:space="preserve"> przesyłowej i magazynowej, a</w:t>
      </w:r>
      <w:r w:rsidR="00D010FB">
        <w:t> </w:t>
      </w:r>
      <w:r>
        <w:t>także na efektywnym z</w:t>
      </w:r>
      <w:r w:rsidR="00D010FB">
        <w:t xml:space="preserve">estawie </w:t>
      </w:r>
      <w:r w:rsidRPr="00ED0B20">
        <w:t>procedur oraz rozwiązań</w:t>
      </w:r>
      <w:r w:rsidR="00D010FB">
        <w:t xml:space="preserve"> pozwalających na uniknięcie sytuacji kryzysowych lub istotne zredukowanie ich skutków. </w:t>
      </w:r>
    </w:p>
    <w:p w14:paraId="21415A3E" w14:textId="0B3E5245" w:rsidR="00D010FB" w:rsidRDefault="00D010FB" w:rsidP="00D010FB">
      <w:r>
        <w:t xml:space="preserve">W tym celu cyklicznie aktualizowany będzie </w:t>
      </w:r>
      <w:r w:rsidRPr="00D010FB">
        <w:rPr>
          <w:b/>
          <w:bCs/>
        </w:rPr>
        <w:t xml:space="preserve">plan działań zapobiegawczych </w:t>
      </w:r>
      <w:r w:rsidRPr="00D010FB">
        <w:t xml:space="preserve">oraz </w:t>
      </w:r>
      <w:r w:rsidRPr="00D010FB">
        <w:rPr>
          <w:b/>
          <w:bCs/>
        </w:rPr>
        <w:t>plan na wypadek sytuacji nadzwyczajnej</w:t>
      </w:r>
      <w:r>
        <w:t xml:space="preserve"> a weryfikacja jego wdrażania i skuteczności będzie jak dotychczas opierać się na monitoringu i sprawozdawczości. Podmioty realizujące działania określone w </w:t>
      </w:r>
      <w:r w:rsidRPr="00D010FB">
        <w:rPr>
          <w:b/>
          <w:bCs/>
          <w:i/>
          <w:iCs/>
        </w:rPr>
        <w:t>Plan</w:t>
      </w:r>
      <w:r>
        <w:rPr>
          <w:b/>
          <w:bCs/>
          <w:i/>
          <w:iCs/>
        </w:rPr>
        <w:t>ie</w:t>
      </w:r>
      <w:r w:rsidRPr="00D010FB">
        <w:rPr>
          <w:b/>
          <w:bCs/>
          <w:i/>
          <w:iCs/>
        </w:rPr>
        <w:t xml:space="preserve"> działań zapobiegawczych 2023</w:t>
      </w:r>
      <w:r>
        <w:t xml:space="preserve"> są zobowiązane do składania ministrowi właściwemu ds. energii kwartalnych sprawozdań z realizacji działań służących poprawie bezpieczeństwa dostaw gazu ziemnego. Sprawozdania zawierają harmonogram prac, przewidywany termin zakończenia inwestycji, zagrożenia dla realizacji inwestycji zidentyfikowane przez podmiot realizujący oraz jej wpływ na scenariusze kryzysowe zidentyfikowane w aktualnej </w:t>
      </w:r>
      <w:r w:rsidRPr="00D010FB">
        <w:rPr>
          <w:i/>
          <w:iCs/>
        </w:rPr>
        <w:t>Ocenie ryzyka</w:t>
      </w:r>
      <w:r>
        <w:t xml:space="preserve"> oraz </w:t>
      </w:r>
      <w:r w:rsidRPr="00D010FB">
        <w:rPr>
          <w:i/>
          <w:iCs/>
        </w:rPr>
        <w:t>Planie działań zapobiegawczych</w:t>
      </w:r>
      <w:r>
        <w:t xml:space="preserve">. Ponadto do dnia 1 września każdego roku operator systemu przesyłowego w porozumieniu z przedsiębiorstwami dokonującymi przywozu gazu ziemnego na terytorium Polski przygotowuje raport dotyczący przygotowania systemu gazowego do sezonu zimowego z uwzględnieniem analizy pokrycia szczytowego zapotrzebowania na gaz ziemny w warunkach bezawaryjnych. Jednocześnie minister właściwy do spraw energii opracowuje </w:t>
      </w:r>
      <w:r w:rsidRPr="00D010FB">
        <w:rPr>
          <w:b/>
          <w:bCs/>
        </w:rPr>
        <w:t>sprawozdanie z wyników monitorowania bezpieczeństwa dostaw paliw gazowych</w:t>
      </w:r>
      <w:r w:rsidR="00747447" w:rsidRPr="00747447">
        <w:t>.</w:t>
      </w:r>
    </w:p>
    <w:p w14:paraId="2A56F45B" w14:textId="417578E3" w:rsidR="00CC5FCD" w:rsidRPr="00C46DAA" w:rsidRDefault="00CC5FCD" w:rsidP="00C01DAA">
      <w:pPr>
        <w:pStyle w:val="Polityka"/>
      </w:pPr>
      <w:r w:rsidRPr="00C46DAA">
        <w:t>DZIAŁANIA</w:t>
      </w:r>
    </w:p>
    <w:p w14:paraId="1DE6DFBE" w14:textId="43731013" w:rsidR="00CC5FCD" w:rsidRPr="00CA0E0F" w:rsidRDefault="00C9207C" w:rsidP="001D4BA5">
      <w:pPr>
        <w:pStyle w:val="Akapitzlist"/>
        <w:numPr>
          <w:ilvl w:val="0"/>
          <w:numId w:val="16"/>
        </w:numPr>
      </w:pPr>
      <w:r>
        <w:fldChar w:fldCharType="begin"/>
      </w:r>
      <w:r>
        <w:instrText xml:space="preserve"> REF _Ref157434733 \h </w:instrText>
      </w:r>
      <w:r>
        <w:fldChar w:fldCharType="separate"/>
      </w:r>
      <w:r w:rsidR="00DD3929" w:rsidRPr="00570679">
        <w:t xml:space="preserve">Działanie </w:t>
      </w:r>
      <w:r w:rsidR="00DD3929">
        <w:rPr>
          <w:noProof/>
        </w:rPr>
        <w:t>107</w:t>
      </w:r>
      <w:r w:rsidR="00DD3929" w:rsidRPr="00570679">
        <w:t xml:space="preserve">. </w:t>
      </w:r>
      <w:r w:rsidR="00DD3929">
        <w:t>Cykliczna aktualizacja</w:t>
      </w:r>
      <w:r w:rsidR="00DD3929" w:rsidRPr="00570679">
        <w:t xml:space="preserve"> planu działań zapobiegawczych oraz planu na wypadek sytuacji nadzwyczajnej</w:t>
      </w:r>
      <w:r w:rsidR="00DD3929">
        <w:t xml:space="preserve"> </w:t>
      </w:r>
      <w:r w:rsidR="00DD3929" w:rsidRPr="00DC7166">
        <w:t>oraz monitoring realizacji zadań wpisanych w planie działań zapobiegawczych</w:t>
      </w:r>
      <w:r w:rsidR="00DD3929" w:rsidRPr="00570679">
        <w:t>.</w:t>
      </w:r>
      <w:r>
        <w:fldChar w:fldCharType="end"/>
      </w:r>
    </w:p>
    <w:p w14:paraId="0B7B17B0" w14:textId="3C1E75BB" w:rsidR="000D4915" w:rsidRDefault="000D4915" w:rsidP="000D4915">
      <w:pPr>
        <w:pStyle w:val="Nagwek3"/>
        <w:rPr>
          <w:color w:val="C00000"/>
        </w:rPr>
      </w:pPr>
      <w:bookmarkStart w:id="175" w:name="_Toc159598321"/>
      <w:bookmarkStart w:id="176" w:name="_Toc179536973"/>
      <w:r w:rsidRPr="000D4915">
        <w:rPr>
          <w:color w:val="C00000"/>
        </w:rPr>
        <w:t>Pokryci</w:t>
      </w:r>
      <w:r w:rsidR="008A46D0">
        <w:rPr>
          <w:color w:val="C00000"/>
        </w:rPr>
        <w:t>e</w:t>
      </w:r>
      <w:r w:rsidRPr="000D4915">
        <w:rPr>
          <w:color w:val="C00000"/>
        </w:rPr>
        <w:t xml:space="preserve"> zapotrzebowania na ropę naftową i paliwa ciekłe</w:t>
      </w:r>
      <w:bookmarkEnd w:id="175"/>
      <w:bookmarkEnd w:id="176"/>
    </w:p>
    <w:p w14:paraId="731962F5" w14:textId="0E6888B4" w:rsidR="00625C02" w:rsidRDefault="00DE0CED" w:rsidP="00625C02">
      <w:r>
        <w:rPr>
          <w:noProof/>
        </w:rPr>
        <mc:AlternateContent>
          <mc:Choice Requires="wps">
            <w:drawing>
              <wp:anchor distT="0" distB="0" distL="114300" distR="114300" simplePos="0" relativeHeight="251676672" behindDoc="1" locked="0" layoutInCell="1" allowOverlap="1" wp14:anchorId="77193517" wp14:editId="36CE1B84">
                <wp:simplePos x="0" y="0"/>
                <wp:positionH relativeFrom="margin">
                  <wp:align>right</wp:align>
                </wp:positionH>
                <wp:positionV relativeFrom="paragraph">
                  <wp:posOffset>69215</wp:posOffset>
                </wp:positionV>
                <wp:extent cx="2620010" cy="450215"/>
                <wp:effectExtent l="19050" t="57150" r="104140" b="48260"/>
                <wp:wrapSquare wrapText="bothSides"/>
                <wp:docPr id="1289284279" name="Prostokąt: zaokrąglone rogi 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20010" cy="450215"/>
                        </a:xfrm>
                        <a:prstGeom prst="roundRect">
                          <a:avLst>
                            <a:gd name="adj" fmla="val 11857"/>
                          </a:avLst>
                        </a:prstGeom>
                        <a:solidFill>
                          <a:schemeClr val="bg1"/>
                        </a:solidFill>
                        <a:ln w="6350">
                          <a:solidFill>
                            <a:srgbClr val="C00000"/>
                          </a:solidFill>
                        </a:ln>
                        <a:effectLst>
                          <a:outerShdw blurRad="50800" dist="38100" algn="l"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txbx>
                        <w:txbxContent>
                          <w:p w14:paraId="401ADD01" w14:textId="6F68237F" w:rsidR="00F57B63" w:rsidRPr="004E21CF" w:rsidRDefault="00F57B63" w:rsidP="00F57B63">
                            <w:pPr>
                              <w:pStyle w:val="Ramka"/>
                            </w:pPr>
                            <w:r>
                              <w:t xml:space="preserve">kontekst </w:t>
                            </w:r>
                          </w:p>
                        </w:txbxContent>
                      </wps:txbx>
                      <wps:bodyPr rot="0" spcFirstLastPara="0" vertOverflow="overflow" horzOverflow="overflow" vert="horz" wrap="square" lIns="72000" tIns="90000" rIns="72000" bIns="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77193517" id="Prostokąt: zaokrąglone rogi 33" o:spid="_x0000_s1103" style="position:absolute;left:0;text-align:left;margin-left:155.1pt;margin-top:5.45pt;width:206.3pt;height:35.45pt;z-index:-25163980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arcsize="777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" fillcolor="white [3212]" strokecolor="#c00000" strokeweight=".5pt">
                <v:stroke joinstyle="miter"/>
                <v:shadow on="t" color="black" opacity="26214f" origin="-.5" offset="3pt,0"/>
                <v:path arrowok="t"/>
                <v:textbox style="mso-fit-shape-to-text:t" inset="2mm,2.5mm,2mm,0">
                  <w:txbxContent>
                    <w:p w14:paraId="401ADD01" w14:textId="6F68237F" w:rsidR="00F57B63" w:rsidRPr="004E21CF" w:rsidRDefault="00F57B63" w:rsidP="00F57B63">
                      <w:pPr>
                        <w:pStyle w:val="Ramka"/>
                      </w:pPr>
                      <w:r>
                        <w:t xml:space="preserve">kontekst </w:t>
                      </w:r>
                    </w:p>
                  </w:txbxContent>
                </v:textbox>
                <w10:wrap type="square" anchorx="margin"/>
              </v:roundrect>
            </w:pict>
          </mc:Fallback>
        </mc:AlternateContent>
      </w:r>
      <w:r w:rsidR="00625C02">
        <w:rPr>
          <w:noProof/>
        </w:rPr>
        <mc:AlternateContent>
          <mc:Choice Requires="wps">
            <w:drawing>
              <wp:anchor distT="0" distB="0" distL="114300" distR="114300" simplePos="0" relativeHeight="251765760" behindDoc="1" locked="0" layoutInCell="1" allowOverlap="1" wp14:anchorId="0FA41358" wp14:editId="2486DCF4">
                <wp:simplePos x="0" y="0"/>
                <wp:positionH relativeFrom="margin">
                  <wp:align>right</wp:align>
                </wp:positionH>
                <wp:positionV relativeFrom="paragraph">
                  <wp:posOffset>68921</wp:posOffset>
                </wp:positionV>
                <wp:extent cx="2620010" cy="1963420"/>
                <wp:effectExtent l="19050" t="57150" r="123190" b="71120"/>
                <wp:wrapSquare wrapText="bothSides"/>
                <wp:docPr id="511594587" name="Prostokąt: zaokrąglone rogi 1"/>
                <wp:cNvGraphicFramePr/>
                <a:graphic xmlns:a="http://schemas.openxmlformats.org/drawingml/2006/main">
                  <a:graphicData uri="http://schemas.microsoft.com/office/word/2010/wordprocessingShape">
                    <wps:wsp>
                      <wps:cNvSpPr/>
                      <wps:spPr>
                        <a:xfrm>
                          <a:off x="0" y="0"/>
                          <a:ext cx="2620010" cy="1963420"/>
                        </a:xfrm>
                        <a:prstGeom prst="roundRect">
                          <a:avLst>
                            <a:gd name="adj" fmla="val 11857"/>
                          </a:avLst>
                        </a:prstGeom>
                        <a:solidFill>
                          <a:schemeClr val="bg1"/>
                        </a:solidFill>
                        <a:ln w="6350">
                          <a:solidFill>
                            <a:srgbClr val="C00000"/>
                          </a:solidFill>
                          <a:extLst>
                            <a:ext uri="{C807C97D-BFC1-408E-A445-0C87EB9F89A2}">
                              <ask:lineSketchStyleProps xmlns:ask="http://schemas.microsoft.com/office/drawing/2018/sketchyshapes" sd="3209426022">
                                <a:custGeom>
                                  <a:avLst/>
                                  <a:gdLst>
                                    <a:gd name="connsiteX0" fmla="*/ 0 w 2969895"/>
                                    <a:gd name="connsiteY0" fmla="*/ 369497 h 2597150"/>
                                    <a:gd name="connsiteX1" fmla="*/ 369497 w 2969895"/>
                                    <a:gd name="connsiteY1" fmla="*/ 0 h 2597150"/>
                                    <a:gd name="connsiteX2" fmla="*/ 860295 w 2969895"/>
                                    <a:gd name="connsiteY2" fmla="*/ 0 h 2597150"/>
                                    <a:gd name="connsiteX3" fmla="*/ 1373402 w 2969895"/>
                                    <a:gd name="connsiteY3" fmla="*/ 0 h 2597150"/>
                                    <a:gd name="connsiteX4" fmla="*/ 1908819 w 2969895"/>
                                    <a:gd name="connsiteY4" fmla="*/ 0 h 2597150"/>
                                    <a:gd name="connsiteX5" fmla="*/ 2600398 w 2969895"/>
                                    <a:gd name="connsiteY5" fmla="*/ 0 h 2597150"/>
                                    <a:gd name="connsiteX6" fmla="*/ 2969895 w 2969895"/>
                                    <a:gd name="connsiteY6" fmla="*/ 369497 h 2597150"/>
                                    <a:gd name="connsiteX7" fmla="*/ 2969895 w 2969895"/>
                                    <a:gd name="connsiteY7" fmla="*/ 933138 h 2597150"/>
                                    <a:gd name="connsiteX8" fmla="*/ 2969895 w 2969895"/>
                                    <a:gd name="connsiteY8" fmla="*/ 1571105 h 2597150"/>
                                    <a:gd name="connsiteX9" fmla="*/ 2969895 w 2969895"/>
                                    <a:gd name="connsiteY9" fmla="*/ 2227653 h 2597150"/>
                                    <a:gd name="connsiteX10" fmla="*/ 2600398 w 2969895"/>
                                    <a:gd name="connsiteY10" fmla="*/ 2597150 h 2597150"/>
                                    <a:gd name="connsiteX11" fmla="*/ 2087291 w 2969895"/>
                                    <a:gd name="connsiteY11" fmla="*/ 2597150 h 2597150"/>
                                    <a:gd name="connsiteX12" fmla="*/ 1596493 w 2969895"/>
                                    <a:gd name="connsiteY12" fmla="*/ 2597150 h 2597150"/>
                                    <a:gd name="connsiteX13" fmla="*/ 1083385 w 2969895"/>
                                    <a:gd name="connsiteY13" fmla="*/ 2597150 h 2597150"/>
                                    <a:gd name="connsiteX14" fmla="*/ 369497 w 2969895"/>
                                    <a:gd name="connsiteY14" fmla="*/ 2597150 h 2597150"/>
                                    <a:gd name="connsiteX15" fmla="*/ 0 w 2969895"/>
                                    <a:gd name="connsiteY15" fmla="*/ 2227653 h 2597150"/>
                                    <a:gd name="connsiteX16" fmla="*/ 0 w 2969895"/>
                                    <a:gd name="connsiteY16" fmla="*/ 1664012 h 2597150"/>
                                    <a:gd name="connsiteX17" fmla="*/ 0 w 2969895"/>
                                    <a:gd name="connsiteY17" fmla="*/ 1007464 h 2597150"/>
                                    <a:gd name="connsiteX18" fmla="*/ 0 w 2969895"/>
                                    <a:gd name="connsiteY18" fmla="*/ 369497 h 25971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Lst>
                                  <a:rect l="l" t="t" r="r" b="b"/>
                                  <a:pathLst>
                                    <a:path w="2969895" h="2597150" fill="none" extrusionOk="0">
                                      <a:moveTo>
                                        <a:pt x="0" y="369497"/>
                                      </a:moveTo>
                                      <a:cubicBezTo>
                                        <a:pt x="-21648" y="122196"/>
                                        <a:pt x="151284" y="20440"/>
                                        <a:pt x="369497" y="0"/>
                                      </a:cubicBezTo>
                                      <a:cubicBezTo>
                                        <a:pt x="522987" y="20037"/>
                                        <a:pt x="761634" y="-14955"/>
                                        <a:pt x="860295" y="0"/>
                                      </a:cubicBezTo>
                                      <a:cubicBezTo>
                                        <a:pt x="958956" y="14955"/>
                                        <a:pt x="1258306" y="-1385"/>
                                        <a:pt x="1373402" y="0"/>
                                      </a:cubicBezTo>
                                      <a:cubicBezTo>
                                        <a:pt x="1488498" y="1385"/>
                                        <a:pt x="1708357" y="-23685"/>
                                        <a:pt x="1908819" y="0"/>
                                      </a:cubicBezTo>
                                      <a:cubicBezTo>
                                        <a:pt x="2109281" y="23685"/>
                                        <a:pt x="2348083" y="10816"/>
                                        <a:pt x="2600398" y="0"/>
                                      </a:cubicBezTo>
                                      <a:cubicBezTo>
                                        <a:pt x="2768901" y="15078"/>
                                        <a:pt x="2966036" y="150633"/>
                                        <a:pt x="2969895" y="369497"/>
                                      </a:cubicBezTo>
                                      <a:cubicBezTo>
                                        <a:pt x="2962113" y="608285"/>
                                        <a:pt x="2992646" y="718113"/>
                                        <a:pt x="2969895" y="933138"/>
                                      </a:cubicBezTo>
                                      <a:cubicBezTo>
                                        <a:pt x="2947144" y="1148163"/>
                                        <a:pt x="2959903" y="1379042"/>
                                        <a:pt x="2969895" y="1571105"/>
                                      </a:cubicBezTo>
                                      <a:cubicBezTo>
                                        <a:pt x="2979887" y="1763168"/>
                                        <a:pt x="2979459" y="1952072"/>
                                        <a:pt x="2969895" y="2227653"/>
                                      </a:cubicBezTo>
                                      <a:cubicBezTo>
                                        <a:pt x="2972534" y="2425813"/>
                                        <a:pt x="2839732" y="2580296"/>
                                        <a:pt x="2600398" y="2597150"/>
                                      </a:cubicBezTo>
                                      <a:cubicBezTo>
                                        <a:pt x="2371648" y="2583364"/>
                                        <a:pt x="2211376" y="2579538"/>
                                        <a:pt x="2087291" y="2597150"/>
                                      </a:cubicBezTo>
                                      <a:cubicBezTo>
                                        <a:pt x="1963206" y="2614762"/>
                                        <a:pt x="1722052" y="2580167"/>
                                        <a:pt x="1596493" y="2597150"/>
                                      </a:cubicBezTo>
                                      <a:cubicBezTo>
                                        <a:pt x="1470934" y="2614133"/>
                                        <a:pt x="1334604" y="2607859"/>
                                        <a:pt x="1083385" y="2597150"/>
                                      </a:cubicBezTo>
                                      <a:cubicBezTo>
                                        <a:pt x="832166" y="2586441"/>
                                        <a:pt x="530773" y="2610674"/>
                                        <a:pt x="369497" y="2597150"/>
                                      </a:cubicBezTo>
                                      <a:cubicBezTo>
                                        <a:pt x="155534" y="2581945"/>
                                        <a:pt x="17352" y="2459324"/>
                                        <a:pt x="0" y="2227653"/>
                                      </a:cubicBezTo>
                                      <a:cubicBezTo>
                                        <a:pt x="-17492" y="1985602"/>
                                        <a:pt x="10018" y="1857958"/>
                                        <a:pt x="0" y="1664012"/>
                                      </a:cubicBezTo>
                                      <a:cubicBezTo>
                                        <a:pt x="-10018" y="1470066"/>
                                        <a:pt x="30211" y="1274151"/>
                                        <a:pt x="0" y="1007464"/>
                                      </a:cubicBezTo>
                                      <a:cubicBezTo>
                                        <a:pt x="-30211" y="740777"/>
                                        <a:pt x="28398" y="678939"/>
                                        <a:pt x="0" y="369497"/>
                                      </a:cubicBezTo>
                                      <a:close/>
                                    </a:path>
                                    <a:path w="2969895" h="2597150" stroke="0" extrusionOk="0">
                                      <a:moveTo>
                                        <a:pt x="0" y="369497"/>
                                      </a:moveTo>
                                      <a:cubicBezTo>
                                        <a:pt x="34577" y="178421"/>
                                        <a:pt x="167617" y="23472"/>
                                        <a:pt x="369497" y="0"/>
                                      </a:cubicBezTo>
                                      <a:cubicBezTo>
                                        <a:pt x="518833" y="25358"/>
                                        <a:pt x="763926" y="-12862"/>
                                        <a:pt x="927222" y="0"/>
                                      </a:cubicBezTo>
                                      <a:cubicBezTo>
                                        <a:pt x="1090519" y="12862"/>
                                        <a:pt x="1283092" y="13454"/>
                                        <a:pt x="1529566" y="0"/>
                                      </a:cubicBezTo>
                                      <a:cubicBezTo>
                                        <a:pt x="1776040" y="-13454"/>
                                        <a:pt x="2346815" y="-6698"/>
                                        <a:pt x="2600398" y="0"/>
                                      </a:cubicBezTo>
                                      <a:cubicBezTo>
                                        <a:pt x="2790254" y="-14900"/>
                                        <a:pt x="2963476" y="163312"/>
                                        <a:pt x="2969895" y="369497"/>
                                      </a:cubicBezTo>
                                      <a:cubicBezTo>
                                        <a:pt x="2964010" y="618454"/>
                                        <a:pt x="2992138" y="705432"/>
                                        <a:pt x="2969895" y="933138"/>
                                      </a:cubicBezTo>
                                      <a:cubicBezTo>
                                        <a:pt x="2947652" y="1160844"/>
                                        <a:pt x="2959065" y="1396088"/>
                                        <a:pt x="2969895" y="1552523"/>
                                      </a:cubicBezTo>
                                      <a:cubicBezTo>
                                        <a:pt x="2980725" y="1708958"/>
                                        <a:pt x="2989525" y="1922101"/>
                                        <a:pt x="2969895" y="2227653"/>
                                      </a:cubicBezTo>
                                      <a:cubicBezTo>
                                        <a:pt x="2961485" y="2426742"/>
                                        <a:pt x="2843982" y="2584275"/>
                                        <a:pt x="2600398" y="2597150"/>
                                      </a:cubicBezTo>
                                      <a:cubicBezTo>
                                        <a:pt x="2446371" y="2597226"/>
                                        <a:pt x="2156238" y="2611024"/>
                                        <a:pt x="2042673" y="2597150"/>
                                      </a:cubicBezTo>
                                      <a:cubicBezTo>
                                        <a:pt x="1929108" y="2583276"/>
                                        <a:pt x="1682141" y="2616607"/>
                                        <a:pt x="1484948" y="2597150"/>
                                      </a:cubicBezTo>
                                      <a:cubicBezTo>
                                        <a:pt x="1287756" y="2577693"/>
                                        <a:pt x="1127330" y="2623505"/>
                                        <a:pt x="927222" y="2597150"/>
                                      </a:cubicBezTo>
                                      <a:cubicBezTo>
                                        <a:pt x="727114" y="2570795"/>
                                        <a:pt x="553257" y="2623034"/>
                                        <a:pt x="369497" y="2597150"/>
                                      </a:cubicBezTo>
                                      <a:cubicBezTo>
                                        <a:pt x="194263" y="2631399"/>
                                        <a:pt x="3410" y="2439480"/>
                                        <a:pt x="0" y="2227653"/>
                                      </a:cubicBezTo>
                                      <a:cubicBezTo>
                                        <a:pt x="-13465" y="2026099"/>
                                        <a:pt x="2425" y="1821961"/>
                                        <a:pt x="0" y="1645431"/>
                                      </a:cubicBezTo>
                                      <a:cubicBezTo>
                                        <a:pt x="-2425" y="1468901"/>
                                        <a:pt x="-3089" y="1229156"/>
                                        <a:pt x="0" y="1063209"/>
                                      </a:cubicBezTo>
                                      <a:cubicBezTo>
                                        <a:pt x="3089" y="897262"/>
                                        <a:pt x="-3659" y="513368"/>
                                        <a:pt x="0" y="369497"/>
                                      </a:cubicBezTo>
                                      <a:close/>
                                    </a:path>
                                  </a:pathLst>
                                </a:custGeom>
                                <ask:type>
                                  <ask:lineSketchNone/>
                                </ask:type>
                              </ask:lineSketchStyleProps>
                            </a:ext>
                          </a:extLst>
                        </a:ln>
                        <a:effectLst>
                          <a:outerShdw blurRad="50800" dist="38100" algn="l"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txbx>
                        <w:txbxContent>
                          <w:p w14:paraId="55BD3903" w14:textId="3EBF4066" w:rsidR="00625C02" w:rsidRPr="004E21CF" w:rsidRDefault="00625C02" w:rsidP="00625C02">
                            <w:pPr>
                              <w:pStyle w:val="Ramka"/>
                            </w:pPr>
                            <w:r w:rsidRPr="000835F0">
                              <w:t xml:space="preserve">Ze względu na ograniczone zasoby krajowe </w:t>
                            </w:r>
                            <w:r>
                              <w:t>ropy naftowej</w:t>
                            </w:r>
                            <w:r w:rsidRPr="000835F0">
                              <w:t xml:space="preserve">, </w:t>
                            </w:r>
                            <w:r>
                              <w:t xml:space="preserve">zdecydowana </w:t>
                            </w:r>
                            <w:r w:rsidRPr="000835F0">
                              <w:t>większość zapotrzebowania jest pokrywana surowcem z</w:t>
                            </w:r>
                            <w:r w:rsidR="00265D1D">
                              <w:t> </w:t>
                            </w:r>
                            <w:r w:rsidRPr="000835F0">
                              <w:t>importu</w:t>
                            </w:r>
                            <w:r>
                              <w:t xml:space="preserve"> </w:t>
                            </w:r>
                          </w:p>
                        </w:txbxContent>
                      </wps:txbx>
                      <wps:bodyPr rot="0" spcFirstLastPara="0" vertOverflow="overflow" horzOverflow="overflow" vert="horz" wrap="square" lIns="72000" tIns="90000" rIns="72000" bIns="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0FA41358" id="_x0000_s1104" style="position:absolute;left:0;text-align:left;margin-left:155.1pt;margin-top:5.45pt;width:206.3pt;height:154.6pt;z-index:-25155072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arcsize="777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" fillcolor="white [3212]" strokecolor="#c00000" strokeweight=".5pt">
                <v:stroke joinstyle="miter"/>
                <v:shadow on="t" color="black" opacity="26214f" origin="-.5" offset="3pt,0"/>
                <v:textbox style="mso-fit-shape-to-text:t" inset="2mm,2.5mm,2mm,0">
                  <w:txbxContent>
                    <w:p w14:paraId="55BD3903" w14:textId="3EBF4066" w:rsidR="00625C02" w:rsidRPr="004E21CF" w:rsidRDefault="00625C02" w:rsidP="00625C02">
                      <w:pPr>
                        <w:pStyle w:val="Ramka"/>
                      </w:pPr>
                      <w:r w:rsidRPr="000835F0">
                        <w:t xml:space="preserve">Ze względu na ograniczone zasoby krajowe </w:t>
                      </w:r>
                      <w:r>
                        <w:t>ropy naftowej</w:t>
                      </w:r>
                      <w:r w:rsidRPr="000835F0">
                        <w:t xml:space="preserve">, </w:t>
                      </w:r>
                      <w:r>
                        <w:t xml:space="preserve">zdecydowana </w:t>
                      </w:r>
                      <w:r w:rsidRPr="000835F0">
                        <w:t>większość zapotrzebowania jest pokrywana surowcem z</w:t>
                      </w:r>
                      <w:r w:rsidR="00265D1D">
                        <w:t> </w:t>
                      </w:r>
                      <w:r w:rsidRPr="000835F0">
                        <w:t>importu</w:t>
                      </w:r>
                      <w:r>
                        <w:t xml:space="preserve"> </w:t>
                      </w:r>
                    </w:p>
                  </w:txbxContent>
                </v:textbox>
                <w10:wrap type="square" anchorx="margin"/>
              </v:roundrect>
            </w:pict>
          </mc:Fallback>
        </mc:AlternateContent>
      </w:r>
      <w:r w:rsidR="00625C02" w:rsidRPr="00684FA0">
        <w:rPr>
          <w:szCs w:val="20"/>
        </w:rPr>
        <w:t xml:space="preserve">Ropa naftowa </w:t>
      </w:r>
      <w:r w:rsidR="00625C02" w:rsidRPr="00351154">
        <w:rPr>
          <w:szCs w:val="20"/>
        </w:rPr>
        <w:t>jest strategi</w:t>
      </w:r>
      <w:r w:rsidR="00625C02" w:rsidRPr="00684FA0">
        <w:rPr>
          <w:szCs w:val="20"/>
        </w:rPr>
        <w:t>cznie ważnym surowcem energetycznym dla gospodarki krajowej, a</w:t>
      </w:r>
      <w:r w:rsidR="00625C02">
        <w:rPr>
          <w:szCs w:val="20"/>
        </w:rPr>
        <w:t> globalny</w:t>
      </w:r>
      <w:r w:rsidR="00625C02" w:rsidRPr="00684FA0">
        <w:rPr>
          <w:szCs w:val="20"/>
        </w:rPr>
        <w:t xml:space="preserve"> popyt na ten surowiec nie ulegnie spadkowi wcześniej niż </w:t>
      </w:r>
      <w:r w:rsidR="00625C02">
        <w:rPr>
          <w:szCs w:val="20"/>
        </w:rPr>
        <w:t>w</w:t>
      </w:r>
      <w:r w:rsidR="00625C02" w:rsidRPr="00684FA0">
        <w:rPr>
          <w:szCs w:val="20"/>
        </w:rPr>
        <w:t xml:space="preserve"> 2030 r. – wówczas przewiduje się szczyt zapotrzebowania. Ropa po 2030 r. dalej będzie pełniła kluczową rolę w sektorze transportu, a jej znaczenie gospodarcze będzie wciąż wysokie, m.in. z uwagi na rosnącą rolę w sektorze petrochemicznym</w:t>
      </w:r>
      <w:r w:rsidR="00625C02">
        <w:t>.</w:t>
      </w:r>
    </w:p>
    <w:p w14:paraId="2FF6570D" w14:textId="77777777" w:rsidR="00625C02" w:rsidRPr="00684FA0" w:rsidRDefault="00625C02" w:rsidP="00625C02">
      <w:pPr>
        <w:rPr>
          <w:szCs w:val="20"/>
        </w:rPr>
      </w:pPr>
      <w:bookmarkStart w:id="177" w:name="_Hlk158282112"/>
      <w:r w:rsidRPr="00684FA0">
        <w:rPr>
          <w:szCs w:val="20"/>
        </w:rPr>
        <w:t>Agresja Federacji Rosyjskiej na Ukrain</w:t>
      </w:r>
      <w:r w:rsidRPr="002B7120">
        <w:rPr>
          <w:rFonts w:hint="eastAsia"/>
          <w:szCs w:val="20"/>
        </w:rPr>
        <w:t>ę</w:t>
      </w:r>
      <w:r w:rsidRPr="00684FA0">
        <w:rPr>
          <w:szCs w:val="20"/>
        </w:rPr>
        <w:t xml:space="preserve"> w lutym 2022 r. spowodowa</w:t>
      </w:r>
      <w:r w:rsidRPr="002B7120">
        <w:rPr>
          <w:rFonts w:hint="eastAsia"/>
          <w:szCs w:val="20"/>
        </w:rPr>
        <w:t>ł</w:t>
      </w:r>
      <w:r w:rsidRPr="00684FA0">
        <w:rPr>
          <w:szCs w:val="20"/>
        </w:rPr>
        <w:t>a konieczno</w:t>
      </w:r>
      <w:r w:rsidRPr="002B7120">
        <w:rPr>
          <w:rFonts w:hint="eastAsia"/>
          <w:szCs w:val="20"/>
        </w:rPr>
        <w:t>ść</w:t>
      </w:r>
      <w:r w:rsidRPr="00684FA0">
        <w:rPr>
          <w:szCs w:val="20"/>
        </w:rPr>
        <w:t xml:space="preserve"> okre</w:t>
      </w:r>
      <w:r w:rsidRPr="002B7120">
        <w:rPr>
          <w:rFonts w:hint="eastAsia"/>
          <w:szCs w:val="20"/>
        </w:rPr>
        <w:t>ś</w:t>
      </w:r>
      <w:r w:rsidRPr="00684FA0">
        <w:rPr>
          <w:szCs w:val="20"/>
        </w:rPr>
        <w:t>lenia na nowo strategicznych priorytet</w:t>
      </w:r>
      <w:r w:rsidRPr="002B7120">
        <w:rPr>
          <w:rFonts w:hint="eastAsia"/>
          <w:szCs w:val="20"/>
        </w:rPr>
        <w:t>ó</w:t>
      </w:r>
      <w:r w:rsidRPr="00684FA0">
        <w:rPr>
          <w:szCs w:val="20"/>
        </w:rPr>
        <w:t>w dotycz</w:t>
      </w:r>
      <w:r w:rsidRPr="002B7120">
        <w:rPr>
          <w:rFonts w:hint="eastAsia"/>
          <w:szCs w:val="20"/>
        </w:rPr>
        <w:t>ą</w:t>
      </w:r>
      <w:r w:rsidRPr="00684FA0">
        <w:rPr>
          <w:szCs w:val="20"/>
        </w:rPr>
        <w:t>cych sektora energetyki zwi</w:t>
      </w:r>
      <w:r w:rsidRPr="002B7120">
        <w:rPr>
          <w:rFonts w:hint="eastAsia"/>
          <w:szCs w:val="20"/>
        </w:rPr>
        <w:t>ą</w:t>
      </w:r>
      <w:r w:rsidRPr="00684FA0">
        <w:rPr>
          <w:szCs w:val="20"/>
        </w:rPr>
        <w:t>zanej z rop</w:t>
      </w:r>
      <w:r w:rsidRPr="002B7120">
        <w:rPr>
          <w:rFonts w:hint="eastAsia"/>
          <w:szCs w:val="20"/>
        </w:rPr>
        <w:t>ą</w:t>
      </w:r>
      <w:r w:rsidRPr="00684FA0">
        <w:rPr>
          <w:szCs w:val="20"/>
        </w:rPr>
        <w:t xml:space="preserve"> naftow</w:t>
      </w:r>
      <w:r w:rsidRPr="002B7120">
        <w:rPr>
          <w:rFonts w:hint="eastAsia"/>
          <w:szCs w:val="20"/>
        </w:rPr>
        <w:t>ą</w:t>
      </w:r>
      <w:r w:rsidRPr="00684FA0">
        <w:rPr>
          <w:szCs w:val="20"/>
        </w:rPr>
        <w:t xml:space="preserve"> i paliwami ropopochodnymi. </w:t>
      </w:r>
      <w:r>
        <w:rPr>
          <w:szCs w:val="20"/>
        </w:rPr>
        <w:t>E</w:t>
      </w:r>
      <w:r w:rsidRPr="00684FA0">
        <w:rPr>
          <w:szCs w:val="20"/>
        </w:rPr>
        <w:t>mbargo na rosyjsk</w:t>
      </w:r>
      <w:r w:rsidRPr="002B7120">
        <w:rPr>
          <w:rFonts w:hint="eastAsia"/>
          <w:szCs w:val="20"/>
        </w:rPr>
        <w:t>ą</w:t>
      </w:r>
      <w:r w:rsidRPr="00684FA0">
        <w:rPr>
          <w:szCs w:val="20"/>
        </w:rPr>
        <w:t xml:space="preserve"> rop</w:t>
      </w:r>
      <w:r w:rsidRPr="002B7120">
        <w:rPr>
          <w:rFonts w:hint="eastAsia"/>
          <w:szCs w:val="20"/>
        </w:rPr>
        <w:t>ę</w:t>
      </w:r>
      <w:r w:rsidRPr="00684FA0">
        <w:rPr>
          <w:szCs w:val="20"/>
        </w:rPr>
        <w:t xml:space="preserve"> i paliwa ciekłe oraz w konsekwencji zaprzestanie importu ropy naftowej oraz paliw z Rosji doprowadzi</w:t>
      </w:r>
      <w:r w:rsidRPr="002B7120">
        <w:rPr>
          <w:rFonts w:hint="eastAsia"/>
          <w:szCs w:val="20"/>
        </w:rPr>
        <w:t>ł</w:t>
      </w:r>
      <w:r w:rsidRPr="00684FA0">
        <w:rPr>
          <w:szCs w:val="20"/>
        </w:rPr>
        <w:t>o do g</w:t>
      </w:r>
      <w:r w:rsidRPr="002B7120">
        <w:rPr>
          <w:rFonts w:hint="eastAsia"/>
          <w:szCs w:val="20"/>
        </w:rPr>
        <w:t>łę</w:t>
      </w:r>
      <w:r w:rsidRPr="00684FA0">
        <w:rPr>
          <w:szCs w:val="20"/>
        </w:rPr>
        <w:t>bokich zmian w systemie bezpiecze</w:t>
      </w:r>
      <w:r w:rsidRPr="002B7120">
        <w:rPr>
          <w:rFonts w:hint="eastAsia"/>
          <w:szCs w:val="20"/>
        </w:rPr>
        <w:t>ń</w:t>
      </w:r>
      <w:r w:rsidRPr="00684FA0">
        <w:rPr>
          <w:szCs w:val="20"/>
        </w:rPr>
        <w:t>stwa energetycznego pa</w:t>
      </w:r>
      <w:r w:rsidRPr="002B7120">
        <w:rPr>
          <w:rFonts w:hint="eastAsia"/>
          <w:szCs w:val="20"/>
        </w:rPr>
        <w:t>ń</w:t>
      </w:r>
      <w:r w:rsidRPr="00684FA0">
        <w:rPr>
          <w:szCs w:val="20"/>
        </w:rPr>
        <w:t xml:space="preserve">stw UE w zakresie dostaw surowców energetycznych. </w:t>
      </w:r>
    </w:p>
    <w:bookmarkEnd w:id="177"/>
    <w:p w14:paraId="187665EA" w14:textId="322DDDA3" w:rsidR="00625C02" w:rsidRPr="000D4915" w:rsidRDefault="00625C02" w:rsidP="00625C02">
      <w:r w:rsidRPr="002B7120">
        <w:rPr>
          <w:szCs w:val="20"/>
        </w:rPr>
        <w:t>W tej części określono cele dotyczące dywersyfikacji dostaw ropy naftowej i paliw ciekłych spoza kraju, a także zapewniania odpowiednio rozwiniętej i sprawnej infrastruktury krajowej, która umożliwia odbiorcom dostęp do ropy i paliw ciekłych.</w:t>
      </w:r>
    </w:p>
    <w:p w14:paraId="1837842A" w14:textId="3FDC069A" w:rsidR="00D1050C" w:rsidRPr="001D79FD" w:rsidRDefault="001D79FD" w:rsidP="001D79FD">
      <w:pPr>
        <w:pStyle w:val="Nagwek4"/>
        <w:rPr>
          <w:color w:val="C00000"/>
        </w:rPr>
      </w:pPr>
      <w:bookmarkStart w:id="178" w:name="_Toc159598322"/>
      <w:bookmarkStart w:id="179" w:name="_Toc179536974"/>
      <w:r>
        <w:rPr>
          <w:color w:val="C00000"/>
        </w:rPr>
        <w:t xml:space="preserve">Dywersyfikacja dostaw </w:t>
      </w:r>
      <w:r w:rsidR="00550223">
        <w:rPr>
          <w:color w:val="C00000"/>
        </w:rPr>
        <w:t xml:space="preserve">(importu) </w:t>
      </w:r>
      <w:r>
        <w:rPr>
          <w:color w:val="C00000"/>
        </w:rPr>
        <w:t>ropy naftowej</w:t>
      </w:r>
      <w:bookmarkEnd w:id="178"/>
      <w:bookmarkEnd w:id="179"/>
    </w:p>
    <w:p w14:paraId="2E08CDC8" w14:textId="7A970C61" w:rsidR="00E45F2E" w:rsidRDefault="00E45F2E" w:rsidP="00E45F2E">
      <w:r>
        <w:t>W wyniku zmian w strukturze dostaw surowców energetycznych, d</w:t>
      </w:r>
      <w:r w:rsidRPr="0029648F">
        <w:t>roga importu ropy wykorzystująca do</w:t>
      </w:r>
      <w:r>
        <w:t> </w:t>
      </w:r>
      <w:r w:rsidRPr="0029648F">
        <w:t>2022 r. rurociąg „Przyjaźń”</w:t>
      </w:r>
      <w:r>
        <w:t xml:space="preserve"> </w:t>
      </w:r>
      <w:r w:rsidRPr="0029648F">
        <w:t>została zastąpiona dostawami morskimi poprzez Naftoport w Gdańsku, co</w:t>
      </w:r>
      <w:r>
        <w:t> </w:t>
      </w:r>
      <w:r w:rsidRPr="0029648F">
        <w:t xml:space="preserve">spowodowało zwiększenie poziomu wykorzystania infrastruktury Naftoportu oraz rurociągu </w:t>
      </w:r>
      <w:r>
        <w:t>P</w:t>
      </w:r>
      <w:r w:rsidRPr="0029648F">
        <w:t xml:space="preserve">omorskiego do maksymalnych technicznych możliwości. </w:t>
      </w:r>
      <w:r>
        <w:t>Zmiana punktu ciężkości systemu dostaw ropy naftowej z dostaw ze wschodu na dostawy morskie sprawiła, że rurociąg „Przyjaźń” zaczął pełnić marginalną rolę w systemie bezpieczeństwa paliwowego Polski.</w:t>
      </w:r>
    </w:p>
    <w:p w14:paraId="22CB323F" w14:textId="0D2D7718" w:rsidR="00E45F2E" w:rsidRPr="0029648F" w:rsidRDefault="00E45F2E" w:rsidP="00E45F2E">
      <w:r>
        <w:t>Również zmiany w strukturze bezpieczeństwa energetycznego w Niemczech spowodowały znaczący wzrost roli Naftoportu oraz polskiej infrastruktury przesyłowej. W 2023 r. dostawy ropy z Naftoportu do dwóch wschodnioniemieckich niemieckich rafinerii w Schwedt i Leunie stanowiły 75% ich zapotrzebowania. Należy podkreślić, że nawet r</w:t>
      </w:r>
      <w:r w:rsidRPr="00427A04">
        <w:t>ozbudowa zdolno</w:t>
      </w:r>
      <w:r w:rsidRPr="00427A04">
        <w:rPr>
          <w:rFonts w:hint="eastAsia"/>
        </w:rPr>
        <w:t>ś</w:t>
      </w:r>
      <w:r w:rsidRPr="00427A04">
        <w:t>ci odbiorcz</w:t>
      </w:r>
      <w:r>
        <w:t>ych</w:t>
      </w:r>
      <w:r w:rsidRPr="00427A04">
        <w:t xml:space="preserve"> portu w Rostocku oraz ruroci</w:t>
      </w:r>
      <w:r w:rsidRPr="00427A04">
        <w:rPr>
          <w:rFonts w:hint="eastAsia"/>
        </w:rPr>
        <w:t>ą</w:t>
      </w:r>
      <w:r w:rsidRPr="00427A04">
        <w:t>gu</w:t>
      </w:r>
      <w:r>
        <w:t xml:space="preserve"> </w:t>
      </w:r>
      <w:r w:rsidRPr="00427A04">
        <w:t xml:space="preserve">Rostock-Schwedt </w:t>
      </w:r>
      <w:r>
        <w:t xml:space="preserve">nie spowoduje, że </w:t>
      </w:r>
      <w:r w:rsidRPr="00427A04">
        <w:t xml:space="preserve">znaczenie </w:t>
      </w:r>
      <w:r>
        <w:t>tranzytu ropy przez Polskę</w:t>
      </w:r>
      <w:r w:rsidRPr="00427A04">
        <w:t xml:space="preserve"> </w:t>
      </w:r>
      <w:r>
        <w:t xml:space="preserve">zmniejszy się, ale wciąż będzie kluczowe i będzie stanowiło </w:t>
      </w:r>
      <w:r w:rsidRPr="00427A04">
        <w:t>oko</w:t>
      </w:r>
      <w:r w:rsidRPr="00427A04">
        <w:rPr>
          <w:rFonts w:hint="eastAsia"/>
        </w:rPr>
        <w:t>ł</w:t>
      </w:r>
      <w:r w:rsidRPr="00427A04">
        <w:t>o 50% potrzeb importowych rafinerii Leuna i Schwedt.</w:t>
      </w:r>
    </w:p>
    <w:p w14:paraId="68536464" w14:textId="5D0668A6" w:rsidR="00E45F2E" w:rsidRPr="0029648F" w:rsidRDefault="00E45F2E" w:rsidP="00E45F2E">
      <w:r w:rsidRPr="0029648F">
        <w:t>Powyższ</w:t>
      </w:r>
      <w:r>
        <w:t>a infrastruktura ma więc kluczowe znaczenie zarówno dla Polski, jak i Europy Środkowej, co </w:t>
      </w:r>
      <w:r w:rsidRPr="0029648F">
        <w:t xml:space="preserve">powoduje konieczność zapewnienia </w:t>
      </w:r>
      <w:r>
        <w:t xml:space="preserve">jej </w:t>
      </w:r>
      <w:r w:rsidRPr="0029648F">
        <w:t>nieprzerwanego działania, w tym zapewnienie możliwości prowadzenia robót naprawczych i modernizacyjnych na pracującej infrastrukturze.</w:t>
      </w:r>
    </w:p>
    <w:p w14:paraId="623F316F" w14:textId="77777777" w:rsidR="00E45F2E" w:rsidRPr="0029648F" w:rsidRDefault="00E45F2E" w:rsidP="00E45F2E">
      <w:pPr>
        <w:rPr>
          <w:color w:val="FF0000"/>
        </w:rPr>
      </w:pPr>
      <w:r w:rsidRPr="0029648F">
        <w:t xml:space="preserve">Niniejsza sytuacja wymaga </w:t>
      </w:r>
      <w:r w:rsidRPr="00E45F2E">
        <w:rPr>
          <w:b/>
          <w:bCs/>
        </w:rPr>
        <w:t xml:space="preserve">rozbudowy infrastruktury wewnętrznej ukierunkowanej na zapewnienie możliwości zwiększenia importu ropy naftowej drogą morską. </w:t>
      </w:r>
      <w:r w:rsidRPr="0029648F">
        <w:t>Celem nadrzędnym pozostaje zapewnienie nieprzerwanych dostaw ropy naftowej do rafinerii w Polsce i za granicą</w:t>
      </w:r>
      <w:r>
        <w:t>,</w:t>
      </w:r>
      <w:r w:rsidRPr="0029648F">
        <w:t xml:space="preserve"> także w sytuacjach kryzysowych.</w:t>
      </w:r>
    </w:p>
    <w:p w14:paraId="4CF9537E" w14:textId="4A166418" w:rsidR="00F3711B" w:rsidRPr="00E45F2E" w:rsidRDefault="00F3711B" w:rsidP="00E45F2E">
      <w:pPr>
        <w:pStyle w:val="Cele"/>
        <w:rPr>
          <w:b/>
          <w:shd w:val="clear" w:color="auto" w:fill="F2F2F2" w:themeFill="background1" w:themeFillShade="F2"/>
        </w:rPr>
      </w:pPr>
      <w:r w:rsidRPr="00B377B2">
        <w:rPr>
          <w:rStyle w:val="CeleZnak"/>
          <w:b/>
        </w:rPr>
        <w:t xml:space="preserve">Polska wyznacza na 2030 r. cel </w:t>
      </w:r>
      <w:r w:rsidR="00D121F4" w:rsidRPr="00265D1D">
        <w:rPr>
          <w:rStyle w:val="CeleZnak"/>
          <w:b/>
        </w:rPr>
        <w:t xml:space="preserve">dalszego </w:t>
      </w:r>
      <w:r w:rsidR="00265D1D" w:rsidRPr="00265D1D">
        <w:rPr>
          <w:rStyle w:val="CeleZnak"/>
          <w:b/>
        </w:rPr>
        <w:t>zapewnienia stabilności dostaw ropy naftowej drogą morską do rafinerii krajowych i zagranicznych przy jednoczesnej rozbudowie infrastruktury przesyłowej i przeładunkowej.</w:t>
      </w:r>
    </w:p>
    <w:p w14:paraId="4859A824" w14:textId="77777777" w:rsidR="00E45F2E" w:rsidRDefault="00E45F2E" w:rsidP="00F3711B">
      <w:pPr>
        <w:spacing w:before="240" w:after="80"/>
        <w:rPr>
          <w:rFonts w:ascii="Bahnschrift" w:hAnsi="Bahnschrift"/>
          <w:b/>
          <w:bCs/>
          <w:sz w:val="32"/>
          <w:szCs w:val="32"/>
        </w:rPr>
      </w:pPr>
      <w:r w:rsidRPr="00E45F2E">
        <w:rPr>
          <w:rFonts w:ascii="Bahnschrift" w:hAnsi="Bahnschrift"/>
          <w:b/>
          <w:bCs/>
          <w:sz w:val="32"/>
          <w:szCs w:val="32"/>
        </w:rPr>
        <w:t>POLITYKA</w:t>
      </w:r>
    </w:p>
    <w:p w14:paraId="21B17BD5" w14:textId="77777777" w:rsidR="00E45F2E" w:rsidRPr="002B7120" w:rsidRDefault="00E45F2E" w:rsidP="00E45F2E">
      <w:r w:rsidRPr="00684FA0">
        <w:t>Zwi</w:t>
      </w:r>
      <w:r w:rsidRPr="002B7120">
        <w:rPr>
          <w:rFonts w:hint="eastAsia"/>
        </w:rPr>
        <w:t>ą</w:t>
      </w:r>
      <w:r w:rsidRPr="00684FA0">
        <w:t>zana z wybuchem wojny w Ukrainie zmiana oraz dywersyfikacja kierunk</w:t>
      </w:r>
      <w:r w:rsidRPr="002B7120">
        <w:rPr>
          <w:rFonts w:hint="eastAsia"/>
        </w:rPr>
        <w:t>ó</w:t>
      </w:r>
      <w:r w:rsidRPr="00684FA0">
        <w:t>w importu ropy przez Polsk</w:t>
      </w:r>
      <w:r w:rsidRPr="002B7120">
        <w:rPr>
          <w:rFonts w:hint="eastAsia"/>
        </w:rPr>
        <w:t>ę</w:t>
      </w:r>
      <w:r w:rsidRPr="00684FA0">
        <w:t>, w tym zwi</w:t>
      </w:r>
      <w:r w:rsidRPr="002B7120">
        <w:rPr>
          <w:rFonts w:hint="eastAsia"/>
        </w:rPr>
        <w:t>ę</w:t>
      </w:r>
      <w:r w:rsidRPr="00684FA0">
        <w:t>kszone dostawy tankowcami jej r</w:t>
      </w:r>
      <w:r w:rsidRPr="002B7120">
        <w:rPr>
          <w:rFonts w:hint="eastAsia"/>
        </w:rPr>
        <w:t>óż</w:t>
      </w:r>
      <w:r w:rsidRPr="00684FA0">
        <w:t>nych gatunk</w:t>
      </w:r>
      <w:r w:rsidRPr="002B7120">
        <w:rPr>
          <w:rFonts w:hint="eastAsia"/>
        </w:rPr>
        <w:t>ó</w:t>
      </w:r>
      <w:r w:rsidRPr="00684FA0">
        <w:t>w, wymuszaj</w:t>
      </w:r>
      <w:r w:rsidRPr="002B7120">
        <w:rPr>
          <w:rFonts w:hint="eastAsia"/>
        </w:rPr>
        <w:t>ą</w:t>
      </w:r>
      <w:r w:rsidRPr="00684FA0">
        <w:t xml:space="preserve"> postawienie na czele inwestycyjnych priorytet</w:t>
      </w:r>
      <w:r w:rsidRPr="002B7120">
        <w:rPr>
          <w:rFonts w:hint="eastAsia"/>
        </w:rPr>
        <w:t>ó</w:t>
      </w:r>
      <w:r w:rsidRPr="00684FA0">
        <w:t>w rozbudowę infrastruktury odbiorczej oraz przesy</w:t>
      </w:r>
      <w:r w:rsidRPr="002B7120">
        <w:rPr>
          <w:rFonts w:hint="eastAsia"/>
        </w:rPr>
        <w:t>ł</w:t>
      </w:r>
      <w:r w:rsidRPr="00684FA0">
        <w:t>owej, w tym Ropoci</w:t>
      </w:r>
      <w:r w:rsidRPr="002B7120">
        <w:rPr>
          <w:rFonts w:hint="eastAsia"/>
        </w:rPr>
        <w:t>ą</w:t>
      </w:r>
      <w:r w:rsidRPr="00684FA0">
        <w:t xml:space="preserve">gu Pomorskiego oraz Naftoportu. </w:t>
      </w:r>
    </w:p>
    <w:p w14:paraId="30E86037" w14:textId="77777777" w:rsidR="00E45F2E" w:rsidRPr="002B7120" w:rsidRDefault="00E45F2E" w:rsidP="00E45F2E">
      <w:r w:rsidRPr="002B7120">
        <w:t xml:space="preserve">Polski rynek paliwowy jest zliberalizowany, dlatego dla zapewnienia odpowiednich podstaw dla decyzji inwestorskich niezwykle istotne jest zapewnienie właściwego prognozowania potrzeb sektora rafineryjnego. W tym celu Rządowa Agencja Rezerw Strategicznych od 2019 r. opracowuje </w:t>
      </w:r>
      <w:r w:rsidRPr="002B7120">
        <w:rPr>
          <w:bCs/>
        </w:rPr>
        <w:t>prognozy krajowego zapotrzebowania na pojemności magazynowe</w:t>
      </w:r>
      <w:r w:rsidRPr="002B7120">
        <w:rPr>
          <w:b/>
        </w:rPr>
        <w:t xml:space="preserve"> </w:t>
      </w:r>
      <w:r w:rsidRPr="002B7120">
        <w:t>dla zapasów interwencyjnych i handlowych paliw i ropy naftowej na okres 10 lat, które są aktualizowane cyklicznie co 2 lata.</w:t>
      </w:r>
    </w:p>
    <w:p w14:paraId="5DBFF38C" w14:textId="226CF20E" w:rsidR="00E45F2E" w:rsidRPr="002B7120" w:rsidRDefault="00E45F2E" w:rsidP="00E45F2E">
      <w:r w:rsidRPr="002B7120">
        <w:t>Zestawienie prognozowanej wielkości zapasów oraz pojemności magazynowych wskazuje, że w kolejnych latach istnieje nadwyżka wolnych pojemności nad potrzebami magazynowymi w zakresie zapasów interwencyjnych i operacyjnych. Na koniec 2023 r. nadwyżka ta wynosiła 4%. Biorąc pod uwagę aktualne pojemności magazynowe na ropę naftową i prognozę zapotrzebowania na surowiec do 2030 r. nie</w:t>
      </w:r>
      <w:r>
        <w:t> </w:t>
      </w:r>
      <w:r w:rsidRPr="002B7120">
        <w:t>przewiduje się budowy nowych zbiorników.</w:t>
      </w:r>
    </w:p>
    <w:p w14:paraId="1D8496FE" w14:textId="0B1ABBB3" w:rsidR="00E45F2E" w:rsidRPr="00684FA0" w:rsidRDefault="00E45F2E" w:rsidP="00E45F2E">
      <w:r w:rsidRPr="00684FA0">
        <w:t xml:space="preserve">Cel </w:t>
      </w:r>
      <w:r>
        <w:t xml:space="preserve">dotyczący zapewnienia nieprzerwanych dostaw ropy naftowej </w:t>
      </w:r>
      <w:r w:rsidRPr="00684FA0">
        <w:t>będzie realizowany przez:</w:t>
      </w:r>
    </w:p>
    <w:p w14:paraId="02A14726" w14:textId="77777777" w:rsidR="00E45F2E" w:rsidRPr="00684FA0" w:rsidRDefault="00E45F2E" w:rsidP="00612B5D">
      <w:pPr>
        <w:pStyle w:val="Akapitzlist"/>
        <w:numPr>
          <w:ilvl w:val="0"/>
          <w:numId w:val="36"/>
        </w:numPr>
      </w:pPr>
      <w:r w:rsidRPr="00684FA0">
        <w:t>zapewnienie funkcjonowania oraz rozwój zdolności przeładunkowych Naftoportu w Gdańsku;</w:t>
      </w:r>
    </w:p>
    <w:p w14:paraId="00332B1D" w14:textId="22CBF0A1" w:rsidR="00E45F2E" w:rsidRPr="00684FA0" w:rsidRDefault="00E45F2E" w:rsidP="00612B5D">
      <w:pPr>
        <w:pStyle w:val="Akapitzlist"/>
        <w:numPr>
          <w:ilvl w:val="0"/>
          <w:numId w:val="36"/>
        </w:numPr>
      </w:pPr>
      <w:r w:rsidRPr="00684FA0">
        <w:t>zapewnienie odpowiednio rozwiniętej i sprawnej infrastruktury przesyłowej wewnątrz kraju, w</w:t>
      </w:r>
      <w:r>
        <w:t> </w:t>
      </w:r>
      <w:r w:rsidRPr="00684FA0">
        <w:t>tym jej rozbudowę poprzez budowę II nitki rurociągu Pomorskiego;</w:t>
      </w:r>
    </w:p>
    <w:p w14:paraId="4609B4C1" w14:textId="77777777" w:rsidR="00E45F2E" w:rsidRDefault="00E45F2E" w:rsidP="00612B5D">
      <w:pPr>
        <w:pStyle w:val="Akapitzlist"/>
        <w:numPr>
          <w:ilvl w:val="0"/>
          <w:numId w:val="36"/>
        </w:numPr>
      </w:pPr>
      <w:r w:rsidRPr="00684FA0">
        <w:t>cykliczną analizę potrzeb rynku w zakresie pojemności magazynowych dla ropy i paliw</w:t>
      </w:r>
      <w:r>
        <w:t>;</w:t>
      </w:r>
    </w:p>
    <w:p w14:paraId="7D6829F1" w14:textId="77777777" w:rsidR="00E45F2E" w:rsidRPr="00684FA0" w:rsidRDefault="00E45F2E" w:rsidP="00612B5D">
      <w:pPr>
        <w:pStyle w:val="Akapitzlist"/>
        <w:numPr>
          <w:ilvl w:val="0"/>
          <w:numId w:val="36"/>
        </w:numPr>
      </w:pPr>
      <w:r>
        <w:t>poprawę warunków technicznych wykorzystania podziemnych magazynów ropy naftowej i paliw</w:t>
      </w:r>
      <w:r w:rsidRPr="00684FA0">
        <w:t>.</w:t>
      </w:r>
    </w:p>
    <w:p w14:paraId="1404ECBB" w14:textId="225C41EB" w:rsidR="00F3711B" w:rsidRPr="00C46DAA" w:rsidRDefault="00F3711B" w:rsidP="00F3711B">
      <w:pPr>
        <w:spacing w:before="240" w:after="80"/>
        <w:rPr>
          <w:rFonts w:ascii="Bahnschrift" w:hAnsi="Bahnschrift"/>
          <w:sz w:val="32"/>
          <w:szCs w:val="32"/>
        </w:rPr>
      </w:pPr>
      <w:r w:rsidRPr="00C46DAA">
        <w:rPr>
          <w:rFonts w:ascii="Bahnschrift" w:hAnsi="Bahnschrift"/>
          <w:b/>
          <w:bCs/>
          <w:sz w:val="32"/>
          <w:szCs w:val="32"/>
        </w:rPr>
        <w:t>DZIAŁANIA</w:t>
      </w:r>
    </w:p>
    <w:p w14:paraId="7866E126" w14:textId="20738C72" w:rsidR="00AF08F2" w:rsidRDefault="002178AC" w:rsidP="008340D5">
      <w:pPr>
        <w:pStyle w:val="Akapitzlist"/>
        <w:numPr>
          <w:ilvl w:val="0"/>
          <w:numId w:val="6"/>
        </w:numPr>
      </w:pPr>
      <w:r>
        <w:fldChar w:fldCharType="begin"/>
      </w:r>
      <w:r>
        <w:instrText xml:space="preserve"> REF _Ref160030451 \h </w:instrText>
      </w:r>
      <w:r>
        <w:fldChar w:fldCharType="separate"/>
      </w:r>
      <w:r w:rsidR="00DD3929" w:rsidRPr="00CB16D4">
        <w:t xml:space="preserve">Działanie </w:t>
      </w:r>
      <w:r w:rsidR="00DD3929">
        <w:rPr>
          <w:noProof/>
        </w:rPr>
        <w:t>116</w:t>
      </w:r>
      <w:r w:rsidR="00DD3929" w:rsidRPr="00CB16D4">
        <w:t>.</w:t>
      </w:r>
      <w:r w:rsidR="00DD3929">
        <w:t xml:space="preserve"> </w:t>
      </w:r>
      <w:r w:rsidR="00DD3929" w:rsidRPr="00CB16D4">
        <w:t>Monitorowanie potrzeb magazynowych w zakresie ropy naftowej i paliw ciekłych.</w:t>
      </w:r>
      <w:r>
        <w:fldChar w:fldCharType="end"/>
      </w:r>
    </w:p>
    <w:p w14:paraId="3F6D3F37" w14:textId="5915F2F2" w:rsidR="002178AC" w:rsidRDefault="002178AC" w:rsidP="008340D5">
      <w:pPr>
        <w:pStyle w:val="Akapitzlist"/>
        <w:numPr>
          <w:ilvl w:val="0"/>
          <w:numId w:val="6"/>
        </w:numPr>
      </w:pPr>
      <w:r>
        <w:fldChar w:fldCharType="begin"/>
      </w:r>
      <w:r>
        <w:instrText xml:space="preserve"> REF _Ref160030461 \h </w:instrText>
      </w:r>
      <w:r>
        <w:fldChar w:fldCharType="separate"/>
      </w:r>
      <w:r w:rsidR="00DD3929" w:rsidRPr="008057CE">
        <w:t xml:space="preserve">Działanie </w:t>
      </w:r>
      <w:r w:rsidR="00DD3929">
        <w:rPr>
          <w:noProof/>
        </w:rPr>
        <w:t>117</w:t>
      </w:r>
      <w:r w:rsidR="00DD3929" w:rsidRPr="008057CE">
        <w:t>.</w:t>
      </w:r>
      <w:r w:rsidR="00DD3929">
        <w:t xml:space="preserve"> </w:t>
      </w:r>
      <w:r w:rsidR="00DD3929" w:rsidRPr="008057CE">
        <w:t>Wsparcie inwestycji mających na celu dywersyfikację oraz zwiększenie dostaw ropy naftowej, w tym m.in. zwiększenie możliwości przeładunkowych Naftoportu, budowę II nitki rurociągu „Pomorskiego”.</w:t>
      </w:r>
      <w:r>
        <w:fldChar w:fldCharType="end"/>
      </w:r>
    </w:p>
    <w:p w14:paraId="4780BB7A" w14:textId="73C9189F" w:rsidR="00FD411D" w:rsidRDefault="00917318" w:rsidP="00FD411D">
      <w:pPr>
        <w:pStyle w:val="Nagwek3"/>
        <w:rPr>
          <w:color w:val="C00000"/>
        </w:rPr>
      </w:pPr>
      <w:bookmarkStart w:id="180" w:name="_Toc159598324"/>
      <w:bookmarkStart w:id="181" w:name="_Toc179536975"/>
      <w:r w:rsidRPr="00FD411D">
        <w:rPr>
          <w:color w:val="C00000"/>
        </w:rPr>
        <w:t>P</w:t>
      </w:r>
      <w:r>
        <w:rPr>
          <w:color w:val="C00000"/>
        </w:rPr>
        <w:t>erspektywiczne p</w:t>
      </w:r>
      <w:r w:rsidR="00FD411D" w:rsidRPr="00FD411D">
        <w:rPr>
          <w:color w:val="C00000"/>
        </w:rPr>
        <w:t>okrycie zapotrzebowania na paliwo jądrowe</w:t>
      </w:r>
      <w:bookmarkEnd w:id="180"/>
      <w:bookmarkEnd w:id="181"/>
    </w:p>
    <w:p w14:paraId="1DFA919C" w14:textId="5F054C4B" w:rsidR="00992251" w:rsidRPr="00917318" w:rsidRDefault="00BD6117" w:rsidP="00992251">
      <w:r>
        <w:t xml:space="preserve">W polskim systemie energetycznym nie występują elektrownie jądrowe, ale po uruchomieniu </w:t>
      </w:r>
      <w:r w:rsidRPr="00B62763">
        <w:rPr>
          <w:b/>
          <w:bCs/>
        </w:rPr>
        <w:t>pierwszej wielkoskalowej elektrowni jądrowej</w:t>
      </w:r>
      <w:r>
        <w:t xml:space="preserve"> realizowanej w ramach Programu Polskiej Energetyki Jądrowej (PPEJ) na Pomorzu oraz pierwszego bloku drugiej siłowni planowanej w ramach programu, wraz z  inwestycją realizowaną w partnerstwie prywatnym, łączna moc zainstalowana wielkoskalowych jednostek jądrowych może wynieść w 2040 r. ok. 6,2 GW (netto), a po 2040 r. ok. 10 GW (dwa kolejne bloki drugiej elektrowni jądrowej w ramach PPEJ). </w:t>
      </w:r>
      <w:r w:rsidR="00D75B7C">
        <w:t xml:space="preserve">Ponadto kilka </w:t>
      </w:r>
      <w:r w:rsidR="00917318">
        <w:t>przedsiębiorstw deklaruj</w:t>
      </w:r>
      <w:r w:rsidR="00D75B7C">
        <w:t xml:space="preserve">e także chęć budowy małych reaktorów jądrowych (SMR, ang. </w:t>
      </w:r>
      <w:r w:rsidR="00D75B7C" w:rsidRPr="00D75B7C">
        <w:rPr>
          <w:i/>
          <w:iCs/>
        </w:rPr>
        <w:t>small modular reactor</w:t>
      </w:r>
      <w:r w:rsidR="00D74F64">
        <w:rPr>
          <w:i/>
          <w:iCs/>
        </w:rPr>
        <w:t>s</w:t>
      </w:r>
      <w:r w:rsidR="00D75B7C">
        <w:t xml:space="preserve">). Z tego względu </w:t>
      </w:r>
      <w:r w:rsidR="00992251">
        <w:t>w tej części określone zostało podejście do zapewniania bezpiecznych dostaw paliwa jądrowego, ale także odniesienie do krajowych zasobów złóż uranu</w:t>
      </w:r>
      <w:r>
        <w:t>.</w:t>
      </w:r>
    </w:p>
    <w:p w14:paraId="151D207B" w14:textId="580ABACB" w:rsidR="00917318" w:rsidRDefault="00D75B7C" w:rsidP="00917318">
      <w:r>
        <w:t>Zasady funkcjonowania energetyki jądrowej są ściśle wystandaryzowane na arenie międzynarodowej, dlatego ich przestrzeganie jest kluczowym założeniem w obszarze bezpieczeństwa jądrowego.</w:t>
      </w:r>
    </w:p>
    <w:p w14:paraId="2A53F762" w14:textId="2C1FE4B2" w:rsidR="00FD411D" w:rsidRDefault="00DC1AB1" w:rsidP="00FD411D">
      <w:pPr>
        <w:pStyle w:val="Nagwek4"/>
        <w:rPr>
          <w:color w:val="C00000"/>
        </w:rPr>
      </w:pPr>
      <w:bookmarkStart w:id="182" w:name="_Toc159598325"/>
      <w:bookmarkStart w:id="183" w:name="_Toc179536976"/>
      <w:r>
        <w:rPr>
          <w:color w:val="C00000"/>
        </w:rPr>
        <w:t xml:space="preserve">Zapewnienie </w:t>
      </w:r>
      <w:r w:rsidR="00917318">
        <w:rPr>
          <w:color w:val="C00000"/>
        </w:rPr>
        <w:t xml:space="preserve">bezpiecznych </w:t>
      </w:r>
      <w:r>
        <w:rPr>
          <w:color w:val="C00000"/>
        </w:rPr>
        <w:t>dostaw (importu) paliwa jądrowego</w:t>
      </w:r>
      <w:bookmarkEnd w:id="182"/>
      <w:bookmarkEnd w:id="183"/>
    </w:p>
    <w:p w14:paraId="4EF5DFD6" w14:textId="43FEB186" w:rsidR="00583DF8" w:rsidRDefault="00583DF8" w:rsidP="0002312E">
      <w:r w:rsidRPr="00583DF8">
        <w:t>Bezpieczeństwo dostaw paliwa jądrowego zależy od pewności dostaw koncentratu uranowego, dostępu do usług cyklu paliwowego, a także pewności i niezawodności transportu materiałów jądrowych na</w:t>
      </w:r>
      <w:r w:rsidR="009D42AC">
        <w:t> </w:t>
      </w:r>
      <w:r w:rsidRPr="00583DF8">
        <w:t>różnych etapach cyklu paliwowego oraz transportu gotowego paliwa jądrowego. Zasady dotyczące dostaw uranu i usług jądrowego cyklu paliwowego w ramach UE reguluje Traktat EURATOM</w:t>
      </w:r>
      <w:r>
        <w:t>.</w:t>
      </w:r>
    </w:p>
    <w:p w14:paraId="0BDAC7C9" w14:textId="7B033F78" w:rsidR="0002312E" w:rsidRDefault="0002312E" w:rsidP="0002312E">
      <w:r w:rsidRPr="0002312E">
        <w:t xml:space="preserve">Złoża rudy uranowej są rozmieszczone w różnych częściach świata, głównie w krajach stabilnych politycznie. Zasadność ekonomiczna eksploatacji złóż uranu zależy głównie od jego ceny rynkowej. Obecnie w związku ze wzrastającym popytem obserwowany jest wzrost cen uranu, co będzie zachęcać firmy wydobywcze do zagospodarowywania nowych złóż. Zgodnie </w:t>
      </w:r>
      <w:r>
        <w:t>z</w:t>
      </w:r>
      <w:r w:rsidRPr="0002312E">
        <w:t xml:space="preserve"> ustaleniami</w:t>
      </w:r>
      <w:r>
        <w:t xml:space="preserve"> przyjętymi w </w:t>
      </w:r>
      <w:r>
        <w:rPr>
          <w:i/>
          <w:iCs/>
        </w:rPr>
        <w:t xml:space="preserve">Programie polskiej energetyki jądrowej </w:t>
      </w:r>
      <w:r>
        <w:t>(</w:t>
      </w:r>
      <w:hyperlink r:id="rId77" w:history="1">
        <w:r w:rsidRPr="0002312E">
          <w:rPr>
            <w:rStyle w:val="Hipercze"/>
          </w:rPr>
          <w:t>link</w:t>
        </w:r>
      </w:hyperlink>
      <w:r>
        <w:t xml:space="preserve">) z 2020 r. </w:t>
      </w:r>
      <w:r w:rsidRPr="0002312E">
        <w:t xml:space="preserve"> uran i paliwo powinny być dostarczane z krajów bezpiecznych, a</w:t>
      </w:r>
      <w:r>
        <w:t> </w:t>
      </w:r>
      <w:r w:rsidRPr="0002312E">
        <w:t xml:space="preserve">w szczególności z krajów UE bądź szerzej z OECD. Kontrakty na dostawy paliwa jądrowego zawierane są przez właścicieli elektrowni </w:t>
      </w:r>
      <w:r w:rsidR="00583DF8">
        <w:t xml:space="preserve">z wyprzedzeniem </w:t>
      </w:r>
      <w:r w:rsidRPr="0002312E">
        <w:t>na okres co najmniej kilkuletni i obejmują wszystkie usługi jądrowego cyklu paliwowego potrzebne do stworzenia produktu końcowego w postaci kaset paliwowych do reaktora. Umowy takie podlegają zgłoszeniu do Agencji Dostaw Euratomu (</w:t>
      </w:r>
      <w:r>
        <w:t xml:space="preserve">ang. </w:t>
      </w:r>
      <w:r w:rsidRPr="0002312E">
        <w:rPr>
          <w:i/>
          <w:iCs/>
        </w:rPr>
        <w:t>Euratom Supply Agency</w:t>
      </w:r>
      <w:r w:rsidRPr="0002312E">
        <w:t>), która posiada instrumenty zabezpieczające kraje członkowskie przed ewentualnymi problemami z</w:t>
      </w:r>
      <w:r>
        <w:t> </w:t>
      </w:r>
      <w:r w:rsidRPr="0002312E">
        <w:t>dostępnością paliwa.</w:t>
      </w:r>
      <w:r w:rsidR="00583DF8">
        <w:t xml:space="preserve"> </w:t>
      </w:r>
    </w:p>
    <w:p w14:paraId="56362A32" w14:textId="299AD73C" w:rsidR="00BD6117" w:rsidRPr="0002312E" w:rsidRDefault="00BD6117" w:rsidP="00BD6117">
      <w:pPr>
        <w:pStyle w:val="Cele"/>
        <w:rPr>
          <w:b/>
          <w:shd w:val="clear" w:color="auto" w:fill="F2F2F2" w:themeFill="background1" w:themeFillShade="F2"/>
        </w:rPr>
      </w:pPr>
      <w:r w:rsidRPr="00B377B2">
        <w:rPr>
          <w:rStyle w:val="CeleZnak"/>
          <w:b/>
        </w:rPr>
        <w:t xml:space="preserve">Polska wyznacza na 2030 r. cel </w:t>
      </w:r>
      <w:r w:rsidRPr="0002312E">
        <w:rPr>
          <w:rStyle w:val="CeleZnak"/>
          <w:b/>
        </w:rPr>
        <w:t xml:space="preserve">w postaci </w:t>
      </w:r>
      <w:r>
        <w:rPr>
          <w:rStyle w:val="CeleZnak"/>
          <w:b/>
        </w:rPr>
        <w:t>zawarcia umowy na</w:t>
      </w:r>
      <w:r w:rsidRPr="0002312E">
        <w:rPr>
          <w:rStyle w:val="CeleZnak"/>
          <w:b/>
        </w:rPr>
        <w:t xml:space="preserve"> dostaw</w:t>
      </w:r>
      <w:r>
        <w:rPr>
          <w:rStyle w:val="CeleZnak"/>
          <w:b/>
        </w:rPr>
        <w:t>ę</w:t>
      </w:r>
      <w:r w:rsidRPr="0002312E">
        <w:rPr>
          <w:rStyle w:val="CeleZnak"/>
          <w:b/>
        </w:rPr>
        <w:t xml:space="preserve"> paliwa </w:t>
      </w:r>
      <w:r>
        <w:rPr>
          <w:rStyle w:val="CeleZnak"/>
          <w:b/>
        </w:rPr>
        <w:t>na potrzeby</w:t>
      </w:r>
      <w:r w:rsidRPr="0002312E">
        <w:rPr>
          <w:rStyle w:val="CeleZnak"/>
          <w:b/>
        </w:rPr>
        <w:t xml:space="preserve"> pierwszego bloku pierwszej polskiej elektrowni jądrowej</w:t>
      </w:r>
      <w:r>
        <w:rPr>
          <w:rStyle w:val="CeleZnak"/>
          <w:b/>
        </w:rPr>
        <w:t>.</w:t>
      </w:r>
    </w:p>
    <w:p w14:paraId="07AD0498" w14:textId="77777777" w:rsidR="00F3711B" w:rsidRDefault="00F3711B" w:rsidP="00F3711B">
      <w:pPr>
        <w:spacing w:before="240" w:after="80"/>
        <w:rPr>
          <w:rFonts w:ascii="Bahnschrift" w:hAnsi="Bahnschrift"/>
        </w:rPr>
      </w:pPr>
      <w:r w:rsidRPr="00C46DAA">
        <w:rPr>
          <w:rFonts w:ascii="Bahnschrift" w:hAnsi="Bahnschrift"/>
          <w:b/>
          <w:bCs/>
          <w:sz w:val="32"/>
          <w:szCs w:val="32"/>
        </w:rPr>
        <w:t>POLITYKA</w:t>
      </w:r>
    </w:p>
    <w:p w14:paraId="5A151E64" w14:textId="391937AB" w:rsidR="00583DF8" w:rsidRDefault="00583DF8" w:rsidP="00F3711B">
      <w:r>
        <w:t xml:space="preserve">Mając na względzie </w:t>
      </w:r>
      <w:r w:rsidRPr="00583DF8">
        <w:t>bezpieczeństw</w:t>
      </w:r>
      <w:r>
        <w:t>o</w:t>
      </w:r>
      <w:r w:rsidRPr="00583DF8">
        <w:t xml:space="preserve"> energetyczne </w:t>
      </w:r>
      <w:r>
        <w:t xml:space="preserve">będzie się dążyć do tworzenia </w:t>
      </w:r>
      <w:r w:rsidRPr="00583DF8">
        <w:t>wieloletnich zapasów paliwa jądrowego</w:t>
      </w:r>
      <w:r>
        <w:t xml:space="preserve">. Gromadzenie </w:t>
      </w:r>
      <w:r w:rsidRPr="00583DF8">
        <w:t>kilkuletniego zapasu</w:t>
      </w:r>
      <w:r>
        <w:t xml:space="preserve"> tego paliwa jest stosunkowe łatwe do realizacji, ze</w:t>
      </w:r>
      <w:r w:rsidR="009D42AC">
        <w:t> </w:t>
      </w:r>
      <w:r>
        <w:t>względu na jego specyfikę.</w:t>
      </w:r>
    </w:p>
    <w:p w14:paraId="725BDDDA" w14:textId="3518D08C" w:rsidR="004627A2" w:rsidRPr="009839F3" w:rsidRDefault="004627A2" w:rsidP="004627A2">
      <w:r>
        <w:t xml:space="preserve">Zakup usług fabrykacji (produkcji gotowych kaset paliwowych) do elektrowni jądrowych w pierwszej fazie funkcjonowania polskiej energetyki jądrowej (np. dla pierwszego i drugiego wsadu paliwa) będzie związany z zakupem konkretnej technologii. Stosowaną na świecie praktyką jest zapewnianie przez dostawcę technologii również dostawy usług fabrykacji w ciągu pierwszych kilku lat pracy reaktora (i potencjalnie w ciągu kolejnych lat) oraz dostęp do danych w celu fabrykacji paliwa przez strony trzecie </w:t>
      </w:r>
      <w:r w:rsidRPr="009839F3">
        <w:t xml:space="preserve">(w celu uniknięcia praktyk monopolistycznych). </w:t>
      </w:r>
    </w:p>
    <w:p w14:paraId="7A1E1265" w14:textId="67593AC7" w:rsidR="00F3711B" w:rsidRPr="009839F3" w:rsidRDefault="004627A2" w:rsidP="004627A2">
      <w:r w:rsidRPr="009839F3">
        <w:t>Polska będzie dążyła do zapewnienia możliwości dostaw uranu i paliwa z krajów bezpiecznych, a w szczególności z krajów UE bądź szerzej OECD.</w:t>
      </w:r>
    </w:p>
    <w:p w14:paraId="6EB494FD" w14:textId="77777777" w:rsidR="00F3711B" w:rsidRPr="00C46DAA" w:rsidRDefault="00F3711B" w:rsidP="00F3711B">
      <w:pPr>
        <w:spacing w:before="240" w:after="80"/>
        <w:rPr>
          <w:rFonts w:ascii="Bahnschrift" w:hAnsi="Bahnschrift"/>
          <w:sz w:val="32"/>
          <w:szCs w:val="32"/>
        </w:rPr>
      </w:pPr>
      <w:r w:rsidRPr="00C46DAA">
        <w:rPr>
          <w:rFonts w:ascii="Bahnschrift" w:hAnsi="Bahnschrift"/>
          <w:b/>
          <w:bCs/>
          <w:sz w:val="32"/>
          <w:szCs w:val="32"/>
        </w:rPr>
        <w:t>DZIAŁANIA</w:t>
      </w:r>
    </w:p>
    <w:p w14:paraId="29151717" w14:textId="56ACD912" w:rsidR="001D7E02" w:rsidRDefault="001D7E02" w:rsidP="00583DF8">
      <w:pPr>
        <w:pStyle w:val="Akapitzlist"/>
        <w:numPr>
          <w:ilvl w:val="0"/>
          <w:numId w:val="6"/>
        </w:numPr>
      </w:pPr>
      <w:r>
        <w:fldChar w:fldCharType="begin"/>
      </w:r>
      <w:r>
        <w:instrText xml:space="preserve"> REF _Ref157420391 \h </w:instrText>
      </w:r>
      <w:r>
        <w:fldChar w:fldCharType="separate"/>
      </w:r>
      <w:r w:rsidR="00DD3929" w:rsidRPr="00F12C9E">
        <w:t xml:space="preserve">Działanie </w:t>
      </w:r>
      <w:r w:rsidR="00DD3929">
        <w:rPr>
          <w:noProof/>
        </w:rPr>
        <w:t>26</w:t>
      </w:r>
      <w:r w:rsidR="00DD3929" w:rsidRPr="00F12C9E">
        <w:t>. Zapewnienie warunków rozwoju SMR.</w:t>
      </w:r>
      <w:r>
        <w:fldChar w:fldCharType="end"/>
      </w:r>
    </w:p>
    <w:p w14:paraId="40944884" w14:textId="2BC76EF5" w:rsidR="0016533D" w:rsidRPr="00CA0E0F" w:rsidRDefault="001D7E02" w:rsidP="001D7E02">
      <w:pPr>
        <w:pStyle w:val="Akapitzlist"/>
        <w:numPr>
          <w:ilvl w:val="0"/>
          <w:numId w:val="6"/>
        </w:numPr>
      </w:pPr>
      <w:r>
        <w:fldChar w:fldCharType="begin"/>
      </w:r>
      <w:r>
        <w:instrText xml:space="preserve"> REF _Ref159310020 \h </w:instrText>
      </w:r>
      <w:r>
        <w:fldChar w:fldCharType="separate"/>
      </w:r>
      <w:r w:rsidR="00DD3929" w:rsidRPr="00BA3E0C">
        <w:t xml:space="preserve">Działanie </w:t>
      </w:r>
      <w:r w:rsidR="00DD3929">
        <w:rPr>
          <w:noProof/>
        </w:rPr>
        <w:t>119</w:t>
      </w:r>
      <w:r w:rsidR="00DD3929" w:rsidRPr="00BA3E0C">
        <w:t>.</w:t>
      </w:r>
      <w:r w:rsidR="00DD3929">
        <w:t xml:space="preserve"> Wdrażanie wielkoskalowej energetyki jądrowej.</w:t>
      </w:r>
      <w:r>
        <w:fldChar w:fldCharType="end"/>
      </w:r>
    </w:p>
    <w:p w14:paraId="595BA27C" w14:textId="4C0DC664" w:rsidR="00AE5592" w:rsidRPr="00AE5592" w:rsidRDefault="00AE5592" w:rsidP="00AE5592">
      <w:pPr>
        <w:pStyle w:val="Nagwek4"/>
        <w:rPr>
          <w:color w:val="C00000"/>
        </w:rPr>
      </w:pPr>
      <w:bookmarkStart w:id="184" w:name="_Toc159598326"/>
      <w:bookmarkStart w:id="185" w:name="_Toc179536977"/>
      <w:r w:rsidRPr="00AE5592">
        <w:rPr>
          <w:color w:val="C00000"/>
        </w:rPr>
        <w:t>Inwentaryzacja krajowych złóż uranu</w:t>
      </w:r>
      <w:bookmarkEnd w:id="184"/>
      <w:bookmarkEnd w:id="185"/>
    </w:p>
    <w:p w14:paraId="3F053E3D" w14:textId="77777777" w:rsidR="007F4F00" w:rsidRDefault="007F4F00" w:rsidP="007F4F00">
      <w:pPr>
        <w:rPr>
          <w:rFonts w:ascii="Calibri" w:hAnsi="Calibri"/>
          <w:sz w:val="22"/>
        </w:rPr>
      </w:pPr>
      <w:bookmarkStart w:id="186" w:name="_Hlk178877344"/>
      <w:r>
        <w:t xml:space="preserve">Z dotychczasowych analiz wynika, że Polska nie posiada </w:t>
      </w:r>
      <w:r w:rsidRPr="00D5714C">
        <w:rPr>
          <w:u w:val="single"/>
        </w:rPr>
        <w:t>przemysłowych</w:t>
      </w:r>
      <w:r>
        <w:t xml:space="preserve"> ilości uranu ze złóż konwencjonalnych, jednakże istnieje potencjał złóż niekonwencjonalnych. Zalicza się do nich m.in. uran współwystępujący w popiołach, fosforytach, czy w złożach miedzi, który traktowany jest jako odpad przemysłu miedziowego (</w:t>
      </w:r>
      <w:r w:rsidRPr="0036398B">
        <w:t>w rejonie Lubina – Sieroszowic</w:t>
      </w:r>
      <w:r>
        <w:t>)</w:t>
      </w:r>
      <w:r w:rsidRPr="0036398B">
        <w:t>.</w:t>
      </w:r>
    </w:p>
    <w:p w14:paraId="458DCA21" w14:textId="65840CA1" w:rsidR="007F4F00" w:rsidRDefault="007F4F00" w:rsidP="007F4F00">
      <w:r w:rsidRPr="007F4F00">
        <w:t>Ich eksploatacja wymagałaby przeprowadzenia szczegółowej inwentaryzacji złóż niekonwencjonalnych, a w przyszłości w miarę wzrostu cen uranu, analiz techniczno-ekonomicznych możliwości ich wykorzystania dla potrzeb przemysłu krajowego, w tym energetyki jądrowej.</w:t>
      </w:r>
    </w:p>
    <w:bookmarkEnd w:id="186"/>
    <w:p w14:paraId="4F29621F" w14:textId="77777777" w:rsidR="007F4F00" w:rsidRDefault="007F4F00" w:rsidP="007F4F00">
      <w:pPr>
        <w:pStyle w:val="Polityka"/>
      </w:pPr>
      <w:r w:rsidRPr="00C46DAA">
        <w:t>POLITYKA</w:t>
      </w:r>
    </w:p>
    <w:p w14:paraId="01A630EF" w14:textId="77777777" w:rsidR="007F4F00" w:rsidRDefault="007F4F00" w:rsidP="007F4F00">
      <w:r w:rsidRPr="004627A2">
        <w:t>Polska posiada złoża uranu, zarówno konwencjonalne, jak i niekonwencjonalne. Obecnie  wydobycie w</w:t>
      </w:r>
      <w:r>
        <w:t> </w:t>
      </w:r>
      <w:r w:rsidRPr="004627A2">
        <w:t>Polsce uranu ze względu m.in. na jego nierównomierne rozłożenie w złożach i wielkość złóż byłoby nieopłacalne. Natomiast krajowe złoża (zasoby) uranu stanowią potencjał, który może być w przyszłości wykorzystywany</w:t>
      </w:r>
      <w:r>
        <w:t xml:space="preserve">. </w:t>
      </w:r>
    </w:p>
    <w:p w14:paraId="5FAFE2FD" w14:textId="77777777" w:rsidR="007F4F00" w:rsidRDefault="007F4F00" w:rsidP="007F4F00">
      <w:r w:rsidRPr="00B021CC">
        <w:t>Do 2030 r. przeprowadzone zostanie rozpoznani</w:t>
      </w:r>
      <w:r>
        <w:t>e</w:t>
      </w:r>
      <w:r w:rsidRPr="00B021CC">
        <w:t xml:space="preserve"> wielkości potencjalnych złóż uranu, szczególnie niekonwencjonalnych oraz ocenę możliwości jego pozyskania, w tym możliwość komercjalizacji wykorzystania uranu do produkcji paliwa jądrowego dla polskich elektrowni jądrowych.</w:t>
      </w:r>
      <w:r>
        <w:t xml:space="preserve"> </w:t>
      </w:r>
    </w:p>
    <w:p w14:paraId="79A3FD84" w14:textId="77777777" w:rsidR="007F4F00" w:rsidRPr="00C46DAA" w:rsidRDefault="007F4F00" w:rsidP="007F4F00">
      <w:pPr>
        <w:pStyle w:val="Polityka"/>
      </w:pPr>
      <w:r w:rsidRPr="00C46DAA">
        <w:t>DZIAŁANIA</w:t>
      </w:r>
    </w:p>
    <w:p w14:paraId="5A3E07AD" w14:textId="615A2353" w:rsidR="000E24A2" w:rsidRDefault="007F4F00" w:rsidP="007F4F00">
      <w:pPr>
        <w:pStyle w:val="Akapitzlist"/>
      </w:pPr>
      <w:r>
        <w:fldChar w:fldCharType="begin"/>
      </w:r>
      <w:r>
        <w:instrText xml:space="preserve"> REF _Ref159310701 \h </w:instrText>
      </w:r>
      <w:r>
        <w:fldChar w:fldCharType="separate"/>
      </w:r>
      <w:r w:rsidR="00DD3929">
        <w:t xml:space="preserve">Działanie </w:t>
      </w:r>
      <w:r w:rsidR="00DD3929">
        <w:rPr>
          <w:noProof/>
        </w:rPr>
        <w:t>148</w:t>
      </w:r>
      <w:r w:rsidR="00DD3929">
        <w:t>. Wstępne rozpoznanie wielkości potencjalnych niekonwencjonalnych złóż uranu.</w:t>
      </w:r>
      <w:r>
        <w:fldChar w:fldCharType="end"/>
      </w:r>
    </w:p>
    <w:p w14:paraId="1719F6F2" w14:textId="508CFDC6" w:rsidR="008A46D0" w:rsidRDefault="008A46D0" w:rsidP="008A46D0">
      <w:pPr>
        <w:pStyle w:val="Nagwek3"/>
        <w:rPr>
          <w:color w:val="C00000"/>
        </w:rPr>
      </w:pPr>
      <w:bookmarkStart w:id="187" w:name="_Toc159598327"/>
      <w:bookmarkStart w:id="188" w:name="_Ref175493995"/>
      <w:bookmarkStart w:id="189" w:name="_Ref177389379"/>
      <w:bookmarkStart w:id="190" w:name="_Toc179536978"/>
      <w:r w:rsidRPr="008A46D0">
        <w:rPr>
          <w:color w:val="C00000"/>
        </w:rPr>
        <w:t>Perspektywiczne pokrycie zapotrzebowania na wodór oraz jego pochodne</w:t>
      </w:r>
      <w:r w:rsidR="00AD4B88">
        <w:rPr>
          <w:color w:val="C00000"/>
        </w:rPr>
        <w:t> </w:t>
      </w:r>
      <w:r w:rsidRPr="008A46D0">
        <w:rPr>
          <w:color w:val="C00000"/>
        </w:rPr>
        <w:t>chemiczne</w:t>
      </w:r>
      <w:bookmarkEnd w:id="187"/>
      <w:bookmarkEnd w:id="188"/>
      <w:bookmarkEnd w:id="189"/>
      <w:bookmarkEnd w:id="190"/>
    </w:p>
    <w:p w14:paraId="5AD3B565" w14:textId="1CBFFDF8" w:rsidR="00F22CB2" w:rsidRDefault="00757B3D" w:rsidP="00F22CB2">
      <w:r>
        <w:t xml:space="preserve">Wodór </w:t>
      </w:r>
      <w:r w:rsidR="00EE07D1">
        <w:t>(oraz jego pochodne</w:t>
      </w:r>
      <w:r w:rsidR="00023909">
        <w:t xml:space="preserve"> chemiczne</w:t>
      </w:r>
      <w:r w:rsidR="00EE07D1">
        <w:t xml:space="preserve"> takie jak amoniak, metanol) </w:t>
      </w:r>
      <w:r w:rsidR="00DA0B40">
        <w:t>to gaz, który może zapewnić istotny wkład w</w:t>
      </w:r>
      <w:r w:rsidR="00023909">
        <w:t xml:space="preserve"> </w:t>
      </w:r>
      <w:r w:rsidR="00DA0B40">
        <w:t xml:space="preserve">niskoemisyjną transformację energetyczną. Może on znaleźć </w:t>
      </w:r>
      <w:r w:rsidR="00DA0B40" w:rsidRPr="002F2E47">
        <w:rPr>
          <w:b/>
          <w:bCs/>
        </w:rPr>
        <w:t>zastosowanie w przemyśle, transporcie, jak również w elektroenergetyce i ciepłownictwie</w:t>
      </w:r>
      <w:r w:rsidR="00DA0B40">
        <w:t xml:space="preserve"> – w szczególności w celach absorbowania nadwyżek energii z OZE i bilansowania systemu. Polska jest aktualnie trzecim producentem </w:t>
      </w:r>
      <w:r w:rsidR="009B419F">
        <w:t>i</w:t>
      </w:r>
      <w:r w:rsidR="00023909">
        <w:t> </w:t>
      </w:r>
      <w:r w:rsidR="009B419F">
        <w:t xml:space="preserve">konsumentem </w:t>
      </w:r>
      <w:r w:rsidR="00DA0B40">
        <w:t xml:space="preserve">wodoru </w:t>
      </w:r>
      <w:r w:rsidR="00E539FE">
        <w:t xml:space="preserve">na potrzeby przemysłu </w:t>
      </w:r>
      <w:r w:rsidR="00DA0B40">
        <w:t>w Europie i piątym na świecie</w:t>
      </w:r>
      <w:r w:rsidR="004C6E01">
        <w:rPr>
          <w:rStyle w:val="Odwoanieprzypisudolnego"/>
        </w:rPr>
        <w:footnoteReference w:id="79"/>
      </w:r>
      <w:r w:rsidR="00DA0B40">
        <w:t xml:space="preserve">, ale jest to tzw. wodór szary, pochodzący z </w:t>
      </w:r>
      <w:r w:rsidR="009B419F">
        <w:t xml:space="preserve">reformingu </w:t>
      </w:r>
      <w:r w:rsidR="00BB766A">
        <w:t xml:space="preserve">parowego </w:t>
      </w:r>
      <w:r w:rsidR="00DA0B40">
        <w:t>paliw kopalnych, natomiast wdrażana polityka klimatyczno-energetyczna wymaga, aby do produkcji wodoru wykorzystywan</w:t>
      </w:r>
      <w:r w:rsidR="004C6E01">
        <w:t xml:space="preserve">a była energia z OZE – tzw. </w:t>
      </w:r>
      <w:r w:rsidR="00023909">
        <w:t>„</w:t>
      </w:r>
      <w:r w:rsidR="004C6E01">
        <w:t>zielony wodór</w:t>
      </w:r>
      <w:r w:rsidR="00023909">
        <w:t>”</w:t>
      </w:r>
      <w:r w:rsidR="004C6E01">
        <w:t>.</w:t>
      </w:r>
    </w:p>
    <w:p w14:paraId="5BC99E54" w14:textId="0A66AB3B" w:rsidR="004C6E01" w:rsidRPr="00F22CB2" w:rsidRDefault="002F2E47" w:rsidP="00F22CB2">
      <w:r>
        <w:t>Regulacje RED III stawiają dość wysoko poprzeczkę dla branży wodorowej, która jest na wczesnym etapie rozwoju. Ograniczona dostępność wodoru w państwach sąsiadujących – również ze względu na transformację prowadzoną w tych krajach, a także ryzyko uzależniania od importu na nierozwiniętym rynku, powodują, że w pierwszej kolejności dążyć się będzie do budowy własnych zdolności produkcyjnych.</w:t>
      </w:r>
      <w:r w:rsidR="002C5D2A">
        <w:t xml:space="preserve"> </w:t>
      </w:r>
      <w:r>
        <w:t xml:space="preserve">Poniżej określono cele w obszarze </w:t>
      </w:r>
      <w:r w:rsidRPr="009F7F69">
        <w:rPr>
          <w:b/>
          <w:bCs/>
        </w:rPr>
        <w:t xml:space="preserve">krajowej produkcji wodoru, jak również zapewnienia </w:t>
      </w:r>
      <w:r w:rsidR="009F7F69" w:rsidRPr="009F7F69">
        <w:rPr>
          <w:b/>
          <w:bCs/>
        </w:rPr>
        <w:t>infrastruktury do transportowania wodoru oraz jego magazynowania</w:t>
      </w:r>
      <w:r w:rsidR="009F7F69">
        <w:t>.</w:t>
      </w:r>
    </w:p>
    <w:p w14:paraId="0054D313" w14:textId="764A234A" w:rsidR="00F22CB2" w:rsidRPr="00F22CB2" w:rsidRDefault="00F22CB2" w:rsidP="00F22CB2">
      <w:pPr>
        <w:pStyle w:val="Nagwek4"/>
        <w:rPr>
          <w:color w:val="C00000"/>
        </w:rPr>
      </w:pPr>
      <w:bookmarkStart w:id="191" w:name="_Toc159598328"/>
      <w:bookmarkStart w:id="192" w:name="_Toc179536979"/>
      <w:r w:rsidRPr="00F22CB2">
        <w:rPr>
          <w:color w:val="C00000"/>
        </w:rPr>
        <w:t>Zapewnienie krajowej produkcji wodoru</w:t>
      </w:r>
      <w:bookmarkEnd w:id="191"/>
      <w:bookmarkEnd w:id="192"/>
      <w:r w:rsidRPr="00F22CB2">
        <w:rPr>
          <w:color w:val="C00000"/>
        </w:rPr>
        <w:t xml:space="preserve"> </w:t>
      </w:r>
    </w:p>
    <w:p w14:paraId="66202C0B" w14:textId="50897744" w:rsidR="00882D72" w:rsidRDefault="009F7F69" w:rsidP="002C5D2A">
      <w:pPr>
        <w:rPr>
          <w:b/>
          <w:bCs/>
        </w:rPr>
      </w:pPr>
      <w:r>
        <w:t>W części dotyczącej redukcji emisji w przemyśle (</w:t>
      </w:r>
      <w:r w:rsidR="00574F08">
        <w:fldChar w:fldCharType="begin"/>
      </w:r>
      <w:r w:rsidR="00574F08">
        <w:instrText xml:space="preserve"> REF _Ref159313182 \n \h </w:instrText>
      </w:r>
      <w:r w:rsidR="00574F08">
        <w:fldChar w:fldCharType="separate"/>
      </w:r>
      <w:r w:rsidR="00DD3929">
        <w:t>Cel. 1.2.4</w:t>
      </w:r>
      <w:r w:rsidR="00574F08">
        <w:fldChar w:fldCharType="end"/>
      </w:r>
      <w:r>
        <w:t xml:space="preserve">) przedstawiono jak dużą rolę w transformacji </w:t>
      </w:r>
      <w:r w:rsidR="0065263C">
        <w:t xml:space="preserve">tego sektora </w:t>
      </w:r>
      <w:r>
        <w:t xml:space="preserve">ma odgrywać wodór </w:t>
      </w:r>
      <w:r w:rsidR="00023909">
        <w:t>RFNBO</w:t>
      </w:r>
      <w:r>
        <w:t xml:space="preserve">. Dyrektywa RED III </w:t>
      </w:r>
      <w:r w:rsidR="000B393A">
        <w:t xml:space="preserve">obliguje państwa członkowskie do zapewnienia, aby </w:t>
      </w:r>
      <w:r w:rsidR="000B393A" w:rsidRPr="000B393A">
        <w:rPr>
          <w:b/>
          <w:bCs/>
        </w:rPr>
        <w:t xml:space="preserve">wodór </w:t>
      </w:r>
      <w:r w:rsidR="009B419F">
        <w:rPr>
          <w:b/>
          <w:bCs/>
        </w:rPr>
        <w:t xml:space="preserve">RFNBO </w:t>
      </w:r>
      <w:r w:rsidR="000B393A" w:rsidRPr="000B393A">
        <w:rPr>
          <w:b/>
          <w:bCs/>
        </w:rPr>
        <w:t>stanowił 42% do 2030 r. i 60% do 2035 r. stosowanych do celów związanych z energią końcową i celów innych niż energetyczne</w:t>
      </w:r>
      <w:r w:rsidR="000B393A">
        <w:rPr>
          <w:b/>
          <w:bCs/>
        </w:rPr>
        <w:t xml:space="preserve"> w przemyśle</w:t>
      </w:r>
      <w:r w:rsidR="000B393A">
        <w:rPr>
          <w:rStyle w:val="Odwoanieprzypisudolnego"/>
        </w:rPr>
        <w:footnoteReference w:id="80"/>
      </w:r>
      <w:r w:rsidR="000B393A" w:rsidRPr="000B393A">
        <w:t>.</w:t>
      </w:r>
      <w:r w:rsidR="00F436F6">
        <w:t xml:space="preserve"> </w:t>
      </w:r>
      <w:r w:rsidR="002B7202">
        <w:t xml:space="preserve">Ponadto </w:t>
      </w:r>
      <w:r w:rsidR="003742B2">
        <w:t>należy zapewnić, ab</w:t>
      </w:r>
      <w:r w:rsidR="00574F08">
        <w:t>y</w:t>
      </w:r>
      <w:r w:rsidR="003742B2">
        <w:t xml:space="preserve"> </w:t>
      </w:r>
      <w:r w:rsidR="003742B2" w:rsidRPr="003742B2">
        <w:t>udział paliw odnawialnych pochodzenia niebiologicznego</w:t>
      </w:r>
      <w:r w:rsidR="003742B2">
        <w:t xml:space="preserve"> w energii </w:t>
      </w:r>
      <w:r w:rsidR="003742B2" w:rsidRPr="003742B2">
        <w:rPr>
          <w:b/>
          <w:bCs/>
        </w:rPr>
        <w:t>dostarczanej do</w:t>
      </w:r>
      <w:r w:rsidR="000E5834">
        <w:rPr>
          <w:b/>
          <w:bCs/>
        </w:rPr>
        <w:t> </w:t>
      </w:r>
      <w:r w:rsidR="003742B2" w:rsidRPr="003742B2">
        <w:rPr>
          <w:b/>
          <w:bCs/>
        </w:rPr>
        <w:t>sektora transportu wyniósł co najmniej 1 punkt procentowy w 2030 r.</w:t>
      </w:r>
      <w:r w:rsidR="00C224B0">
        <w:rPr>
          <w:rStyle w:val="Odwoanieprzypisudolnego"/>
          <w:b/>
          <w:bCs/>
        </w:rPr>
        <w:footnoteReference w:id="81"/>
      </w:r>
      <w:r w:rsidR="00882D72">
        <w:rPr>
          <w:b/>
          <w:bCs/>
        </w:rPr>
        <w:t xml:space="preserve"> </w:t>
      </w:r>
      <w:r w:rsidR="00705B1D" w:rsidRPr="00705B1D">
        <w:t>Wykorzystanie</w:t>
      </w:r>
      <w:r w:rsidR="00705B1D">
        <w:t xml:space="preserve"> wodoru w tych gałęziach gospodarki może przyczynić </w:t>
      </w:r>
      <w:r w:rsidR="00705B1D" w:rsidRPr="00705B1D">
        <w:t>się do</w:t>
      </w:r>
      <w:r w:rsidR="00705B1D">
        <w:t xml:space="preserve"> przełomu</w:t>
      </w:r>
      <w:r w:rsidR="0042699D">
        <w:t xml:space="preserve"> w zakresie redukcji emisji gazów cieplarnianych, tak by istotnie je obniżyć. </w:t>
      </w:r>
    </w:p>
    <w:p w14:paraId="0D6F4DA5" w14:textId="61FF6F09" w:rsidR="002C5D2A" w:rsidRPr="00F22CB2" w:rsidRDefault="00882D72" w:rsidP="002C5D2A">
      <w:r>
        <w:t xml:space="preserve">W dalszej perspektywie wodór spalany w elektrowniach i elektrociepłowniach będzie mógł częściowo zastąpić gaz ziemny, przyczyniając się do bilansowania systemu elektroenergetycznego. </w:t>
      </w:r>
      <w:r w:rsidR="0065263C">
        <w:t xml:space="preserve">Również </w:t>
      </w:r>
      <w:r w:rsidR="00F436F6">
        <w:t>w</w:t>
      </w:r>
      <w:r w:rsidR="000E5834">
        <w:t> </w:t>
      </w:r>
      <w:r w:rsidR="00F436F6">
        <w:t xml:space="preserve">dalszej perspektywie powinien następować przepływ międzysektorowy, tak aby możliwie najlepiej wykorzystywać źródła odnawialne, </w:t>
      </w:r>
      <w:r w:rsidR="0065263C">
        <w:t>by energia</w:t>
      </w:r>
      <w:r w:rsidR="00265D1D">
        <w:t>,</w:t>
      </w:r>
      <w:r w:rsidR="0065263C">
        <w:t xml:space="preserve"> na którą nie będzie popytu w danym momencie mogła być zmagazynowana</w:t>
      </w:r>
      <w:r w:rsidR="00F436F6">
        <w:t>.</w:t>
      </w:r>
    </w:p>
    <w:p w14:paraId="03099281" w14:textId="62DF1379" w:rsidR="00882D72" w:rsidRDefault="00F436F6" w:rsidP="00F436F6">
      <w:pPr>
        <w:spacing w:before="240" w:after="80"/>
      </w:pPr>
      <w:r>
        <w:t xml:space="preserve">Według wyliczeń Ministerstwa Klimatu i Środowiska, Polska będzie potrzebować w 2030 r. </w:t>
      </w:r>
      <w:r w:rsidR="00C224B0">
        <w:t xml:space="preserve">ok. </w:t>
      </w:r>
      <w:r w:rsidR="00C224B0">
        <w:rPr>
          <w:b/>
          <w:bCs/>
        </w:rPr>
        <w:t>315</w:t>
      </w:r>
      <w:r w:rsidR="00C224B0" w:rsidRPr="00F436F6">
        <w:rPr>
          <w:b/>
          <w:bCs/>
        </w:rPr>
        <w:t xml:space="preserve">  </w:t>
      </w:r>
      <w:r w:rsidRPr="00F436F6">
        <w:rPr>
          <w:b/>
          <w:bCs/>
        </w:rPr>
        <w:t>tys. t wodoru RFNBO</w:t>
      </w:r>
      <w:r>
        <w:t xml:space="preserve">, </w:t>
      </w:r>
      <w:r w:rsidR="00F53353">
        <w:t>na potrzeby realizacji celów</w:t>
      </w:r>
      <w:r>
        <w:t xml:space="preserve"> w przemyśle i transporcie</w:t>
      </w:r>
      <w:r w:rsidR="007E3DFD" w:rsidRPr="007E3DFD">
        <w:t xml:space="preserve"> </w:t>
      </w:r>
      <w:r w:rsidR="007E3DFD">
        <w:t xml:space="preserve">(do jego produkcji potrzebne jest ok. </w:t>
      </w:r>
      <w:r w:rsidR="007E3DFD" w:rsidRPr="0042699D">
        <w:t>16,7 TWh energii elektrycznej</w:t>
      </w:r>
      <w:r w:rsidR="007E3DFD">
        <w:rPr>
          <w:rStyle w:val="Odwoanieprzypisudolnego"/>
        </w:rPr>
        <w:footnoteReference w:id="82"/>
      </w:r>
      <w:r w:rsidR="007E3DFD">
        <w:t>)</w:t>
      </w:r>
      <w:r>
        <w:t>. Szacuje się, że możliwa do osiągnięcia w 2030 r. jest budowa mocy wytwórcz</w:t>
      </w:r>
      <w:r w:rsidR="00A01DE5">
        <w:t xml:space="preserve">ych </w:t>
      </w:r>
      <w:r>
        <w:t xml:space="preserve"> z niskoemisyjnych źródeł i procesów na poziomie </w:t>
      </w:r>
      <w:r w:rsidRPr="006E29AF">
        <w:rPr>
          <w:b/>
          <w:bCs/>
        </w:rPr>
        <w:t>około 2 GW</w:t>
      </w:r>
      <w:r>
        <w:t xml:space="preserve"> (zgodnie z </w:t>
      </w:r>
      <w:r w:rsidRPr="00F436F6">
        <w:rPr>
          <w:i/>
          <w:iCs/>
        </w:rPr>
        <w:t>Polską Strategią Wodorową do roku 2030 z perspektywą do roku 2040</w:t>
      </w:r>
      <w:r w:rsidR="006E29AF">
        <w:rPr>
          <w:i/>
          <w:iCs/>
        </w:rPr>
        <w:t xml:space="preserve"> </w:t>
      </w:r>
      <w:r w:rsidR="009D40C4">
        <w:t>(</w:t>
      </w:r>
      <w:hyperlink r:id="rId78" w:history="1">
        <w:r w:rsidR="006E29AF" w:rsidRPr="009D40C4">
          <w:rPr>
            <w:rStyle w:val="Hipercze"/>
          </w:rPr>
          <w:t>link</w:t>
        </w:r>
      </w:hyperlink>
      <w:r w:rsidR="009D40C4">
        <w:t>)</w:t>
      </w:r>
      <w:r>
        <w:t xml:space="preserve">), która </w:t>
      </w:r>
      <w:r w:rsidR="00C86C4E">
        <w:t xml:space="preserve">miałaby </w:t>
      </w:r>
      <w:r w:rsidRPr="006E29AF">
        <w:rPr>
          <w:b/>
          <w:bCs/>
        </w:rPr>
        <w:t>umożliwi</w:t>
      </w:r>
      <w:r w:rsidR="00C86C4E">
        <w:rPr>
          <w:b/>
          <w:bCs/>
        </w:rPr>
        <w:t>ć</w:t>
      </w:r>
      <w:r w:rsidRPr="006E29AF">
        <w:rPr>
          <w:b/>
          <w:bCs/>
        </w:rPr>
        <w:t xml:space="preserve"> produkcję 193,5 tys. ton wodoru odnawialnego rocznie</w:t>
      </w:r>
      <w:r>
        <w:t>.</w:t>
      </w:r>
      <w:r w:rsidRPr="596A49A6">
        <w:rPr>
          <w:rStyle w:val="Odwoanieprzypisudolnego"/>
        </w:rPr>
        <w:t xml:space="preserve"> </w:t>
      </w:r>
      <w:r w:rsidRPr="0042699D">
        <w:t>Wolumen</w:t>
      </w:r>
      <w:r>
        <w:t xml:space="preserve"> ten jednak nie</w:t>
      </w:r>
      <w:r w:rsidR="00530C4D">
        <w:t> </w:t>
      </w:r>
      <w:r>
        <w:t>będzie pokrywał całości zapotrzebowania na wodór niskoemisyjny i odnawialny w Polsce w 2030 r.</w:t>
      </w:r>
      <w:r w:rsidR="00530C4D">
        <w:t xml:space="preserve">, dlatego </w:t>
      </w:r>
      <w:r w:rsidR="00F04912">
        <w:t>pożądany byłby wyższy poziom własnych mocy produkcyjnych</w:t>
      </w:r>
      <w:r w:rsidR="003955FD">
        <w:t>.</w:t>
      </w:r>
      <w:r w:rsidR="00F04912">
        <w:t xml:space="preserve"> </w:t>
      </w:r>
      <w:r w:rsidR="003955FD">
        <w:t>P</w:t>
      </w:r>
      <w:r>
        <w:t xml:space="preserve">okrycie brakujących wartości </w:t>
      </w:r>
      <w:r w:rsidR="00530C4D">
        <w:t xml:space="preserve">wymaga </w:t>
      </w:r>
      <w:r>
        <w:t>import</w:t>
      </w:r>
      <w:r w:rsidR="00530C4D">
        <w:t>u surowca</w:t>
      </w:r>
      <w:r>
        <w:t xml:space="preserve">. </w:t>
      </w:r>
      <w:r w:rsidR="00805857">
        <w:t xml:space="preserve"> </w:t>
      </w:r>
    </w:p>
    <w:p w14:paraId="527793C0" w14:textId="27D5398D" w:rsidR="006E29AF" w:rsidRPr="006E29AF" w:rsidRDefault="006E29AF" w:rsidP="006E29AF">
      <w:pPr>
        <w:pStyle w:val="Cele"/>
        <w:rPr>
          <w:b/>
          <w:bCs/>
        </w:rPr>
      </w:pPr>
      <w:r w:rsidRPr="006E29AF">
        <w:rPr>
          <w:b/>
          <w:bCs/>
        </w:rPr>
        <w:t>Celem podejmowanych działań jest zapewnienie wystarczającej ilości wodoru odnawialnego i</w:t>
      </w:r>
      <w:r w:rsidR="000E5834">
        <w:rPr>
          <w:b/>
          <w:bCs/>
        </w:rPr>
        <w:t xml:space="preserve"> </w:t>
      </w:r>
      <w:r w:rsidRPr="006E29AF">
        <w:rPr>
          <w:b/>
          <w:bCs/>
        </w:rPr>
        <w:t>niskoemisyjnego, a także ich pochodnych chemicznych, do zaspokojenia potrzeb wynikających z</w:t>
      </w:r>
      <w:r w:rsidR="000E5834">
        <w:rPr>
          <w:b/>
          <w:bCs/>
        </w:rPr>
        <w:t xml:space="preserve"> </w:t>
      </w:r>
      <w:r w:rsidRPr="006E29AF">
        <w:rPr>
          <w:b/>
          <w:bCs/>
        </w:rPr>
        <w:t>transformacji energetycznej.</w:t>
      </w:r>
    </w:p>
    <w:p w14:paraId="159A15C3" w14:textId="304BE90E" w:rsidR="006E29AF" w:rsidRDefault="006E29AF" w:rsidP="006E29AF">
      <w:pPr>
        <w:pStyle w:val="Polityka"/>
      </w:pPr>
      <w:r w:rsidRPr="596A49A6">
        <w:t>POLITYKA</w:t>
      </w:r>
    </w:p>
    <w:p w14:paraId="6FB73E9A" w14:textId="29229B83" w:rsidR="00440A8F" w:rsidRDefault="006E29AF" w:rsidP="006E29AF">
      <w:r>
        <w:t xml:space="preserve">W celu zapewnienia dostępu do wodoru </w:t>
      </w:r>
      <w:r w:rsidR="00440A8F">
        <w:t xml:space="preserve">odnawialnego </w:t>
      </w:r>
      <w:r w:rsidRPr="00E75BB8">
        <w:rPr>
          <w:b/>
          <w:bCs/>
        </w:rPr>
        <w:t xml:space="preserve">zostanie przeprowadzona aktualizacja </w:t>
      </w:r>
      <w:r w:rsidRPr="00E75BB8">
        <w:rPr>
          <w:b/>
          <w:bCs/>
          <w:i/>
          <w:iCs/>
        </w:rPr>
        <w:t>Polskiej Strategii Wodorowej do roku 2030 z perspektywą do roku 2040</w:t>
      </w:r>
      <w:r>
        <w:t xml:space="preserve">. W dokumencie zostaną określone ścieżki rozwoju rynku wodoru </w:t>
      </w:r>
      <w:r w:rsidR="00440A8F">
        <w:t>RFNBO</w:t>
      </w:r>
      <w:r>
        <w:t xml:space="preserve"> w Polsce wraz ze wskazaniem optymalnych scenariuszy. Pozwoli to </w:t>
      </w:r>
      <w:r w:rsidRPr="003955FD">
        <w:rPr>
          <w:b/>
          <w:bCs/>
        </w:rPr>
        <w:t>odpowiedzieć na pytania</w:t>
      </w:r>
      <w:r w:rsidR="00F509D4">
        <w:rPr>
          <w:b/>
          <w:bCs/>
        </w:rPr>
        <w:t>,</w:t>
      </w:r>
      <w:r w:rsidRPr="003955FD">
        <w:rPr>
          <w:b/>
          <w:bCs/>
        </w:rPr>
        <w:t xml:space="preserve"> czy z punktu widzenia gospodarki oraz bezpieczeństwa energetycznego lepszym rozwiązaniem jest import czy produkcja wodoru RFNBO w Polsce</w:t>
      </w:r>
      <w:r>
        <w:t xml:space="preserve">. </w:t>
      </w:r>
      <w:r w:rsidR="00440A8F">
        <w:t xml:space="preserve">Pod uwagę trzeba wziąć również efektywność wykorzystania źródeł odnawialnych – z tego względu dalsze analizy powinny uwzględniać także przepływy </w:t>
      </w:r>
      <w:r w:rsidR="00EE3BB8">
        <w:t xml:space="preserve">międzysektorowe – od </w:t>
      </w:r>
      <w:r w:rsidR="006D1BF5">
        <w:t>elektroenergetyki</w:t>
      </w:r>
      <w:r w:rsidR="00EE3BB8">
        <w:t xml:space="preserve">, po wykorzystanie </w:t>
      </w:r>
      <w:r w:rsidR="006D1BF5">
        <w:t>potencjału odpadów komunalnych do produkcji wodoru.</w:t>
      </w:r>
      <w:r w:rsidR="00882D72">
        <w:t xml:space="preserve"> </w:t>
      </w:r>
      <w:r w:rsidR="00720C6D">
        <w:t xml:space="preserve">Priorytetem jest zapewnienie </w:t>
      </w:r>
      <w:r w:rsidR="00882D72">
        <w:t>wod</w:t>
      </w:r>
      <w:r w:rsidR="00720C6D">
        <w:t>oru</w:t>
      </w:r>
      <w:r w:rsidR="00882D72">
        <w:t xml:space="preserve"> RFNBO </w:t>
      </w:r>
      <w:r w:rsidR="00720C6D">
        <w:t xml:space="preserve">dla </w:t>
      </w:r>
      <w:r w:rsidR="00882D72">
        <w:t>przemy</w:t>
      </w:r>
      <w:r w:rsidR="00720C6D">
        <w:t>słu</w:t>
      </w:r>
      <w:r w:rsidR="00882D72">
        <w:t xml:space="preserve"> i transpor</w:t>
      </w:r>
      <w:r w:rsidR="00720C6D">
        <w:t>tu</w:t>
      </w:r>
      <w:r w:rsidR="002411A2">
        <w:t xml:space="preserve">, </w:t>
      </w:r>
      <w:r w:rsidR="00720C6D">
        <w:t xml:space="preserve">tak aby wpływać na </w:t>
      </w:r>
      <w:r w:rsidR="002411A2">
        <w:t xml:space="preserve">realizację </w:t>
      </w:r>
      <w:r w:rsidR="00720C6D">
        <w:t xml:space="preserve">ambitnych </w:t>
      </w:r>
      <w:r w:rsidR="002411A2">
        <w:t>celów dyrektywy RED III</w:t>
      </w:r>
      <w:r w:rsidR="00705B1D">
        <w:t xml:space="preserve">. Dodatkowo konieczność zastosowania </w:t>
      </w:r>
      <w:r w:rsidR="000E5834">
        <w:t>„</w:t>
      </w:r>
      <w:r w:rsidR="00705B1D">
        <w:t>zielonego wodoru</w:t>
      </w:r>
      <w:r w:rsidR="000E5834">
        <w:t>”</w:t>
      </w:r>
      <w:r w:rsidR="00705B1D">
        <w:t xml:space="preserve"> w tych gałęziach gospodarki wiąże się z </w:t>
      </w:r>
      <w:r w:rsidR="002411A2">
        <w:t>wysoki</w:t>
      </w:r>
      <w:r w:rsidR="00705B1D">
        <w:t>m</w:t>
      </w:r>
      <w:r w:rsidR="002411A2">
        <w:t xml:space="preserve"> potencjał</w:t>
      </w:r>
      <w:r w:rsidR="00705B1D">
        <w:t>em</w:t>
      </w:r>
      <w:r w:rsidR="002411A2">
        <w:t xml:space="preserve"> innowacyjności.</w:t>
      </w:r>
      <w:r w:rsidR="00705B1D">
        <w:t xml:space="preserve"> </w:t>
      </w:r>
    </w:p>
    <w:p w14:paraId="642D65FE" w14:textId="0FCFA748" w:rsidR="000548F9" w:rsidRPr="00882D72" w:rsidRDefault="006E29AF" w:rsidP="006E29AF">
      <w:r>
        <w:t xml:space="preserve">Jednocześnie będą kontynuowane działania związane z </w:t>
      </w:r>
      <w:r w:rsidR="00530C4D">
        <w:t xml:space="preserve">przygotowaniem </w:t>
      </w:r>
      <w:r w:rsidR="00530C4D" w:rsidRPr="00530C4D">
        <w:rPr>
          <w:b/>
          <w:bCs/>
        </w:rPr>
        <w:t xml:space="preserve">kompleksowego </w:t>
      </w:r>
      <w:r w:rsidRPr="00530C4D">
        <w:rPr>
          <w:b/>
          <w:bCs/>
        </w:rPr>
        <w:t>pakie</w:t>
      </w:r>
      <w:r w:rsidR="00530C4D">
        <w:rPr>
          <w:b/>
          <w:bCs/>
        </w:rPr>
        <w:t>tu</w:t>
      </w:r>
      <w:r w:rsidRPr="00530C4D">
        <w:rPr>
          <w:b/>
          <w:bCs/>
        </w:rPr>
        <w:t xml:space="preserve"> legislacyjn</w:t>
      </w:r>
      <w:r w:rsidR="00E75BB8">
        <w:rPr>
          <w:b/>
          <w:bCs/>
        </w:rPr>
        <w:t>ego</w:t>
      </w:r>
      <w:r w:rsidR="00530C4D">
        <w:rPr>
          <w:b/>
          <w:bCs/>
        </w:rPr>
        <w:t xml:space="preserve">, </w:t>
      </w:r>
      <w:r w:rsidR="00530C4D" w:rsidRPr="00530C4D">
        <w:t>który</w:t>
      </w:r>
      <w:r>
        <w:t xml:space="preserve"> określ</w:t>
      </w:r>
      <w:r w:rsidR="00530C4D">
        <w:t>i</w:t>
      </w:r>
      <w:r>
        <w:t xml:space="preserve"> zasady funkcjonowania rynku wodoru oraz </w:t>
      </w:r>
      <w:r w:rsidRPr="00ED0BAF">
        <w:rPr>
          <w:b/>
          <w:bCs/>
        </w:rPr>
        <w:t>instrument</w:t>
      </w:r>
      <w:r w:rsidR="00F509D4">
        <w:rPr>
          <w:b/>
          <w:bCs/>
        </w:rPr>
        <w:t>y</w:t>
      </w:r>
      <w:r w:rsidRPr="00ED0BAF">
        <w:rPr>
          <w:b/>
          <w:bCs/>
        </w:rPr>
        <w:t xml:space="preserve"> wsparcia</w:t>
      </w:r>
      <w:r w:rsidRPr="003955FD">
        <w:rPr>
          <w:b/>
          <w:bCs/>
        </w:rPr>
        <w:t xml:space="preserve"> dla produkcji zeroemisyjnego wodoru</w:t>
      </w:r>
      <w:r w:rsidR="00E75BB8" w:rsidRPr="003955FD">
        <w:rPr>
          <w:b/>
          <w:bCs/>
        </w:rPr>
        <w:t xml:space="preserve"> opart</w:t>
      </w:r>
      <w:r w:rsidR="00F509D4">
        <w:rPr>
          <w:b/>
          <w:bCs/>
        </w:rPr>
        <w:t>e</w:t>
      </w:r>
      <w:r w:rsidR="00E75BB8" w:rsidRPr="003955FD">
        <w:rPr>
          <w:b/>
          <w:bCs/>
        </w:rPr>
        <w:t xml:space="preserve"> na modelu kontraktu różnicowego</w:t>
      </w:r>
      <w:r>
        <w:t xml:space="preserve">. </w:t>
      </w:r>
      <w:r w:rsidR="00C86C4E">
        <w:rPr>
          <w:b/>
          <w:bCs/>
        </w:rPr>
        <w:t>Projektowany kontrakt finansowy na wodór może zapewnić w 2030 r. wytworzenie do</w:t>
      </w:r>
      <w:r w:rsidR="00C86C4E" w:rsidRPr="008F7063">
        <w:rPr>
          <w:b/>
          <w:bCs/>
        </w:rPr>
        <w:t xml:space="preserve"> 113</w:t>
      </w:r>
      <w:r w:rsidR="000E5834">
        <w:rPr>
          <w:b/>
          <w:bCs/>
        </w:rPr>
        <w:t xml:space="preserve"> </w:t>
      </w:r>
      <w:r w:rsidR="00C86C4E" w:rsidRPr="008F7063">
        <w:rPr>
          <w:b/>
          <w:bCs/>
        </w:rPr>
        <w:t>tys.</w:t>
      </w:r>
      <w:r w:rsidR="000E5834">
        <w:rPr>
          <w:b/>
          <w:bCs/>
        </w:rPr>
        <w:t xml:space="preserve"> </w:t>
      </w:r>
      <w:r w:rsidR="00C86C4E" w:rsidRPr="008F7063">
        <w:rPr>
          <w:b/>
          <w:bCs/>
        </w:rPr>
        <w:t>t</w:t>
      </w:r>
      <w:r w:rsidR="00C86C4E" w:rsidRPr="008E420F">
        <w:t xml:space="preserve"> na wodór</w:t>
      </w:r>
      <w:r w:rsidR="00C86C4E">
        <w:t xml:space="preserve"> na potrzeby przemysłu i</w:t>
      </w:r>
      <w:r w:rsidR="000E5834">
        <w:t xml:space="preserve"> </w:t>
      </w:r>
      <w:r w:rsidR="00C86C4E">
        <w:t>transportu</w:t>
      </w:r>
      <w:r w:rsidR="00705B1D">
        <w:t xml:space="preserve"> (łączne potrzeby – 315 tys. t)</w:t>
      </w:r>
      <w:r w:rsidR="00C86C4E">
        <w:t xml:space="preserve">. </w:t>
      </w:r>
      <w:r w:rsidR="001C6ABC">
        <w:t xml:space="preserve">Przewiduje się, że poza tym strumieniem </w:t>
      </w:r>
      <w:r w:rsidR="00705B1D">
        <w:rPr>
          <w:b/>
          <w:bCs/>
        </w:rPr>
        <w:t>na potrzeby przemysłu i</w:t>
      </w:r>
      <w:r w:rsidR="000E5834">
        <w:rPr>
          <w:b/>
          <w:bCs/>
        </w:rPr>
        <w:t xml:space="preserve"> </w:t>
      </w:r>
      <w:r w:rsidR="00705B1D">
        <w:rPr>
          <w:b/>
          <w:bCs/>
        </w:rPr>
        <w:t>transportu</w:t>
      </w:r>
      <w:r w:rsidR="00705B1D" w:rsidRPr="008E420F">
        <w:t xml:space="preserve"> </w:t>
      </w:r>
      <w:r w:rsidR="00C86C4E" w:rsidRPr="008E420F">
        <w:t xml:space="preserve">możliwe jest wybudowanie w Polsce </w:t>
      </w:r>
      <w:r w:rsidR="00C86C4E" w:rsidRPr="008F7063">
        <w:rPr>
          <w:b/>
          <w:bCs/>
        </w:rPr>
        <w:t xml:space="preserve">mocy produkcyjnych wodoru odnawialnego </w:t>
      </w:r>
      <w:r w:rsidR="001C6ABC">
        <w:rPr>
          <w:b/>
          <w:bCs/>
        </w:rPr>
        <w:t xml:space="preserve">zapewniającej produkcję </w:t>
      </w:r>
      <w:r w:rsidR="00C86C4E" w:rsidRPr="008F7063">
        <w:rPr>
          <w:b/>
          <w:bCs/>
        </w:rPr>
        <w:t>43 tys. t</w:t>
      </w:r>
      <w:r w:rsidR="001C6ABC">
        <w:rPr>
          <w:b/>
          <w:bCs/>
        </w:rPr>
        <w:t xml:space="preserve"> zielonego wodoru</w:t>
      </w:r>
      <w:r w:rsidR="00C86C4E" w:rsidRPr="008F7063">
        <w:rPr>
          <w:rStyle w:val="Odwoanieprzypisudolnego"/>
          <w:b/>
          <w:bCs/>
        </w:rPr>
        <w:footnoteReference w:id="83"/>
      </w:r>
      <w:r w:rsidR="00493FE7" w:rsidRPr="00493FE7">
        <w:t>.</w:t>
      </w:r>
      <w:r w:rsidR="00C86C4E">
        <w:rPr>
          <w:b/>
          <w:bCs/>
        </w:rPr>
        <w:t xml:space="preserve"> </w:t>
      </w:r>
      <w:r w:rsidR="001C6ABC">
        <w:rPr>
          <w:i/>
          <w:iCs/>
        </w:rPr>
        <w:t>Szerszy opis dotyczący wodoru w</w:t>
      </w:r>
      <w:r w:rsidR="00705B1D">
        <w:rPr>
          <w:i/>
          <w:iCs/>
        </w:rPr>
        <w:t> </w:t>
      </w:r>
      <w:r w:rsidR="001C6ABC">
        <w:rPr>
          <w:i/>
          <w:iCs/>
        </w:rPr>
        <w:t xml:space="preserve">przemyśle w części </w:t>
      </w:r>
      <w:r w:rsidR="001C6ABC">
        <w:rPr>
          <w:i/>
          <w:iCs/>
        </w:rPr>
        <w:fldChar w:fldCharType="begin"/>
      </w:r>
      <w:r w:rsidR="001C6ABC">
        <w:rPr>
          <w:i/>
          <w:iCs/>
        </w:rPr>
        <w:instrText xml:space="preserve"> REF _Ref159313182 \n \h </w:instrText>
      </w:r>
      <w:r w:rsidR="001C6ABC">
        <w:rPr>
          <w:i/>
          <w:iCs/>
        </w:rPr>
      </w:r>
      <w:r w:rsidR="001C6ABC">
        <w:rPr>
          <w:i/>
          <w:iCs/>
        </w:rPr>
        <w:fldChar w:fldCharType="separate"/>
      </w:r>
      <w:r w:rsidR="00DD3929">
        <w:rPr>
          <w:i/>
          <w:iCs/>
        </w:rPr>
        <w:t>Cel. 1.2.4</w:t>
      </w:r>
      <w:r w:rsidR="001C6ABC">
        <w:rPr>
          <w:i/>
          <w:iCs/>
        </w:rPr>
        <w:fldChar w:fldCharType="end"/>
      </w:r>
      <w:r w:rsidR="001C6ABC">
        <w:rPr>
          <w:i/>
          <w:iCs/>
        </w:rPr>
        <w:t>.</w:t>
      </w:r>
      <w:r w:rsidR="00882D72">
        <w:t xml:space="preserve"> </w:t>
      </w:r>
    </w:p>
    <w:p w14:paraId="0A7A2DF7" w14:textId="1CD053A9" w:rsidR="006E29AF" w:rsidRDefault="00530C4D" w:rsidP="006E29AF">
      <w:r>
        <w:t xml:space="preserve">Rozwijane będą dotychczasowe </w:t>
      </w:r>
      <w:r w:rsidR="00ED0BAF">
        <w:t>inicjatywy</w:t>
      </w:r>
      <w:r>
        <w:t xml:space="preserve"> wynikające z zawartego w 2021 r. </w:t>
      </w:r>
      <w:r w:rsidRPr="0065263C">
        <w:rPr>
          <w:i/>
          <w:iCs/>
        </w:rPr>
        <w:t>P</w:t>
      </w:r>
      <w:r w:rsidR="006E29AF" w:rsidRPr="0065263C">
        <w:rPr>
          <w:i/>
          <w:iCs/>
        </w:rPr>
        <w:t>orozumienia na rzecz budowy gospodarki wodorowej</w:t>
      </w:r>
      <w:r>
        <w:t>, jak również</w:t>
      </w:r>
      <w:r w:rsidR="00ED0BAF">
        <w:t xml:space="preserve"> w ramach tzw. dolin wodorowych</w:t>
      </w:r>
      <w:r w:rsidR="00440A8F">
        <w:t>.</w:t>
      </w:r>
      <w:r w:rsidR="00D046A3">
        <w:t xml:space="preserve"> </w:t>
      </w:r>
    </w:p>
    <w:p w14:paraId="46C0DC01" w14:textId="15B76403" w:rsidR="006E29AF" w:rsidRDefault="006E29AF" w:rsidP="006E29AF">
      <w:pPr>
        <w:pStyle w:val="Polityka"/>
      </w:pPr>
      <w:r w:rsidRPr="042BE5AD">
        <w:t>DZIAŁANIA</w:t>
      </w:r>
    </w:p>
    <w:p w14:paraId="30EFE4E5" w14:textId="51EE0F5B" w:rsidR="00812707" w:rsidRDefault="005015D7" w:rsidP="001D4BA5">
      <w:pPr>
        <w:pStyle w:val="Akapitzlist"/>
        <w:numPr>
          <w:ilvl w:val="0"/>
          <w:numId w:val="25"/>
        </w:numPr>
      </w:pPr>
      <w:r>
        <w:fldChar w:fldCharType="begin"/>
      </w:r>
      <w:r>
        <w:instrText xml:space="preserve"> REF _Ref174525115 \h </w:instrText>
      </w:r>
      <w:r>
        <w:fldChar w:fldCharType="separate"/>
      </w:r>
      <w:r w:rsidR="00DD3929">
        <w:t xml:space="preserve">Działanie </w:t>
      </w:r>
      <w:r w:rsidR="00DD3929">
        <w:rPr>
          <w:noProof/>
        </w:rPr>
        <w:t>74</w:t>
      </w:r>
      <w:r w:rsidR="00DD3929">
        <w:t>. Aktualizacja Polskiej Strategii Wodorowej do 2030 r. z perspektywą do roku 2040.</w:t>
      </w:r>
      <w:r>
        <w:fldChar w:fldCharType="end"/>
      </w:r>
    </w:p>
    <w:p w14:paraId="79A73F64" w14:textId="15771759" w:rsidR="006574DF" w:rsidRDefault="006574DF" w:rsidP="001D4BA5">
      <w:pPr>
        <w:pStyle w:val="Akapitzlist"/>
        <w:numPr>
          <w:ilvl w:val="0"/>
          <w:numId w:val="25"/>
        </w:numPr>
      </w:pPr>
      <w:r>
        <w:fldChar w:fldCharType="begin"/>
      </w:r>
      <w:r>
        <w:instrText xml:space="preserve"> REF _Ref159187803 \h </w:instrText>
      </w:r>
      <w:r>
        <w:fldChar w:fldCharType="separate"/>
      </w:r>
      <w:r w:rsidR="00DD3929">
        <w:t xml:space="preserve">Działanie </w:t>
      </w:r>
      <w:r w:rsidR="00DD3929">
        <w:rPr>
          <w:noProof/>
        </w:rPr>
        <w:t>75</w:t>
      </w:r>
      <w:r w:rsidR="00DD3929">
        <w:t xml:space="preserve">. </w:t>
      </w:r>
      <w:r w:rsidR="00DD3929" w:rsidRPr="00660495">
        <w:t>Instrument finansowy – kontrakt różnicowy dla produkcji wodoru w przemyśle</w:t>
      </w:r>
      <w:r w:rsidR="00DD3929">
        <w:t>.</w:t>
      </w:r>
      <w:r>
        <w:fldChar w:fldCharType="end"/>
      </w:r>
    </w:p>
    <w:p w14:paraId="77A807C8" w14:textId="35FAE93E" w:rsidR="006574DF" w:rsidRDefault="006574DF" w:rsidP="001D4BA5">
      <w:pPr>
        <w:pStyle w:val="Akapitzlist"/>
        <w:numPr>
          <w:ilvl w:val="0"/>
          <w:numId w:val="25"/>
        </w:numPr>
      </w:pPr>
      <w:r>
        <w:fldChar w:fldCharType="begin"/>
      </w:r>
      <w:r>
        <w:instrText xml:space="preserve"> REF _Ref159242564 \h </w:instrText>
      </w:r>
      <w:r>
        <w:fldChar w:fldCharType="separate"/>
      </w:r>
      <w:r w:rsidR="00DD3929">
        <w:t xml:space="preserve">Działanie </w:t>
      </w:r>
      <w:r w:rsidR="00DD3929">
        <w:rPr>
          <w:noProof/>
        </w:rPr>
        <w:t>76</w:t>
      </w:r>
      <w:r w:rsidR="00DD3929">
        <w:t>.</w:t>
      </w:r>
      <w:r w:rsidR="00DD3929" w:rsidRPr="00660495">
        <w:t xml:space="preserve"> Wsparcie budowy mocy wytwórczych do produkcji wodoru odnawialnego i</w:t>
      </w:r>
      <w:r w:rsidR="00DD3929">
        <w:t> </w:t>
      </w:r>
      <w:r w:rsidR="00DD3929" w:rsidRPr="00660495">
        <w:t>niskoemisyjnego.</w:t>
      </w:r>
      <w:r>
        <w:fldChar w:fldCharType="end"/>
      </w:r>
    </w:p>
    <w:p w14:paraId="5B3697CE" w14:textId="7ACD5CC2" w:rsidR="00F22CB2" w:rsidRDefault="00F22CB2" w:rsidP="00F22CB2">
      <w:pPr>
        <w:pStyle w:val="Nagwek4"/>
        <w:rPr>
          <w:color w:val="C00000"/>
        </w:rPr>
      </w:pPr>
      <w:bookmarkStart w:id="193" w:name="_Toc159598329"/>
      <w:bookmarkStart w:id="194" w:name="_Toc179536980"/>
      <w:r w:rsidRPr="00F22CB2">
        <w:rPr>
          <w:color w:val="C00000"/>
        </w:rPr>
        <w:t>Zapewnienie rozwoju infrastruktury do transportu wodoru</w:t>
      </w:r>
      <w:bookmarkEnd w:id="193"/>
      <w:bookmarkEnd w:id="194"/>
    </w:p>
    <w:p w14:paraId="438DDF2B" w14:textId="43F86D22" w:rsidR="00ED0BAF" w:rsidRDefault="00ED0BAF" w:rsidP="00ED0BAF">
      <w:r>
        <w:t>W związku z rozwojem rynku wodoru konieczne będzie zbudowanie całkowicie nowej infrastruktury przesyłowej dla wodoru, w szczególności połączeń międzysystemowych. Dzięki centralnej pozycji geograficznej i politycznej</w:t>
      </w:r>
      <w:r w:rsidR="000E5834">
        <w:t>,</w:t>
      </w:r>
      <w:r>
        <w:t xml:space="preserve"> Polska ma do odegrania bardzo ważną rolę w tym procesie, gdyż może stanowić zarówno kraj tranzytowy między regionem Morza Bałtyckiego a Niemcami, jak i odpowiadać za koordynację handlu wodorem w całym regionie Europy Środkowo-Wschodniej, w tym także z Ukrainą. Rozwój tego rodzaju infrastruktury w znacznym stopniu przyczyni się do roli Polski jako rzeczywistego integratora regionalnego rynku wodoru. </w:t>
      </w:r>
    </w:p>
    <w:p w14:paraId="34B74A7D" w14:textId="55D20C89" w:rsidR="00ED0BAF" w:rsidRDefault="00ED0BAF" w:rsidP="00ED0BAF">
      <w:r>
        <w:t>Jednocześnie w Polsce centra produkcji będą w wielu przypadkach oddalone od miejsc wykorzystywania wodoru, co powoduje potrzebę rozwoju infrastruktury do przesyłu i dystrybucji wodoru, amoniaku lub ich pochodnych</w:t>
      </w:r>
      <w:r w:rsidR="000E5834">
        <w:t xml:space="preserve"> chemicznych</w:t>
      </w:r>
      <w:r>
        <w:t xml:space="preserve">. Istotny jest rozwój zarówno odpowiednich rurociągów, jak i terminali przeładunkowych. </w:t>
      </w:r>
      <w:r w:rsidR="0065263C">
        <w:t xml:space="preserve">Częściowo dla potrzeb wodoru będzie </w:t>
      </w:r>
      <w:r w:rsidR="00906E37">
        <w:t>mogła</w:t>
      </w:r>
      <w:r w:rsidR="0065263C">
        <w:t xml:space="preserve"> być wykorzystana infrastruktura gazu ziemnego.</w:t>
      </w:r>
    </w:p>
    <w:p w14:paraId="0E6324F7" w14:textId="77B1159D" w:rsidR="00F22CB2" w:rsidRDefault="00ED0BAF" w:rsidP="00ED0BAF">
      <w:pPr>
        <w:pStyle w:val="Cele"/>
        <w:rPr>
          <w:b/>
          <w:bCs/>
        </w:rPr>
      </w:pPr>
      <w:r w:rsidRPr="006A6B41">
        <w:t xml:space="preserve">Celem podejmowanych działań jest </w:t>
      </w:r>
      <w:r w:rsidRPr="00ED0BAF">
        <w:rPr>
          <w:b/>
          <w:bCs/>
        </w:rPr>
        <w:t>zapewnienie budowy i rozwoju bezpieczeństwa infrastruktury do transportu wodoru lub jego pochodnych chemicznych</w:t>
      </w:r>
      <w:r w:rsidR="00F509D4">
        <w:rPr>
          <w:b/>
          <w:bCs/>
        </w:rPr>
        <w:t>,</w:t>
      </w:r>
      <w:r w:rsidRPr="00ED0BAF">
        <w:rPr>
          <w:b/>
          <w:bCs/>
        </w:rPr>
        <w:t xml:space="preserve"> pozwalającej na pokrycie bieżącego i</w:t>
      </w:r>
      <w:r w:rsidR="000E5834">
        <w:rPr>
          <w:b/>
          <w:bCs/>
        </w:rPr>
        <w:t xml:space="preserve"> </w:t>
      </w:r>
      <w:r w:rsidRPr="00ED0BAF">
        <w:rPr>
          <w:b/>
          <w:bCs/>
        </w:rPr>
        <w:t xml:space="preserve">perspektywicznego zapotrzebowania </w:t>
      </w:r>
      <w:r w:rsidR="006A6B41">
        <w:rPr>
          <w:b/>
          <w:bCs/>
        </w:rPr>
        <w:br/>
      </w:r>
      <w:r w:rsidRPr="006A6B41">
        <w:t>na te nośniki energii i</w:t>
      </w:r>
      <w:r w:rsidR="000E5834">
        <w:t xml:space="preserve"> </w:t>
      </w:r>
      <w:r w:rsidRPr="006A6B41">
        <w:t>surowce.</w:t>
      </w:r>
      <w:r w:rsidRPr="00ED0BAF">
        <w:rPr>
          <w:b/>
          <w:bCs/>
        </w:rPr>
        <w:t xml:space="preserve">  </w:t>
      </w:r>
    </w:p>
    <w:p w14:paraId="3388B069" w14:textId="6DAB4F10" w:rsidR="00ED0BAF" w:rsidRDefault="00ED0BAF" w:rsidP="00ED0BAF">
      <w:pPr>
        <w:pStyle w:val="Polityka"/>
      </w:pPr>
      <w:r>
        <w:t>POLITYKA</w:t>
      </w:r>
    </w:p>
    <w:p w14:paraId="5434C91C" w14:textId="5F972A42" w:rsidR="00ED0BAF" w:rsidRDefault="00ED0BAF" w:rsidP="00ED0BAF">
      <w:r w:rsidRPr="00ED0BAF">
        <w:t xml:space="preserve">Dla </w:t>
      </w:r>
      <w:r>
        <w:t xml:space="preserve">zapewniania </w:t>
      </w:r>
      <w:r w:rsidRPr="00ED0BAF">
        <w:t xml:space="preserve">rozwoju infrastruktury do transportu wodoru </w:t>
      </w:r>
      <w:r w:rsidRPr="009D40C4">
        <w:rPr>
          <w:b/>
          <w:bCs/>
        </w:rPr>
        <w:t>zostaną opracowane przepisy</w:t>
      </w:r>
      <w:r w:rsidRPr="00ED0BAF">
        <w:t xml:space="preserve"> określające zasady funkcjonowania rynku wodoru, sieci wodorowych oraz przesyłu i dystrybucji. Jednocześnie w</w:t>
      </w:r>
      <w:r>
        <w:t> </w:t>
      </w:r>
      <w:r w:rsidRPr="00ED0BAF">
        <w:t xml:space="preserve">ramach aktualizacji </w:t>
      </w:r>
      <w:r w:rsidR="00574F08" w:rsidRPr="00574F08">
        <w:rPr>
          <w:i/>
          <w:iCs/>
        </w:rPr>
        <w:t>Polskiej Strategii Wodorowej do roku 2030 z perspektywą do roku 2040</w:t>
      </w:r>
      <w:r w:rsidR="00574F08">
        <w:rPr>
          <w:b/>
          <w:bCs/>
          <w:i/>
          <w:iCs/>
        </w:rPr>
        <w:t xml:space="preserve"> </w:t>
      </w:r>
      <w:r w:rsidRPr="00ED0BAF">
        <w:t>określi się kluczowe z punktu widzenia gospodarki wodorowej przedsięwzięcia związane z infrastrukturą wodorową bądź infrastrukturą do przesyłu amoniaku</w:t>
      </w:r>
      <w:r>
        <w:t>.</w:t>
      </w:r>
      <w:r w:rsidR="009D40C4">
        <w:t xml:space="preserve"> W</w:t>
      </w:r>
      <w:r w:rsidR="000E5834">
        <w:t xml:space="preserve"> </w:t>
      </w:r>
      <w:r w:rsidR="009D40C4">
        <w:t xml:space="preserve">szczególności regulacje będą stanowić implementację tzw. III pakietu gazowego (w ustawie – </w:t>
      </w:r>
      <w:r w:rsidR="009D40C4" w:rsidRPr="00E75BB8">
        <w:rPr>
          <w:i/>
          <w:iCs/>
        </w:rPr>
        <w:t>Prawo energetyczne</w:t>
      </w:r>
      <w:r w:rsidR="009D40C4">
        <w:t>); określone zostanie rozporządzenie w sprawie warunków</w:t>
      </w:r>
      <w:r w:rsidR="009D40C4" w:rsidRPr="009D40C4">
        <w:t xml:space="preserve"> technicznych i usytuowania stacji tankowania wodoru</w:t>
      </w:r>
      <w:r w:rsidR="009D40C4">
        <w:t xml:space="preserve"> oraz rozporządzenie </w:t>
      </w:r>
      <w:r w:rsidR="009D40C4" w:rsidRPr="009D40C4">
        <w:t>w</w:t>
      </w:r>
      <w:r w:rsidR="00574F08">
        <w:t> </w:t>
      </w:r>
      <w:r w:rsidR="009D40C4" w:rsidRPr="009D40C4">
        <w:t>sprawie warunków technicznych i usytuowania dla sieci wodorowych, instalacji magazynowania wodoru i dla instalacji towarzyszących</w:t>
      </w:r>
      <w:r w:rsidR="009D40C4">
        <w:t xml:space="preserve"> (oba rozporządzenia wykonawcze do ustawy – </w:t>
      </w:r>
      <w:r w:rsidR="009D40C4" w:rsidRPr="00E75BB8">
        <w:rPr>
          <w:i/>
          <w:iCs/>
        </w:rPr>
        <w:t>Prawo budowlane</w:t>
      </w:r>
      <w:r w:rsidR="009D40C4">
        <w:t>).</w:t>
      </w:r>
    </w:p>
    <w:p w14:paraId="5CA2DA19" w14:textId="5D6D137E" w:rsidR="0084678D" w:rsidRDefault="00D046A3" w:rsidP="00ED0BAF">
      <w:r>
        <w:t xml:space="preserve">Polska będzie także </w:t>
      </w:r>
      <w:r w:rsidRPr="006A6B41">
        <w:rPr>
          <w:b/>
          <w:bCs/>
        </w:rPr>
        <w:t xml:space="preserve">wspierać </w:t>
      </w:r>
      <w:r w:rsidR="000E5834">
        <w:rPr>
          <w:b/>
          <w:bCs/>
        </w:rPr>
        <w:t xml:space="preserve">także </w:t>
      </w:r>
      <w:r w:rsidRPr="006A6B41">
        <w:rPr>
          <w:b/>
          <w:bCs/>
        </w:rPr>
        <w:t>inicjatywę polegającą na budowie Nordycko-Bałtyckiego Korytarza Wodorowego</w:t>
      </w:r>
      <w:r w:rsidR="006A6B41" w:rsidRPr="00D84831">
        <w:t xml:space="preserve">, </w:t>
      </w:r>
      <w:r w:rsidR="00D84831" w:rsidRPr="00D84831">
        <w:t xml:space="preserve">o potencjalnym przebiegu </w:t>
      </w:r>
      <w:r w:rsidR="006A6B41">
        <w:t xml:space="preserve">od </w:t>
      </w:r>
      <w:r w:rsidR="006A6B41" w:rsidRPr="006A6B41">
        <w:t>Finlandii</w:t>
      </w:r>
      <w:r w:rsidR="006A6B41">
        <w:t xml:space="preserve">, przez </w:t>
      </w:r>
      <w:r w:rsidR="00266F38">
        <w:t>kraje</w:t>
      </w:r>
      <w:r w:rsidR="00D84831">
        <w:t xml:space="preserve"> bałtyckie, przez Polskę po Niemcy,</w:t>
      </w:r>
      <w:r>
        <w:t xml:space="preserve"> oraz innej infrastruktury do transgranicznego przesyłu wodoru</w:t>
      </w:r>
      <w:r w:rsidR="0084678D">
        <w:t>. Tego typu działania pozwalają na realną weryfikację potencjału importowego, a także zapewniają możliwość szerszej wymiany wiedzy w</w:t>
      </w:r>
      <w:r w:rsidR="00574F08">
        <w:t> </w:t>
      </w:r>
      <w:r w:rsidR="0084678D">
        <w:t>kontekście efektywnego transportu i magazynowania wodoru.</w:t>
      </w:r>
    </w:p>
    <w:p w14:paraId="1266DB7C" w14:textId="4A186A10" w:rsidR="00ED0BAF" w:rsidRDefault="00ED0BAF" w:rsidP="0084678D">
      <w:pPr>
        <w:pStyle w:val="Polityka"/>
      </w:pPr>
      <w:r w:rsidRPr="0084678D">
        <w:t>DZIAŁANIA</w:t>
      </w:r>
    </w:p>
    <w:p w14:paraId="74C8DD0F" w14:textId="67FD07AF" w:rsidR="00452BC5" w:rsidRDefault="00452BC5" w:rsidP="00612B5D">
      <w:pPr>
        <w:pStyle w:val="Akapitzlist"/>
        <w:numPr>
          <w:ilvl w:val="0"/>
          <w:numId w:val="31"/>
        </w:numPr>
      </w:pPr>
      <w:r>
        <w:fldChar w:fldCharType="begin"/>
      </w:r>
      <w:r>
        <w:instrText xml:space="preserve"> REF _Ref159179475 \h </w:instrText>
      </w:r>
      <w:r>
        <w:fldChar w:fldCharType="separate"/>
      </w:r>
      <w:r w:rsidR="00DD3929" w:rsidRPr="00A74EF3">
        <w:t xml:space="preserve">Działanie </w:t>
      </w:r>
      <w:r w:rsidR="00DD3929">
        <w:rPr>
          <w:noProof/>
        </w:rPr>
        <w:t>111</w:t>
      </w:r>
      <w:r w:rsidR="00DD3929" w:rsidRPr="00A74EF3">
        <w:t>. Określenie ram prawnych dla rozwoju infrastruktury do transportu wodoru.</w:t>
      </w:r>
      <w:r>
        <w:fldChar w:fldCharType="end"/>
      </w:r>
    </w:p>
    <w:p w14:paraId="454A6933" w14:textId="672138BE" w:rsidR="00452BC5" w:rsidRDefault="00452BC5" w:rsidP="00612B5D">
      <w:pPr>
        <w:pStyle w:val="Akapitzlist"/>
        <w:numPr>
          <w:ilvl w:val="0"/>
          <w:numId w:val="31"/>
        </w:numPr>
      </w:pPr>
      <w:r>
        <w:fldChar w:fldCharType="begin"/>
      </w:r>
      <w:r>
        <w:instrText xml:space="preserve"> REF _Ref157429352 \h </w:instrText>
      </w:r>
      <w:r>
        <w:fldChar w:fldCharType="separate"/>
      </w:r>
      <w:r w:rsidR="00DD3929" w:rsidRPr="00F12C9E">
        <w:t xml:space="preserve">Działanie </w:t>
      </w:r>
      <w:r w:rsidR="00DD3929">
        <w:rPr>
          <w:noProof/>
        </w:rPr>
        <w:t>112</w:t>
      </w:r>
      <w:r w:rsidR="00DD3929" w:rsidRPr="00F12C9E">
        <w:t>. Rozwój infrastruktury wodorowej.</w:t>
      </w:r>
      <w:r>
        <w:fldChar w:fldCharType="end"/>
      </w:r>
    </w:p>
    <w:p w14:paraId="6D49AA90" w14:textId="12AF27D0" w:rsidR="00452BC5" w:rsidRDefault="00452BC5" w:rsidP="00612B5D">
      <w:pPr>
        <w:pStyle w:val="Akapitzlist"/>
        <w:numPr>
          <w:ilvl w:val="0"/>
          <w:numId w:val="31"/>
        </w:numPr>
      </w:pPr>
      <w:r>
        <w:fldChar w:fldCharType="begin"/>
      </w:r>
      <w:r>
        <w:instrText xml:space="preserve"> REF _Ref159312851 \h </w:instrText>
      </w:r>
      <w:r>
        <w:fldChar w:fldCharType="separate"/>
      </w:r>
      <w:r w:rsidR="00DD3929">
        <w:t xml:space="preserve">Działanie </w:t>
      </w:r>
      <w:r w:rsidR="00DD3929">
        <w:rPr>
          <w:noProof/>
        </w:rPr>
        <w:t>113</w:t>
      </w:r>
      <w:r w:rsidR="00DD3929">
        <w:t xml:space="preserve">. </w:t>
      </w:r>
      <w:r w:rsidR="00DD3929" w:rsidRPr="0084678D">
        <w:t>Wsparcie dla realizacji Nordycko-Bałtyckiego Korytarza Wodorowego oraz innej infrastruktury do przesyłu wodoru o charakterze transgranicznym</w:t>
      </w:r>
      <w:r w:rsidR="00DD3929">
        <w:t>.</w:t>
      </w:r>
      <w:r>
        <w:fldChar w:fldCharType="end"/>
      </w:r>
    </w:p>
    <w:p w14:paraId="389F4C12" w14:textId="77777777" w:rsidR="00F22CB2" w:rsidRDefault="00F22CB2" w:rsidP="00F22CB2">
      <w:pPr>
        <w:pStyle w:val="Nagwek4"/>
        <w:rPr>
          <w:color w:val="C00000"/>
        </w:rPr>
      </w:pPr>
      <w:bookmarkStart w:id="195" w:name="_Toc159598330"/>
      <w:bookmarkStart w:id="196" w:name="_Toc179536981"/>
      <w:r w:rsidRPr="00F22CB2">
        <w:rPr>
          <w:color w:val="C00000"/>
        </w:rPr>
        <w:t>Rozwój infrastruktury do magazynowania wodoru</w:t>
      </w:r>
      <w:bookmarkEnd w:id="195"/>
      <w:bookmarkEnd w:id="196"/>
    </w:p>
    <w:p w14:paraId="06E5B06F" w14:textId="405D44F9" w:rsidR="00D046A3" w:rsidRDefault="006A2F2E" w:rsidP="00D046A3">
      <w:bookmarkStart w:id="197" w:name="_Hlk159939535"/>
      <w:r>
        <w:t>Wodór odnawialny może być elementem stabilizującym działanie sieci energetycznej, ponieważ</w:t>
      </w:r>
      <w:bookmarkEnd w:id="197"/>
      <w:r w:rsidR="005015D7" w:rsidRPr="005015D7">
        <w:t xml:space="preserve"> </w:t>
      </w:r>
      <w:r w:rsidR="005015D7">
        <w:t>można go magazynować i w razie potrzeby przekształcać w energię elektryczną za pomocą ogniw paliwowych</w:t>
      </w:r>
      <w:r>
        <w:t xml:space="preserve">. </w:t>
      </w:r>
      <w:r w:rsidR="00D046A3">
        <w:t xml:space="preserve">Dlatego tak ważny jest rozwój infrastruktury do jego magazynowania, która może odbywać się zarówno pod ziemią, jak i w zbiornikach naziemnych. Według </w:t>
      </w:r>
      <w:r w:rsidR="00D046A3" w:rsidRPr="00D046A3">
        <w:rPr>
          <w:i/>
          <w:iCs/>
        </w:rPr>
        <w:t>Polskiej Strategii Wodorowej do roku 2030 z perspektywą do roku 2040 (PSW)</w:t>
      </w:r>
      <w:r w:rsidR="00D046A3">
        <w:t xml:space="preserve"> pośród potencjalnych podziemnych magazynów wodoru, takich jak wyeksploatowane </w:t>
      </w:r>
      <w:r w:rsidR="00906E37">
        <w:t>złoża</w:t>
      </w:r>
      <w:r w:rsidR="00D046A3">
        <w:t xml:space="preserve"> naftowe i </w:t>
      </w:r>
      <w:r w:rsidR="007E5473">
        <w:t>gazowe czy warstwy wodonośne</w:t>
      </w:r>
      <w:r w:rsidR="00D046A3">
        <w:t xml:space="preserve">, za optymalne rozwiązanie ze strony ekonomicznej, jak również pod względem specyfiki wodoru uznano </w:t>
      </w:r>
      <w:r w:rsidR="00D046A3" w:rsidRPr="00D046A3">
        <w:rPr>
          <w:b/>
          <w:bCs/>
        </w:rPr>
        <w:t>kawerny solne</w:t>
      </w:r>
      <w:r w:rsidR="00D046A3">
        <w:t xml:space="preserve">. </w:t>
      </w:r>
    </w:p>
    <w:p w14:paraId="34AE4A12" w14:textId="552BCC3D" w:rsidR="00D046A3" w:rsidRDefault="00C403C9" w:rsidP="00D046A3">
      <w:r>
        <w:t xml:space="preserve">Ze względu na dostępność kawern solnych potencjał ich wykorzystanie w Polsce do magazynowania wodoru jest stosunkowo duża. </w:t>
      </w:r>
    </w:p>
    <w:p w14:paraId="5B0C2A5C" w14:textId="729BE4D8" w:rsidR="00F22CB2" w:rsidRDefault="00D046A3" w:rsidP="00D046A3">
      <w:r>
        <w:t>Z kolei przechowywanie wodoru w naziemnych zbiornikach może okazać się konieczne, gdy technologie wodorowe zaczną być wdrażane na masową skalę, a wzrost zapotrzebowania i liczby odbiorców spowoduje konieczność budowy dużych zbiorników buforowych.</w:t>
      </w:r>
    </w:p>
    <w:p w14:paraId="368F589E" w14:textId="4FEFE227" w:rsidR="00ED0BAF" w:rsidRDefault="00ED0BAF" w:rsidP="00ED0BAF">
      <w:pPr>
        <w:pStyle w:val="Polityka"/>
      </w:pPr>
      <w:r>
        <w:t>POLITYKA</w:t>
      </w:r>
    </w:p>
    <w:p w14:paraId="3550598D" w14:textId="7FD58EE1" w:rsidR="00ED0BAF" w:rsidRDefault="009B0AC8" w:rsidP="00ED0BAF">
      <w:r>
        <w:t xml:space="preserve">Mając na względzie znaczenie wodoru dla przeprowadzenia transformacji energetycznej w bezpieczny sposób oraz uwzględniając unijne cele klimatyczne, za niezwykle ważne uznaje się rozpoznanie możliwości magazynowania tego gazu. Z tego względu </w:t>
      </w:r>
      <w:r w:rsidRPr="004E0F45">
        <w:rPr>
          <w:b/>
          <w:bCs/>
        </w:rPr>
        <w:t>opracowany zostanie dokument, który określi stan wiedzy w zakresie podziemnego magazynowania wodoru</w:t>
      </w:r>
      <w:r w:rsidRPr="009B0AC8">
        <w:t>, wytypowania pokładowych i wysadowych złóż soli kamiennej w Polsce do podziemnego magazynowania wodoru czy wskazania technologii mających zastosowanie w budowie i użytkowaniu podziemnego magazynu wodoru w kawernach solnych w</w:t>
      </w:r>
      <w:r w:rsidR="00BF36A3">
        <w:t> </w:t>
      </w:r>
      <w:r w:rsidRPr="009B0AC8">
        <w:t>warunkach polskich</w:t>
      </w:r>
      <w:r w:rsidR="00BF36A3">
        <w:t xml:space="preserve">. Istotne znaczenie dla rozpoznania potencjału może mieć również udział w inicjatywach międzynarodowych, które wpłyną na poszerzenie wiedzy dotyczącej gospodarowania wodorowej. </w:t>
      </w:r>
    </w:p>
    <w:p w14:paraId="7FAE22DA" w14:textId="39596BF5" w:rsidR="00ED0BAF" w:rsidRDefault="00ED0BAF" w:rsidP="00ED0BAF">
      <w:pPr>
        <w:pStyle w:val="Polityka"/>
      </w:pPr>
      <w:r>
        <w:t>DZIAŁANIA</w:t>
      </w:r>
    </w:p>
    <w:p w14:paraId="1941C2B2" w14:textId="5A2C46E1" w:rsidR="00A77BF2" w:rsidRDefault="00A77BF2" w:rsidP="001D4BA5">
      <w:pPr>
        <w:pStyle w:val="Akapitzlist"/>
        <w:numPr>
          <w:ilvl w:val="0"/>
          <w:numId w:val="24"/>
        </w:numPr>
      </w:pPr>
      <w:r>
        <w:fldChar w:fldCharType="begin"/>
      </w:r>
      <w:r>
        <w:instrText xml:space="preserve"> REF _Ref159179475 \h </w:instrText>
      </w:r>
      <w:r>
        <w:fldChar w:fldCharType="separate"/>
      </w:r>
      <w:r w:rsidR="00DD3929" w:rsidRPr="00A74EF3">
        <w:t xml:space="preserve">Działanie </w:t>
      </w:r>
      <w:r w:rsidR="00DD3929">
        <w:rPr>
          <w:noProof/>
        </w:rPr>
        <w:t>111</w:t>
      </w:r>
      <w:r w:rsidR="00DD3929" w:rsidRPr="00A74EF3">
        <w:t>. Określenie ram prawnych dla rozwoju infrastruktury do transportu wodoru.</w:t>
      </w:r>
      <w:r>
        <w:fldChar w:fldCharType="end"/>
      </w:r>
    </w:p>
    <w:p w14:paraId="002CA430" w14:textId="16928793" w:rsidR="00A77BF2" w:rsidRDefault="00A77BF2" w:rsidP="001D4BA5">
      <w:pPr>
        <w:pStyle w:val="Akapitzlist"/>
        <w:numPr>
          <w:ilvl w:val="0"/>
          <w:numId w:val="24"/>
        </w:numPr>
      </w:pPr>
      <w:r>
        <w:fldChar w:fldCharType="begin"/>
      </w:r>
      <w:r>
        <w:instrText xml:space="preserve"> REF _Ref159312851 \h </w:instrText>
      </w:r>
      <w:r>
        <w:fldChar w:fldCharType="separate"/>
      </w:r>
      <w:r w:rsidR="00DD3929">
        <w:t xml:space="preserve">Działanie </w:t>
      </w:r>
      <w:r w:rsidR="00DD3929">
        <w:rPr>
          <w:noProof/>
        </w:rPr>
        <w:t>113</w:t>
      </w:r>
      <w:r w:rsidR="00DD3929">
        <w:t xml:space="preserve">. </w:t>
      </w:r>
      <w:r w:rsidR="00DD3929" w:rsidRPr="0084678D">
        <w:t>Wsparcie dla realizacji Nordycko-Bałtyckiego Korytarza Wodorowego oraz innej infrastruktury do przesyłu wodoru o charakterze transgranicznym</w:t>
      </w:r>
      <w:r w:rsidR="00DD3929">
        <w:t>.</w:t>
      </w:r>
      <w:r>
        <w:fldChar w:fldCharType="end"/>
      </w:r>
    </w:p>
    <w:p w14:paraId="36263C8F" w14:textId="7AFCC4D9" w:rsidR="00A77BF2" w:rsidRDefault="00A77BF2" w:rsidP="001D4BA5">
      <w:pPr>
        <w:pStyle w:val="Akapitzlist"/>
        <w:numPr>
          <w:ilvl w:val="0"/>
          <w:numId w:val="24"/>
        </w:numPr>
      </w:pPr>
      <w:r>
        <w:fldChar w:fldCharType="begin"/>
      </w:r>
      <w:r>
        <w:instrText xml:space="preserve"> REF _Ref159316111 \h </w:instrText>
      </w:r>
      <w:r>
        <w:fldChar w:fldCharType="separate"/>
      </w:r>
      <w:r w:rsidR="00DD3929">
        <w:t xml:space="preserve">Działanie </w:t>
      </w:r>
      <w:r w:rsidR="00DD3929">
        <w:rPr>
          <w:noProof/>
        </w:rPr>
        <w:t>114</w:t>
      </w:r>
      <w:r w:rsidR="00DD3929">
        <w:t xml:space="preserve">. </w:t>
      </w:r>
      <w:r w:rsidR="00DD3929" w:rsidRPr="0084678D">
        <w:t>Wsparcie dla realizacji „Programu rozwoju magazynowania wodoru w</w:t>
      </w:r>
      <w:r w:rsidR="00DD3929">
        <w:t> </w:t>
      </w:r>
      <w:r w:rsidR="00DD3929" w:rsidRPr="0084678D">
        <w:t>kawernach solnych dla wzmocnienia krytycznej infrastruktury Polski”</w:t>
      </w:r>
      <w:r w:rsidR="00DD3929">
        <w:t>.</w:t>
      </w:r>
      <w:r>
        <w:fldChar w:fldCharType="end"/>
      </w:r>
    </w:p>
    <w:p w14:paraId="05A19D59" w14:textId="0E167D11" w:rsidR="00471A6A" w:rsidRPr="00925327" w:rsidRDefault="00471A6A" w:rsidP="00471A6A">
      <w:pPr>
        <w:pStyle w:val="Nagwek3"/>
        <w:rPr>
          <w:color w:val="C00000"/>
        </w:rPr>
      </w:pPr>
      <w:bookmarkStart w:id="198" w:name="_Toc159598331"/>
      <w:bookmarkStart w:id="199" w:name="_Toc179536982"/>
      <w:r>
        <w:rPr>
          <w:color w:val="C00000"/>
        </w:rPr>
        <w:t>P</w:t>
      </w:r>
      <w:r w:rsidR="008A46D0">
        <w:rPr>
          <w:color w:val="C00000"/>
        </w:rPr>
        <w:t>okrycie</w:t>
      </w:r>
      <w:r>
        <w:rPr>
          <w:color w:val="C00000"/>
        </w:rPr>
        <w:t xml:space="preserve"> zapotrzebowania na energię</w:t>
      </w:r>
      <w:r w:rsidR="008A46D0">
        <w:rPr>
          <w:color w:val="C00000"/>
        </w:rPr>
        <w:t> </w:t>
      </w:r>
      <w:r w:rsidRPr="00925327">
        <w:rPr>
          <w:color w:val="C00000"/>
        </w:rPr>
        <w:t>elektr</w:t>
      </w:r>
      <w:r w:rsidR="00013573">
        <w:rPr>
          <w:color w:val="C00000"/>
        </w:rPr>
        <w:t>yczną</w:t>
      </w:r>
      <w:bookmarkEnd w:id="198"/>
      <w:bookmarkEnd w:id="199"/>
    </w:p>
    <w:p w14:paraId="2C69D858" w14:textId="0C471A74" w:rsidR="008173D7" w:rsidRDefault="008173D7" w:rsidP="008173D7">
      <w:r>
        <w:t xml:space="preserve">Pokrycie zapotrzebowania na energię elektryczną warunkuje funkcjonowanie gospodarki, a w odmiennie w stosunku do paliw, jej magazynowanie ma ograniczony charakter, dlatego bezpieczeństwo elektroenergetyczne wydaje się </w:t>
      </w:r>
      <w:r w:rsidR="008B58DE">
        <w:t xml:space="preserve">najbardziej wrażliwym elementem </w:t>
      </w:r>
      <w:r>
        <w:t xml:space="preserve">bezpieczeństwa energetycznego. </w:t>
      </w:r>
    </w:p>
    <w:p w14:paraId="739D79CA" w14:textId="1ECE82E6" w:rsidR="008173D7" w:rsidRDefault="008173D7" w:rsidP="008173D7">
      <w:r>
        <w:t xml:space="preserve">Na pewność dostaw energii elektrycznej składa się wiele elementów. Pierwszym jest zapewnienie surowców do wytwarzania energii, o czym mowa na wcześniejszych stronach tego dokumentu. Następnie pewność wytwarzania energii – w tym obszarze nastąpiła istotna zmiana w ostatniej dekadzie, ze względu na sukcesywny przyrost mocy OZE zależnych od warunków atmosferycznych. Paradygmat wystarczającej ilości mocy dyspozycyjnych (dotychczas moce węglowe) musiał zostać uzupełniony o konieczność zapewnienia części mocy elastycznych (takich jak moce gazowe), jak również innych rozwiązań umożliwiających pokrycie zapotrzebowania na moc. Kolejnym komponentem bezpieczeństwa elektroenergetycznego jest odpowiednio rozbudowana i właściwie zarządzana infrastruktura przesyłowa i dystrybucyjna. </w:t>
      </w:r>
      <w:r w:rsidR="008B58DE" w:rsidRPr="00F268EE">
        <w:t>Coraz częstsze sytuacje wymagające interwencji wymagają odpowiedniego przygotowania oraz opracowania rozwiązań, które zredukują ich skutki</w:t>
      </w:r>
      <w:r w:rsidR="008B58DE">
        <w:t>.</w:t>
      </w:r>
      <w:r>
        <w:t xml:space="preserve"> </w:t>
      </w:r>
    </w:p>
    <w:p w14:paraId="7B5621B5" w14:textId="1DD9F9D4" w:rsidR="008173D7" w:rsidRPr="00901681" w:rsidRDefault="008173D7" w:rsidP="008173D7">
      <w:r>
        <w:t xml:space="preserve">Wszystkie wymienione powyżej elementy zostały ujęte poniżej w formie celów. Część zagadnień związanych z infrastrukturą elektroenergetyczną i pewnością pokrycia zapotrzebowania na energię elektryczną w tym kontekście zostały omówione również w 4. wymiarze, w </w:t>
      </w:r>
      <w:r w:rsidR="004E0F45">
        <w:fldChar w:fldCharType="begin"/>
      </w:r>
      <w:r w:rsidR="004E0F45">
        <w:instrText xml:space="preserve"> REF _Ref173842061 \n \h </w:instrText>
      </w:r>
      <w:r w:rsidR="004E0F45">
        <w:fldChar w:fldCharType="separate"/>
      </w:r>
      <w:r w:rsidR="00DD3929">
        <w:t>Obszar 4.1</w:t>
      </w:r>
      <w:r w:rsidR="004E0F45">
        <w:fldChar w:fldCharType="end"/>
      </w:r>
      <w:r>
        <w:t xml:space="preserve">. </w:t>
      </w:r>
      <w:r w:rsidR="00134BE3">
        <w:t>Przy czym z</w:t>
      </w:r>
      <w:r>
        <w:t xml:space="preserve">agadnienia związane z redukcją emisji GC z sektora oraz rozwoju OZE w sektorze zostały omówione </w:t>
      </w:r>
      <w:r w:rsidR="00C44E99">
        <w:t>w</w:t>
      </w:r>
      <w:r w:rsidR="00134BE3">
        <w:t> </w:t>
      </w:r>
      <w:r w:rsidR="001B6DBE">
        <w:t>części</w:t>
      </w:r>
      <w:r w:rsidR="00901681">
        <w:t xml:space="preserve"> </w:t>
      </w:r>
      <w:r w:rsidR="00AD258A">
        <w:fldChar w:fldCharType="begin"/>
      </w:r>
      <w:r w:rsidR="00AD258A">
        <w:instrText xml:space="preserve"> REF _Ref158105628 \r \h </w:instrText>
      </w:r>
      <w:r w:rsidR="00AD258A">
        <w:fldChar w:fldCharType="separate"/>
      </w:r>
      <w:r w:rsidR="00DD3929">
        <w:t>Cel. 1.2.1</w:t>
      </w:r>
      <w:r w:rsidR="00AD258A">
        <w:fldChar w:fldCharType="end"/>
      </w:r>
      <w:r w:rsidRPr="00A37F97">
        <w:rPr>
          <w:i/>
          <w:iCs/>
        </w:rPr>
        <w:t>.</w:t>
      </w:r>
      <w:r w:rsidR="00AD258A" w:rsidRPr="00AD258A">
        <w:t xml:space="preserve"> </w:t>
      </w:r>
      <w:r w:rsidR="00901681" w:rsidRPr="00901681">
        <w:t xml:space="preserve">Na </w:t>
      </w:r>
      <w:r w:rsidR="00901681">
        <w:t xml:space="preserve">końcu rozdziału przedstawiono strukturę mocy zainstalowanej i produkcji energii eklektycznej w perspektywie 2040 r. </w:t>
      </w:r>
    </w:p>
    <w:p w14:paraId="3258092D" w14:textId="77777777" w:rsidR="008173D7" w:rsidRDefault="008173D7" w:rsidP="008173D7">
      <w:pPr>
        <w:pStyle w:val="Nagwek4"/>
        <w:rPr>
          <w:color w:val="C00000"/>
        </w:rPr>
      </w:pPr>
      <w:bookmarkStart w:id="200" w:name="_Toc159598332"/>
      <w:bookmarkStart w:id="201" w:name="_Toc179536983"/>
      <w:bookmarkStart w:id="202" w:name="_Hlk175150654"/>
      <w:r w:rsidRPr="00925327">
        <w:rPr>
          <w:color w:val="C00000"/>
        </w:rPr>
        <w:t>Zapewnienie wystarczalności mocy</w:t>
      </w:r>
      <w:bookmarkEnd w:id="200"/>
      <w:bookmarkEnd w:id="201"/>
    </w:p>
    <w:p w14:paraId="1224DEFA" w14:textId="77777777" w:rsidR="00134BE3" w:rsidRPr="006464F9" w:rsidRDefault="00134BE3" w:rsidP="00134BE3">
      <w:pPr>
        <w:rPr>
          <w:i/>
          <w:iCs/>
        </w:rPr>
      </w:pPr>
      <w:r w:rsidRPr="006464F9">
        <w:rPr>
          <w:i/>
          <w:iCs/>
        </w:rPr>
        <w:t>Wprowadzenie do celu związanego z zapewnieniem wystarczalności mocy stanowi opis towarzyszący celowi 1.2.1., w którym omówiono cel w zakresie redukcji emisji GC w sektorze elektroenergetycznym w świetle zmian jakie zaszły w sektorze w ostatnich latach.</w:t>
      </w:r>
    </w:p>
    <w:p w14:paraId="2B8ADEAF" w14:textId="0CBE4751" w:rsidR="00134BE3" w:rsidRDefault="00134BE3" w:rsidP="00134BE3">
      <w:r>
        <w:t xml:space="preserve">Przyrost wykorzystania energii z OZE jest niezwykle potrzebny w kontekście dekarbonizacji sektora elektroenergetycznego, ale najtańsze, najpopularniejsze i </w:t>
      </w:r>
      <w:r w:rsidR="008B58DE">
        <w:t xml:space="preserve">niemal </w:t>
      </w:r>
      <w:r>
        <w:t xml:space="preserve">nieposiadające kosztów zmiennych OZE, oparte o energię słońca i wiatru nie mogą być uwzględniane jako źródła gwarantujące pewność dostaw. </w:t>
      </w:r>
      <w:r w:rsidR="00800FF6">
        <w:t xml:space="preserve">Zasadny jest równoległy rozwój </w:t>
      </w:r>
      <w:r w:rsidR="00800FF6" w:rsidRPr="00C32083">
        <w:t>stabilnych i sterowalnych jednostek wytwórczych OZE niezależnych pogodowo</w:t>
      </w:r>
      <w:r w:rsidR="00800FF6">
        <w:t xml:space="preserve">, przy jednoczesnym </w:t>
      </w:r>
      <w:r w:rsidR="00800FF6" w:rsidRPr="00C32083">
        <w:t>prom</w:t>
      </w:r>
      <w:r w:rsidR="00800FF6">
        <w:t xml:space="preserve">owaniu rozwiązań ukierunkowanych na </w:t>
      </w:r>
      <w:r w:rsidR="00800FF6" w:rsidRPr="00C32083">
        <w:t>bieżącą i lokalną autokonsumpcję energii</w:t>
      </w:r>
      <w:r w:rsidR="00906E37">
        <w:t>, takich jak różnego rodzaju magazyny energii</w:t>
      </w:r>
      <w:r w:rsidR="00800FF6" w:rsidRPr="00C32083">
        <w:t>.</w:t>
      </w:r>
    </w:p>
    <w:p w14:paraId="098DAC74" w14:textId="77777777" w:rsidR="00134BE3" w:rsidRDefault="00134BE3" w:rsidP="00134BE3">
      <w:r w:rsidRPr="006464F9">
        <w:rPr>
          <w:b/>
          <w:bCs/>
        </w:rPr>
        <w:t>Jednostki węglowe</w:t>
      </w:r>
      <w:r>
        <w:t>, stanowiące przez dekady podstawę produkcji energii elektrycznej w Polsce, w ostatnich latach zmieniają swoją rolę w kierunku uzupełniania dobowego bilansu elektroenergetycznego – ponad to, co wytwarzają OZE zależne od warunków atmosferycznych. Sukcesywnie jednostki te są odstawiane, z uwzględnieniem potrzeb systemu w zakresie ilości mocy dyspozycyjnych w systemie.</w:t>
      </w:r>
    </w:p>
    <w:p w14:paraId="1B1D9F8E" w14:textId="23DB4E3B" w:rsidR="00134BE3" w:rsidRDefault="00134BE3" w:rsidP="00134BE3">
      <w:r>
        <w:t xml:space="preserve">W celu zapewnienia wystarczalności mocy, a jednocześnie zapewnienia większej elastyczności systemu, w ostatnich latach powstało </w:t>
      </w:r>
      <w:r w:rsidRPr="00134BE3">
        <w:t>ok. 2 GW</w:t>
      </w:r>
      <w:r>
        <w:t xml:space="preserve"> nowych </w:t>
      </w:r>
      <w:r w:rsidRPr="006464F9">
        <w:rPr>
          <w:b/>
          <w:bCs/>
        </w:rPr>
        <w:t>mocy gazowych</w:t>
      </w:r>
      <w:r>
        <w:t>, a do ok. 4,4 GW kolejnych mocy gazowych może powstać w wyniku realizacji kontraktów zawartych w dotychczasowych aukcjach mocy. W wyniku kryzysu energetycznego w 2021 i 2022 r., niektóre z</w:t>
      </w:r>
      <w:r w:rsidR="00F465EE">
        <w:t xml:space="preserve"> </w:t>
      </w:r>
      <w:r>
        <w:t>planowanych wcześniej projektów został</w:t>
      </w:r>
      <w:r w:rsidR="007824B3">
        <w:t>y</w:t>
      </w:r>
      <w:r>
        <w:t xml:space="preserve"> poddan</w:t>
      </w:r>
      <w:r w:rsidR="007824B3">
        <w:t>e</w:t>
      </w:r>
      <w:r>
        <w:t xml:space="preserve"> ponownej analizie, a jednocześnie podejmowane są decyzje inwestycyjne oparte o nowe rozwiązania. Jest to widoczne między innymi w zawarciu kontraktów mocowych na ok. 2 GW mocy w</w:t>
      </w:r>
      <w:r w:rsidR="00F465EE">
        <w:t> </w:t>
      </w:r>
      <w:r>
        <w:t>magazynach elektrochemicznych.</w:t>
      </w:r>
    </w:p>
    <w:p w14:paraId="5A7ED404" w14:textId="27E1FFF9" w:rsidR="00134BE3" w:rsidRDefault="00134BE3" w:rsidP="00134BE3">
      <w:r>
        <w:t xml:space="preserve">Aby zapewnić impuls finansowy dla mocy zapewniających wystarczalność mocy od 2021 r. funkcjonuje w Polsce </w:t>
      </w:r>
      <w:r w:rsidRPr="00CA773F">
        <w:rPr>
          <w:b/>
          <w:bCs/>
        </w:rPr>
        <w:t>rynek mocy</w:t>
      </w:r>
      <w:r>
        <w:t>. Mechanizm z jednej strony zachęca istniejące dyspozycyjne jednostki do pozostania na rynku dłużej niż wskazywałby na to rachunek ekonomiczny,</w:t>
      </w:r>
      <w:r w:rsidR="00F465EE" w:rsidRPr="00F465EE">
        <w:t xml:space="preserve"> </w:t>
      </w:r>
      <w:r w:rsidR="00F465EE">
        <w:t>oparty na samym rynku energii elektrycznej,</w:t>
      </w:r>
      <w:r>
        <w:t xml:space="preserve"> jak również stanowi zachętę dla inwestorów do nowych projektów opartych o rozwiązania zapewniające wystarczalność mocy.</w:t>
      </w:r>
    </w:p>
    <w:p w14:paraId="56D6A6C8" w14:textId="453D1A7D" w:rsidR="008173D7" w:rsidRDefault="008173D7" w:rsidP="008173D7">
      <w:r>
        <w:t>Niezwykle ważną rolę w pokrywaniu potrzeb z zakresu wystarczalności mocy będzie mieć</w:t>
      </w:r>
      <w:r w:rsidR="00DE3F08">
        <w:t xml:space="preserve"> </w:t>
      </w:r>
      <w:r w:rsidR="00DE3F08" w:rsidRPr="006464F9">
        <w:rPr>
          <w:b/>
          <w:bCs/>
        </w:rPr>
        <w:t>energetyka jądrowa</w:t>
      </w:r>
      <w:r w:rsidR="00DE3F08" w:rsidRPr="00DE3F08">
        <w:t>, która</w:t>
      </w:r>
      <w:r w:rsidR="00DE3F08">
        <w:rPr>
          <w:b/>
          <w:bCs/>
        </w:rPr>
        <w:t xml:space="preserve"> </w:t>
      </w:r>
      <w:r w:rsidR="00DE3F08">
        <w:t>zostanie wdrożona do KSE po 2030 r. Wpłynie to</w:t>
      </w:r>
      <w:r>
        <w:t xml:space="preserve"> pozytywnie nie tylko na bilans mocy, ale również na spadek emisyjności z sektora elektroenergetycznego.</w:t>
      </w:r>
    </w:p>
    <w:p w14:paraId="03C92392" w14:textId="1AED80C0" w:rsidR="008173D7" w:rsidRPr="001E1894" w:rsidRDefault="008173D7" w:rsidP="008173D7">
      <w:pPr>
        <w:pStyle w:val="Cele"/>
        <w:rPr>
          <w:bCs/>
        </w:rPr>
      </w:pPr>
      <w:r w:rsidRPr="00B377B2">
        <w:rPr>
          <w:rStyle w:val="CeleZnak"/>
          <w:b/>
        </w:rPr>
        <w:t xml:space="preserve">Polska </w:t>
      </w:r>
      <w:r>
        <w:rPr>
          <w:rStyle w:val="CeleZnak"/>
          <w:b/>
        </w:rPr>
        <w:t>wyznacza cel</w:t>
      </w:r>
      <w:r w:rsidR="00134BE3">
        <w:rPr>
          <w:rStyle w:val="CeleZnak"/>
          <w:b/>
        </w:rPr>
        <w:t xml:space="preserve"> zapewnienia bezpieczeństwa dostaw energii elektrycznej dla odbiorców końcowych zgodnie z krajowym standardem bezpieczeństwa </w:t>
      </w:r>
      <w:r w:rsidR="001E1894">
        <w:rPr>
          <w:rStyle w:val="CeleZnak"/>
          <w:b/>
        </w:rPr>
        <w:br/>
      </w:r>
      <w:r w:rsidR="00134BE3" w:rsidRPr="001E1894">
        <w:rPr>
          <w:rStyle w:val="CeleZnak"/>
          <w:bCs/>
        </w:rPr>
        <w:t>(</w:t>
      </w:r>
      <w:r w:rsidR="00BA4AF0">
        <w:rPr>
          <w:rStyle w:val="CeleZnak"/>
          <w:bCs/>
        </w:rPr>
        <w:t xml:space="preserve">według stanu na 2024 r. współczynnik </w:t>
      </w:r>
      <w:r w:rsidR="00134BE3" w:rsidRPr="001E1894">
        <w:rPr>
          <w:rStyle w:val="CeleZnak"/>
          <w:bCs/>
        </w:rPr>
        <w:t>LoLE</w:t>
      </w:r>
      <w:r w:rsidR="001E1894">
        <w:rPr>
          <w:rStyle w:val="CeleZnak"/>
          <w:bCs/>
        </w:rPr>
        <w:t xml:space="preserve"> </w:t>
      </w:r>
      <w:r w:rsidR="00BA4AF0">
        <w:rPr>
          <w:rStyle w:val="CeleZnak"/>
          <w:bCs/>
        </w:rPr>
        <w:t>(ang</w:t>
      </w:r>
      <w:r w:rsidR="00BA4AF0" w:rsidRPr="00BA4AF0">
        <w:rPr>
          <w:rStyle w:val="CeleZnak"/>
          <w:bCs/>
          <w:i/>
          <w:iCs/>
        </w:rPr>
        <w:t>. loss of load expectatio</w:t>
      </w:r>
      <w:r w:rsidR="00BA4AF0" w:rsidRPr="00BA4AF0">
        <w:rPr>
          <w:rStyle w:val="CeleZnak"/>
          <w:bCs/>
        </w:rPr>
        <w:t>n</w:t>
      </w:r>
      <w:r w:rsidR="00BA4AF0">
        <w:rPr>
          <w:rStyle w:val="CeleZnak"/>
          <w:bCs/>
        </w:rPr>
        <w:t>)</w:t>
      </w:r>
      <w:r w:rsidR="00134BE3" w:rsidRPr="001E1894">
        <w:rPr>
          <w:rStyle w:val="CeleZnak"/>
          <w:bCs/>
        </w:rPr>
        <w:t xml:space="preserve"> </w:t>
      </w:r>
      <w:r w:rsidR="00BA4AF0">
        <w:rPr>
          <w:rStyle w:val="CeleZnak"/>
          <w:bCs/>
        </w:rPr>
        <w:t xml:space="preserve">wynosi </w:t>
      </w:r>
      <w:r w:rsidR="00134BE3" w:rsidRPr="001E1894">
        <w:rPr>
          <w:rStyle w:val="CeleZnak"/>
          <w:bCs/>
        </w:rPr>
        <w:t>3</w:t>
      </w:r>
      <w:r w:rsidR="001E1894" w:rsidRPr="001E1894">
        <w:rPr>
          <w:rStyle w:val="CeleZnak"/>
          <w:bCs/>
        </w:rPr>
        <w:t xml:space="preserve"> </w:t>
      </w:r>
      <w:r w:rsidR="00134BE3" w:rsidRPr="001E1894">
        <w:rPr>
          <w:rStyle w:val="CeleZnak"/>
          <w:bCs/>
        </w:rPr>
        <w:t>h).</w:t>
      </w:r>
    </w:p>
    <w:p w14:paraId="71F46FA5" w14:textId="77777777" w:rsidR="008173D7" w:rsidRDefault="008173D7" w:rsidP="008173D7">
      <w:pPr>
        <w:pStyle w:val="Polityka"/>
      </w:pPr>
      <w:r w:rsidRPr="00C46DAA">
        <w:t>POLITYKA</w:t>
      </w:r>
    </w:p>
    <w:p w14:paraId="4BBB6F77" w14:textId="50BC7815" w:rsidR="00B8028D" w:rsidRDefault="005F7105" w:rsidP="008173D7">
      <w:r>
        <w:t xml:space="preserve">W celu zapewnienia wystarczalności mocy co najmniej do 2030 r. funkcjonować będzie rynek mocy. </w:t>
      </w:r>
      <w:r w:rsidR="006A2F2E">
        <w:t>Jego</w:t>
      </w:r>
      <w:r w:rsidR="00AD258A">
        <w:t xml:space="preserve"> </w:t>
      </w:r>
      <w:r w:rsidR="006A2F2E">
        <w:t xml:space="preserve">funkcjonowanie ma skutkować zarówno utrzymaniem niezbędnej ilości istniejących mocy, jak również zachęceniem inwestorów do </w:t>
      </w:r>
      <w:bookmarkStart w:id="203" w:name="_Hlk159941616"/>
      <w:r w:rsidR="006A2F2E">
        <w:t xml:space="preserve">budowy nowych stabilnych i dyspozycyjnych </w:t>
      </w:r>
      <w:bookmarkEnd w:id="203"/>
      <w:r w:rsidR="006A2F2E">
        <w:t xml:space="preserve">mocy, bez których nie nastąpi intensywniejszy rozwój OZE zależnych od pogody – fotowoltaiki i elektrowni wiatrowych. </w:t>
      </w:r>
      <w:r w:rsidR="008173D7">
        <w:t>W ramach różnych innych form wsparcia wspierane będą rozwiązania oparte o gazy zdekarbonizowane tj. biometan, czy wodór, tak aby perspektywicznie mogły stanowić alternatywę dla paliw kopalnych.</w:t>
      </w:r>
      <w:r w:rsidR="0075772A">
        <w:t xml:space="preserve"> </w:t>
      </w:r>
    </w:p>
    <w:p w14:paraId="4CA3AB44" w14:textId="18F0944A" w:rsidR="008173D7" w:rsidRDefault="0075772A" w:rsidP="008173D7">
      <w:r>
        <w:t>Biorąc pod uwagę prognozowany znaczny udział w KSE mocy OZE o zmiennej generacji</w:t>
      </w:r>
      <w:r w:rsidR="00B8028D">
        <w:t xml:space="preserve"> przy</w:t>
      </w:r>
      <w:r w:rsidR="00E56C46">
        <w:t> </w:t>
      </w:r>
      <w:r w:rsidR="00B8028D">
        <w:t>jednoczesnym wysokim poziomie odstawień mocy konwencjonalnych i równoległym ryzyku przyspieszonych wycofań ze względów ekonomicznych i technicznych (ze względu na obniżenie żywotności), z</w:t>
      </w:r>
      <w:r>
        <w:t xml:space="preserve">ostanie przeprowadzona analiza zasadności wdrożenia uzupełniającego mechanizmu wsparcia dyspozycyjnych </w:t>
      </w:r>
      <w:r w:rsidR="00B8028D">
        <w:t xml:space="preserve">jednostek wytwórczych, </w:t>
      </w:r>
      <w:r>
        <w:t>celem zapewnienia wystarczalności mocy oraz</w:t>
      </w:r>
      <w:r w:rsidR="00E56C46">
        <w:t> </w:t>
      </w:r>
      <w:r>
        <w:t>zagwarantowania bilansowania systemu elektroenergetycznego.</w:t>
      </w:r>
    </w:p>
    <w:p w14:paraId="3DEE2EDD" w14:textId="66008A59" w:rsidR="008173D7" w:rsidRDefault="008173D7" w:rsidP="008173D7">
      <w:r>
        <w:t>Niezwykle ważnym elementem polityki w zakresie wystarczalności mocy jest wdrożenie energetyki jądrowej</w:t>
      </w:r>
      <w:r w:rsidR="00DE3F08">
        <w:t>, której pierwszy blok zostanie uruchomiony w okresie 2030–2035</w:t>
      </w:r>
      <w:r>
        <w:t xml:space="preserve">. Moc wielkoskalowych elektrowni jądrowych w 2040 r. powinna sięgnąć </w:t>
      </w:r>
      <w:r w:rsidR="00685541">
        <w:t>6,2</w:t>
      </w:r>
      <w:r>
        <w:t xml:space="preserve"> GW</w:t>
      </w:r>
      <w:r w:rsidR="00DE3F08">
        <w:t xml:space="preserve"> (a w dalszej perspektywie nawet </w:t>
      </w:r>
      <w:r w:rsidR="00C25751">
        <w:t>10</w:t>
      </w:r>
      <w:r w:rsidR="004972FB">
        <w:t>,</w:t>
      </w:r>
      <w:r w:rsidR="00C25751">
        <w:t>3</w:t>
      </w:r>
      <w:r w:rsidR="00DE3F08">
        <w:t xml:space="preserve"> GW)</w:t>
      </w:r>
      <w:r>
        <w:t xml:space="preserve"> i może zostać uzupełniona również małymi reaktorami modułowymi – SMR</w:t>
      </w:r>
      <w:r w:rsidR="00DE3F08">
        <w:t>, w zależności od stopnia komercjalizacji, dostępności oraz kosztów wdrażania tej technologii</w:t>
      </w:r>
      <w:r>
        <w:t>.</w:t>
      </w:r>
    </w:p>
    <w:p w14:paraId="5A2B5272" w14:textId="77777777" w:rsidR="00471A6A" w:rsidRPr="00C46DAA" w:rsidRDefault="00471A6A" w:rsidP="00471A6A">
      <w:pPr>
        <w:spacing w:before="240" w:after="80"/>
        <w:rPr>
          <w:rFonts w:ascii="Bahnschrift" w:hAnsi="Bahnschrift"/>
          <w:sz w:val="32"/>
          <w:szCs w:val="32"/>
        </w:rPr>
      </w:pPr>
      <w:r w:rsidRPr="00C46DAA">
        <w:rPr>
          <w:rFonts w:ascii="Bahnschrift" w:hAnsi="Bahnschrift"/>
          <w:b/>
          <w:bCs/>
          <w:sz w:val="32"/>
          <w:szCs w:val="32"/>
        </w:rPr>
        <w:t>DZIAŁANIA</w:t>
      </w:r>
    </w:p>
    <w:p w14:paraId="24C94516" w14:textId="4383913C" w:rsidR="007D0DDC" w:rsidRDefault="007D0DDC" w:rsidP="008340D5">
      <w:pPr>
        <w:pStyle w:val="Akapitzlist"/>
        <w:numPr>
          <w:ilvl w:val="0"/>
          <w:numId w:val="6"/>
        </w:numPr>
      </w:pPr>
      <w:r>
        <w:fldChar w:fldCharType="begin"/>
      </w:r>
      <w:r>
        <w:instrText xml:space="preserve"> REF _Ref157420391 \h </w:instrText>
      </w:r>
      <w:r>
        <w:fldChar w:fldCharType="separate"/>
      </w:r>
      <w:r w:rsidR="00DD3929" w:rsidRPr="00F12C9E">
        <w:t xml:space="preserve">Działanie </w:t>
      </w:r>
      <w:r w:rsidR="00DD3929">
        <w:rPr>
          <w:noProof/>
        </w:rPr>
        <w:t>26</w:t>
      </w:r>
      <w:r w:rsidR="00DD3929" w:rsidRPr="00F12C9E">
        <w:t>. Zapewnienie warunków rozwoju SMR.</w:t>
      </w:r>
      <w:r>
        <w:fldChar w:fldCharType="end"/>
      </w:r>
    </w:p>
    <w:p w14:paraId="2F623EBF" w14:textId="4E0E40AB" w:rsidR="007D0DDC" w:rsidRDefault="007D0DDC" w:rsidP="008340D5">
      <w:pPr>
        <w:pStyle w:val="Akapitzlist"/>
        <w:numPr>
          <w:ilvl w:val="0"/>
          <w:numId w:val="6"/>
        </w:numPr>
      </w:pPr>
      <w:r>
        <w:fldChar w:fldCharType="begin"/>
      </w:r>
      <w:r>
        <w:instrText xml:space="preserve"> REF _Ref157421151 \h </w:instrText>
      </w:r>
      <w:r>
        <w:fldChar w:fldCharType="separate"/>
      </w:r>
      <w:r w:rsidR="00DD3929" w:rsidRPr="00F12C9E">
        <w:t xml:space="preserve">Działanie </w:t>
      </w:r>
      <w:r w:rsidR="00DD3929">
        <w:rPr>
          <w:noProof/>
        </w:rPr>
        <w:t>80</w:t>
      </w:r>
      <w:r w:rsidR="00DD3929" w:rsidRPr="00F12C9E">
        <w:t xml:space="preserve">. Instrument </w:t>
      </w:r>
      <w:r w:rsidR="00DD3929" w:rsidRPr="00586D95">
        <w:t>finansowy</w:t>
      </w:r>
      <w:r w:rsidR="00DD3929" w:rsidRPr="00F12C9E">
        <w:t xml:space="preserve"> – Fundusz Modernizacyjny.</w:t>
      </w:r>
      <w:r>
        <w:fldChar w:fldCharType="end"/>
      </w:r>
    </w:p>
    <w:p w14:paraId="160F60EE" w14:textId="3A3C2332" w:rsidR="007D0DDC" w:rsidRDefault="007D0DDC" w:rsidP="008340D5">
      <w:pPr>
        <w:pStyle w:val="Akapitzlist"/>
        <w:numPr>
          <w:ilvl w:val="0"/>
          <w:numId w:val="6"/>
        </w:numPr>
      </w:pPr>
      <w:r>
        <w:fldChar w:fldCharType="begin"/>
      </w:r>
      <w:r>
        <w:instrText xml:space="preserve"> REF _Ref157429352 \h </w:instrText>
      </w:r>
      <w:r>
        <w:fldChar w:fldCharType="separate"/>
      </w:r>
      <w:r w:rsidR="00DD3929" w:rsidRPr="00F12C9E">
        <w:t xml:space="preserve">Działanie </w:t>
      </w:r>
      <w:r w:rsidR="00DD3929">
        <w:rPr>
          <w:noProof/>
        </w:rPr>
        <w:t>112</w:t>
      </w:r>
      <w:r w:rsidR="00DD3929" w:rsidRPr="00F12C9E">
        <w:t>. Rozwój infrastruktury wodorowej.</w:t>
      </w:r>
      <w:r>
        <w:fldChar w:fldCharType="end"/>
      </w:r>
    </w:p>
    <w:p w14:paraId="1B4C6163" w14:textId="77784092" w:rsidR="007D0DDC" w:rsidRDefault="007D0DDC" w:rsidP="008340D5">
      <w:pPr>
        <w:pStyle w:val="Akapitzlist"/>
        <w:numPr>
          <w:ilvl w:val="0"/>
          <w:numId w:val="6"/>
        </w:numPr>
      </w:pPr>
      <w:r>
        <w:fldChar w:fldCharType="begin"/>
      </w:r>
      <w:r>
        <w:instrText xml:space="preserve"> REF _Ref159313085 \h </w:instrText>
      </w:r>
      <w:r>
        <w:fldChar w:fldCharType="separate"/>
      </w:r>
      <w:r w:rsidR="00DD3929" w:rsidRPr="00BA3E0C">
        <w:t xml:space="preserve">Działanie </w:t>
      </w:r>
      <w:r w:rsidR="00DD3929">
        <w:rPr>
          <w:noProof/>
        </w:rPr>
        <w:t>118</w:t>
      </w:r>
      <w:r w:rsidR="00DD3929" w:rsidRPr="00BA3E0C">
        <w:t>.</w:t>
      </w:r>
      <w:r w:rsidR="00DD3929">
        <w:t xml:space="preserve"> </w:t>
      </w:r>
      <w:r w:rsidR="00DD3929" w:rsidRPr="00BA3E0C">
        <w:t>Instrument finansowy – Rynek mocy.</w:t>
      </w:r>
      <w:r>
        <w:fldChar w:fldCharType="end"/>
      </w:r>
    </w:p>
    <w:p w14:paraId="7C6A779A" w14:textId="7B94EBE1" w:rsidR="007D0DDC" w:rsidRDefault="007D0DDC" w:rsidP="008340D5">
      <w:pPr>
        <w:pStyle w:val="Akapitzlist"/>
        <w:numPr>
          <w:ilvl w:val="0"/>
          <w:numId w:val="6"/>
        </w:numPr>
      </w:pPr>
      <w:r>
        <w:fldChar w:fldCharType="begin"/>
      </w:r>
      <w:r>
        <w:instrText xml:space="preserve"> REF _Ref159310020 \h </w:instrText>
      </w:r>
      <w:r>
        <w:fldChar w:fldCharType="separate"/>
      </w:r>
      <w:r w:rsidR="00DD3929" w:rsidRPr="00BA3E0C">
        <w:t xml:space="preserve">Działanie </w:t>
      </w:r>
      <w:r w:rsidR="00DD3929">
        <w:rPr>
          <w:noProof/>
        </w:rPr>
        <w:t>119</w:t>
      </w:r>
      <w:r w:rsidR="00DD3929" w:rsidRPr="00BA3E0C">
        <w:t>.</w:t>
      </w:r>
      <w:r w:rsidR="00DD3929">
        <w:t xml:space="preserve"> Wdrażanie wielkoskalowej energetyki jądrowej.</w:t>
      </w:r>
      <w:r>
        <w:fldChar w:fldCharType="end"/>
      </w:r>
    </w:p>
    <w:p w14:paraId="57EC0ECE" w14:textId="77777777" w:rsidR="00471A6A" w:rsidRPr="00925327" w:rsidRDefault="00471A6A" w:rsidP="00471A6A">
      <w:pPr>
        <w:pStyle w:val="Nagwek4"/>
        <w:rPr>
          <w:color w:val="C00000"/>
        </w:rPr>
      </w:pPr>
      <w:bookmarkStart w:id="204" w:name="_Toc159598333"/>
      <w:bookmarkStart w:id="205" w:name="_Toc179536984"/>
      <w:bookmarkEnd w:id="202"/>
      <w:r w:rsidRPr="00925327">
        <w:rPr>
          <w:color w:val="C00000"/>
        </w:rPr>
        <w:t>Zapewnienie elastyczności systemu</w:t>
      </w:r>
      <w:r>
        <w:rPr>
          <w:color w:val="C00000"/>
        </w:rPr>
        <w:t xml:space="preserve"> elektroenergetycznego dla lepszej integracji OZE</w:t>
      </w:r>
      <w:bookmarkEnd w:id="204"/>
      <w:bookmarkEnd w:id="205"/>
    </w:p>
    <w:p w14:paraId="73B90740" w14:textId="3603B5EF" w:rsidR="005F7105" w:rsidRDefault="005F7105" w:rsidP="005F7105">
      <w:r>
        <w:t>Wzrost udziału w krajowym miksie energetycznym źródeł wytwórczych OZE, których generacja w dużym stopniu jest zależna od warunków pogodowych oraz jest zmienna w czasie, powoduje, że pokrycie zapotrzebowania na energię elektryczną oraz moc w systemie elektroenergetycznym staje się coraz większym wyzwaniem. Jedną z odpowiedzi na to wyzwanie jest zwiększenie elastyczności systemu elektroenergetycznego</w:t>
      </w:r>
      <w:r w:rsidR="008B58DE">
        <w:t>, czyli zapewnienie takich źródeł i rozwiązań, które pozwolą na pokrycie zapotrzebowania na energię w okresach braku lub niskiej dostępności energii z OZE</w:t>
      </w:r>
      <w:r>
        <w:t>.</w:t>
      </w:r>
    </w:p>
    <w:p w14:paraId="1C580C47" w14:textId="6AE0BF6C" w:rsidR="005F7105" w:rsidRDefault="005F7105" w:rsidP="005F7105">
      <w:r>
        <w:t xml:space="preserve">W ostatnich latach elastyczność systemu zapewniały głównie jednostki wytwórcze: gazowe, kogeneracyjne, węglowe, a także elektrownie szczytowo-pompowe. Możliwości wykorzystania tych zasobów do zapewniania elastyczności systemu </w:t>
      </w:r>
      <w:r w:rsidR="00F509D4">
        <w:t>są</w:t>
      </w:r>
      <w:r>
        <w:t xml:space="preserve"> zależn</w:t>
      </w:r>
      <w:r w:rsidR="00F509D4">
        <w:t>e</w:t>
      </w:r>
      <w:r>
        <w:t xml:space="preserve"> m.in. od ich parametrów technicznych. Jednak rosnący udział OZE w produkcji energii elektrycznej stanowi wyzwanie dla tych jednostek wytwórczych, które dla zapewniania elastyczności systemu elektroenergetycznego będą musiały być wspierane przez inne źródła elastyczności, w tym magazyny energii czy zarządzanie popytem (DSR</w:t>
      </w:r>
      <w:r w:rsidRPr="00EB316B">
        <w:t xml:space="preserve"> </w:t>
      </w:r>
      <w:r>
        <w:t xml:space="preserve">ang. </w:t>
      </w:r>
      <w:r w:rsidRPr="00813E69">
        <w:rPr>
          <w:i/>
          <w:iCs/>
        </w:rPr>
        <w:t>demand side response</w:t>
      </w:r>
      <w:r>
        <w:t xml:space="preserve">). </w:t>
      </w:r>
    </w:p>
    <w:p w14:paraId="78DBB42A" w14:textId="5F271BB4" w:rsidR="005F7105" w:rsidRDefault="005F7105" w:rsidP="005F7105">
      <w:r>
        <w:t>W przyszłości istotną rolę w zapewnianiu elastyczności KSE mogą pełnić rozwiązania oparte na DSR, magazyny czy agregatorzy, których zasady funkcjonowania na rynku na bieżąco są doprecyzowane w prawie krajowym. Ich rozwojowi będzie sprzyjać stopniowe upowszechniane inteligentnego opomiarowania i inteligentnych sieci, które ma umożliwiać efektywną komunikację między uczestnikami systemu – wytwórcami, odbiorcami i operatorami. Większa elastyczność KSE może być również zapewniona przez promowanie aktywnego udziału uczestników w rynku energii elektrycznej, w tym rynku bilansującym, a także w wybranych przypadkach w rynku mocy. W zakresie magazynowania rozwijane będą technologie bateryjnych magazynów energii i zwiększany będzie udział innych technologii magazynowania, w tym wykorzystujących wodór i inne gazy zdekarbonizowane.</w:t>
      </w:r>
    </w:p>
    <w:p w14:paraId="1F9BAE30" w14:textId="1B7CC35E" w:rsidR="005F7105" w:rsidRDefault="006A2F2E" w:rsidP="005F7105">
      <w:r>
        <w:t>Rozwój elastyczności systemu elektroenergetycznego będzie wspierany wdrażaniem prawa UE z zakresu rynku energii elektrycznej, w tym dotychczasowych przepisów rozporządzenia (UE) 2019/943 – w</w:t>
      </w:r>
      <w:r w:rsidR="00BA4AF0">
        <w:t> </w:t>
      </w:r>
      <w:r>
        <w:t xml:space="preserve">zakresie redysponowania (art. 13) czy kształtowania taryf sieciowych (art. 18), oraz dyrektywy (UE) 2019/944 – w zakresie agregacji (art. 13 i 17), aktywnych form udziału w rynku najmniej aktywnych uczestników rynku (art. 15 i 16) czy usług elastyczności (art. 32). </w:t>
      </w:r>
      <w:r w:rsidR="005F7105">
        <w:t>Usługi elastyczności pozwalają na wprowadzenie już na poziomie operatorów systemów dystrybucyjnych, rozwiązań zapewniających zaangażowanie odbiorców, magazynów i wytwórców do zarządzania ograniczeniami sieciowymi. Obecnie OSD prowadzą pilotażowe projekty w tym zakresie. Docelowo możliwość zakupu usług elastyczności będzie uwzględniana przy tworzeniu planów rozwoju sieci.</w:t>
      </w:r>
    </w:p>
    <w:p w14:paraId="01322050" w14:textId="370C3601" w:rsidR="005F7105" w:rsidRPr="00877657" w:rsidRDefault="005F7105" w:rsidP="005F7105">
      <w:r>
        <w:t>E</w:t>
      </w:r>
      <w:r w:rsidRPr="005F7105">
        <w:t>lastyczność systemów elektroenergetycznych będzie kluczowym elementem na drodze do zdekarbonizowanego systemu energetycznego</w:t>
      </w:r>
      <w:r>
        <w:t>.</w:t>
      </w:r>
    </w:p>
    <w:p w14:paraId="327635E3" w14:textId="4B75568E" w:rsidR="005F7105" w:rsidRDefault="005F7105" w:rsidP="005F7105">
      <w:pPr>
        <w:pStyle w:val="Cele"/>
        <w:rPr>
          <w:rStyle w:val="CeleZnak"/>
          <w:b/>
        </w:rPr>
      </w:pPr>
      <w:r>
        <w:rPr>
          <w:rStyle w:val="CeleZnak"/>
          <w:b/>
        </w:rPr>
        <w:t xml:space="preserve">Celem działań jest zwiększenie udziału </w:t>
      </w:r>
      <w:r w:rsidRPr="000970F0">
        <w:rPr>
          <w:rStyle w:val="CeleZnak"/>
          <w:b/>
        </w:rPr>
        <w:t>rozproszonych odnawialnych źródeł wytwórczych,</w:t>
      </w:r>
      <w:r>
        <w:rPr>
          <w:rStyle w:val="CeleZnak"/>
          <w:b/>
        </w:rPr>
        <w:t xml:space="preserve"> magazynów oraz DSR w zapewnianiu elastyczności systemu elektroenergetycznego. </w:t>
      </w:r>
    </w:p>
    <w:p w14:paraId="69CCC8B6" w14:textId="77777777" w:rsidR="00471A6A" w:rsidRDefault="00471A6A" w:rsidP="000262E7">
      <w:pPr>
        <w:rPr>
          <w:rFonts w:ascii="Bahnschrift" w:hAnsi="Bahnschrift"/>
        </w:rPr>
      </w:pPr>
      <w:r w:rsidRPr="00C46DAA">
        <w:rPr>
          <w:rFonts w:ascii="Bahnschrift" w:hAnsi="Bahnschrift"/>
          <w:b/>
          <w:bCs/>
          <w:sz w:val="32"/>
          <w:szCs w:val="32"/>
        </w:rPr>
        <w:t>POLITYKA</w:t>
      </w:r>
    </w:p>
    <w:p w14:paraId="438AFC28" w14:textId="11BB1A12" w:rsidR="00A3306B" w:rsidRDefault="00A3306B" w:rsidP="00A3306B">
      <w:r>
        <w:t xml:space="preserve">Dążyć się będzie do zapewniania warunków sukcesywnego rozwoju innych rozwiązań zapewniających lub podnoszących elastyczność systemu oraz wpływających na lepszą integrację OZE w KSE. Promowane będą </w:t>
      </w:r>
      <w:r w:rsidR="00BA4AF0">
        <w:t>zróżnicowane</w:t>
      </w:r>
      <w:r>
        <w:t xml:space="preserve"> formy magazynowania energii, w tym bateryjne i oparte na gazach zdekarbonizowanych, a także wdrożenie mechanizmów elastyczności po stronie popytu i podaży, agregacji, taryf i cen dynamicznych, zwiększenie udziału magazynów oraz DSR w rynku energii elektrycznej oraz zwiększenie udziału pozostałych uczestników w rynku bilansującym. Kontynuowana będzie możliwość udziału DSR i magazynów energii w rynku mocy. </w:t>
      </w:r>
    </w:p>
    <w:p w14:paraId="519AE2C0" w14:textId="51E3E86C" w:rsidR="00A3306B" w:rsidRDefault="00A3306B" w:rsidP="00A3306B">
      <w:r>
        <w:t xml:space="preserve">W celu zwiększenia elastyczności KSE, konieczne będzie zapewnienie rozwiązań prawnych oraz opracowanie koncepcji mechanizmów rynkowej integracji OZE w związku z wyzwaniami rosnącej produkcji i mocy zainstalowanej w systemie elektroenergetycznym, w tym w zakresie usług rynkowych świadczonych przez OZE, uwzględnienia lokalizacji OZE w sieci, współpracy OZE z magazynami oraz usług wpływających na bilansowanie systemu elektroenergetycznego i warunki funkcjonowania sieci elektroenergetycznej. Priorytetem będzie rozbudowa i modernizacja sieci elektroenergetycznych (przesyłowych i dystrybucyjnych), tak aby system był zdolny do odbioru energii ze źródeł wytwórczych oraz do zapewniania odpowiedniego rozpływu energii </w:t>
      </w:r>
      <w:r w:rsidR="00BA4AF0">
        <w:t xml:space="preserve">elektrycznej </w:t>
      </w:r>
      <w:r>
        <w:t>w systemie.</w:t>
      </w:r>
    </w:p>
    <w:p w14:paraId="02438B05" w14:textId="048EBC21" w:rsidR="000262E7" w:rsidRDefault="000262E7" w:rsidP="00A3306B">
      <w:r w:rsidRPr="005F7105">
        <w:t xml:space="preserve">Cel </w:t>
      </w:r>
      <w:r>
        <w:t>będzie realizowany także przez</w:t>
      </w:r>
      <w:r w:rsidRPr="005F7105">
        <w:t xml:space="preserve"> zwiększenie możliwości aktywnego udziału uczestników rynku energii elektrycznej w rynku bilansującym oraz zwiększenie katalogu usług służących elastyczności systemu elektroenergetycznego</w:t>
      </w:r>
      <w:r>
        <w:t>, w tym popularyzacji taryf dynamicznych</w:t>
      </w:r>
      <w:r w:rsidRPr="005F7105">
        <w:t>.</w:t>
      </w:r>
    </w:p>
    <w:p w14:paraId="51368BD6" w14:textId="77777777" w:rsidR="00471A6A" w:rsidRPr="00C46DAA" w:rsidRDefault="00471A6A" w:rsidP="000E51BB">
      <w:pPr>
        <w:keepNext/>
        <w:rPr>
          <w:rFonts w:ascii="Bahnschrift" w:hAnsi="Bahnschrift"/>
          <w:sz w:val="32"/>
          <w:szCs w:val="32"/>
        </w:rPr>
      </w:pPr>
      <w:r w:rsidRPr="00C46DAA">
        <w:rPr>
          <w:rFonts w:ascii="Bahnschrift" w:hAnsi="Bahnschrift"/>
          <w:b/>
          <w:bCs/>
          <w:sz w:val="32"/>
          <w:szCs w:val="32"/>
        </w:rPr>
        <w:t>DZIAŁANIA</w:t>
      </w:r>
    </w:p>
    <w:p w14:paraId="349F72F9" w14:textId="1AD99EE9" w:rsidR="000D1252" w:rsidRDefault="000D1252" w:rsidP="008340D5">
      <w:pPr>
        <w:pStyle w:val="Akapitzlist"/>
        <w:numPr>
          <w:ilvl w:val="0"/>
          <w:numId w:val="6"/>
        </w:numPr>
      </w:pPr>
      <w:r>
        <w:fldChar w:fldCharType="begin"/>
      </w:r>
      <w:r>
        <w:instrText xml:space="preserve"> REF _Ref157437817 \h </w:instrText>
      </w:r>
      <w:r>
        <w:fldChar w:fldCharType="separate"/>
      </w:r>
      <w:r w:rsidR="00DD3929" w:rsidRPr="00570679">
        <w:t xml:space="preserve">Działanie </w:t>
      </w:r>
      <w:r w:rsidR="00DD3929">
        <w:rPr>
          <w:noProof/>
        </w:rPr>
        <w:t>122</w:t>
      </w:r>
      <w:r w:rsidR="00DD3929" w:rsidRPr="00570679">
        <w:t>. Działania w zakresie zwiększenia elastyczności systemu energetycznego w odniesieniu do wytwarzania energii ze źródeł odnawialnych</w:t>
      </w:r>
      <w:r w:rsidR="00DD3929">
        <w:t xml:space="preserve"> i dostosowania się do przewidywanych zmian KSE</w:t>
      </w:r>
      <w:r w:rsidR="00DD3929" w:rsidRPr="00570679">
        <w:t>.</w:t>
      </w:r>
      <w:r>
        <w:fldChar w:fldCharType="end"/>
      </w:r>
    </w:p>
    <w:p w14:paraId="426CB809" w14:textId="53F979BB" w:rsidR="000D1252" w:rsidRDefault="000D1252" w:rsidP="008340D5">
      <w:pPr>
        <w:pStyle w:val="Akapitzlist"/>
        <w:numPr>
          <w:ilvl w:val="0"/>
          <w:numId w:val="6"/>
        </w:numPr>
      </w:pPr>
      <w:r>
        <w:fldChar w:fldCharType="begin"/>
      </w:r>
      <w:r>
        <w:instrText xml:space="preserve"> REF _Ref157437684 \h </w:instrText>
      </w:r>
      <w:r>
        <w:fldChar w:fldCharType="separate"/>
      </w:r>
      <w:r w:rsidR="00DD3929" w:rsidRPr="00570679">
        <w:t xml:space="preserve">Działanie </w:t>
      </w:r>
      <w:r w:rsidR="00DD3929">
        <w:rPr>
          <w:noProof/>
        </w:rPr>
        <w:t>130</w:t>
      </w:r>
      <w:r w:rsidR="00DD3929" w:rsidRPr="00570679">
        <w:t xml:space="preserve">. </w:t>
      </w:r>
      <w:r w:rsidR="00DD3929" w:rsidRPr="00FD06FE">
        <w:t>Działania</w:t>
      </w:r>
      <w:r w:rsidR="00DD3929" w:rsidRPr="00570679">
        <w:t xml:space="preserve"> w </w:t>
      </w:r>
      <w:r w:rsidR="00DD3929" w:rsidRPr="00B31627">
        <w:t>zakresie</w:t>
      </w:r>
      <w:r w:rsidR="00DD3929" w:rsidRPr="00570679">
        <w:t xml:space="preserve"> integracji oraz poprawy funkcjonowania rynku</w:t>
      </w:r>
      <w:r w:rsidR="00DD3929">
        <w:t xml:space="preserve"> energii elektrycznej</w:t>
      </w:r>
      <w:r w:rsidR="00DD3929" w:rsidRPr="00570679">
        <w:t>.</w:t>
      </w:r>
      <w:r>
        <w:fldChar w:fldCharType="end"/>
      </w:r>
    </w:p>
    <w:p w14:paraId="6E2C1F70" w14:textId="6133FC11" w:rsidR="00FE0740" w:rsidRPr="00FE0740" w:rsidRDefault="00FE0740" w:rsidP="00E67CB8">
      <w:pPr>
        <w:pStyle w:val="Nagwek4"/>
        <w:ind w:left="851"/>
        <w:rPr>
          <w:color w:val="C00000"/>
        </w:rPr>
      </w:pPr>
      <w:bookmarkStart w:id="206" w:name="_Toc159598334"/>
      <w:bookmarkStart w:id="207" w:name="_Toc179536985"/>
      <w:r w:rsidRPr="00FE0740">
        <w:rPr>
          <w:color w:val="C00000"/>
        </w:rPr>
        <w:t>Zapewnienie gotowości do</w:t>
      </w:r>
      <w:r w:rsidR="00B92ECA">
        <w:rPr>
          <w:color w:val="C00000"/>
        </w:rPr>
        <w:t xml:space="preserve"> zapobiegania i</w:t>
      </w:r>
      <w:r w:rsidRPr="00FE0740">
        <w:rPr>
          <w:color w:val="C00000"/>
        </w:rPr>
        <w:t xml:space="preserve"> radzenia sobie z ograniczeniami w dostawach</w:t>
      </w:r>
      <w:r>
        <w:rPr>
          <w:color w:val="C00000"/>
        </w:rPr>
        <w:t xml:space="preserve"> energii elektrycznej</w:t>
      </w:r>
      <w:bookmarkEnd w:id="206"/>
      <w:bookmarkEnd w:id="207"/>
    </w:p>
    <w:p w14:paraId="406385C7" w14:textId="1B28A638" w:rsidR="00B92ECA" w:rsidRDefault="00B92ECA" w:rsidP="00B92ECA">
      <w:r>
        <w:t xml:space="preserve">Ryzyko wystąpienia sytuacji ograniczenia dostaw energii elektrycznej lub kryzysu elektroenergetycznego, skutkującego zakłóceniami lub przerwami w dostawie energii elektrycznej do odbiorców wymagają określenia stosowanych działań i procedur zapobiegawczych lub mitygujących w przypadku materializacji ryzyk. </w:t>
      </w:r>
    </w:p>
    <w:p w14:paraId="450FEEBF" w14:textId="23949BA1" w:rsidR="00B92ECA" w:rsidRDefault="00B92ECA" w:rsidP="00B92ECA">
      <w:r>
        <w:t>Obszar ten został częściowo uregulowany w r</w:t>
      </w:r>
      <w:r w:rsidRPr="00647401">
        <w:t>ozporządzeni</w:t>
      </w:r>
      <w:r>
        <w:t>u</w:t>
      </w:r>
      <w:r w:rsidRPr="00647401">
        <w:t xml:space="preserve"> </w:t>
      </w:r>
      <w:r>
        <w:t xml:space="preserve">UE </w:t>
      </w:r>
      <w:r w:rsidRPr="00647401">
        <w:t>201</w:t>
      </w:r>
      <w:r>
        <w:t>9</w:t>
      </w:r>
      <w:r w:rsidRPr="00647401">
        <w:t>/</w:t>
      </w:r>
      <w:r>
        <w:t>941</w:t>
      </w:r>
      <w:r w:rsidRPr="00647401">
        <w:t xml:space="preserve"> </w:t>
      </w:r>
      <w:r w:rsidRPr="006B7445">
        <w:t>w sprawie gotowości na</w:t>
      </w:r>
      <w:r>
        <w:t> </w:t>
      </w:r>
      <w:r w:rsidRPr="006B7445">
        <w:t>wypadek zagrożeń w sektorze energii elektrycznej</w:t>
      </w:r>
      <w:r>
        <w:t xml:space="preserve">, w którym określono m.in. kwestie odpowiedzialności organu, procedury ustalania krajowych i regionalnych scenariuszy kryzysu elektroenergetycznego oraz współpracy, a przede wszystkim zobowiązano państwa członkowskie do opracowania krajowych planów gotowości na wypadek zagrożeń. Polska posiada </w:t>
      </w:r>
      <w:r w:rsidRPr="00C06454">
        <w:t>Plan gotowości na</w:t>
      </w:r>
      <w:r>
        <w:t> </w:t>
      </w:r>
      <w:r w:rsidRPr="00C06454">
        <w:t>wypadek zagrożeń</w:t>
      </w:r>
      <w:r>
        <w:rPr>
          <w:b/>
          <w:bCs/>
        </w:rPr>
        <w:t>,</w:t>
      </w:r>
      <w:r w:rsidRPr="00750E6E">
        <w:t xml:space="preserve"> który zgodnie z rozporządzeniem został przyjęty w 2022 r. </w:t>
      </w:r>
    </w:p>
    <w:p w14:paraId="0F46EBDB" w14:textId="62B101DE" w:rsidR="00B92ECA" w:rsidRDefault="00B92ECA" w:rsidP="00B92ECA">
      <w:r>
        <w:t xml:space="preserve">Ponadto kwestię ograniczeń w dostawach energii elektrycznej i </w:t>
      </w:r>
      <w:r w:rsidRPr="00B91E2D">
        <w:t>działa</w:t>
      </w:r>
      <w:r>
        <w:t xml:space="preserve">ń podejmowanych przez </w:t>
      </w:r>
      <w:r w:rsidRPr="00B91E2D">
        <w:t>operator</w:t>
      </w:r>
      <w:r>
        <w:t>a</w:t>
      </w:r>
      <w:r w:rsidRPr="00B91E2D">
        <w:t xml:space="preserve"> systemu przesyłowego elektroenergetycznego</w:t>
      </w:r>
      <w:r>
        <w:t xml:space="preserve"> w</w:t>
      </w:r>
      <w:r w:rsidRPr="00B91E2D">
        <w:t xml:space="preserve"> sytuacji wystąpienia zagrożenia bezpieczeństwa dostaw energii elektrycznej </w:t>
      </w:r>
      <w:r>
        <w:t xml:space="preserve">kompleksowo regulują, nakładając stosowne zobowiązania na uczestników rynku energii elektryczne, przepisy ustawy </w:t>
      </w:r>
      <w:r w:rsidRPr="00750E6E">
        <w:t>z dnia 10 kwietnia 1997 r.</w:t>
      </w:r>
      <w:r>
        <w:t xml:space="preserve"> </w:t>
      </w:r>
      <w:r w:rsidR="007824B3">
        <w:t xml:space="preserve">– </w:t>
      </w:r>
      <w:r>
        <w:t xml:space="preserve">Prawo energetyczne wraz z rozporządzeniem </w:t>
      </w:r>
      <w:r w:rsidRPr="00750E6E">
        <w:t>w sprawie szczegółowych zasad i trybu wprowadzania ograniczeń w sprzedaży i</w:t>
      </w:r>
      <w:r w:rsidR="007824B3">
        <w:t> </w:t>
      </w:r>
      <w:r w:rsidRPr="00750E6E">
        <w:t>poborze energii elektrycznej</w:t>
      </w:r>
      <w:r>
        <w:t>.</w:t>
      </w:r>
    </w:p>
    <w:p w14:paraId="2ED2FB90" w14:textId="75D91C8A" w:rsidR="00B92ECA" w:rsidRDefault="00B92ECA" w:rsidP="00B92ECA">
      <w:r>
        <w:t xml:space="preserve">Dodatkowo operator systemu przesyłowego elektroenergetycznego (OSPe) opracowuje plany działania na wypadek zagrożenia wystąpienia awarii o znacznych rozmiarach w systemie elektroenergetycznym oraz odbudowy tego systemu po wystąpieniu awarii. Stosowne przepisy </w:t>
      </w:r>
      <w:r w:rsidR="00F509D4">
        <w:t>zawiera</w:t>
      </w:r>
      <w:r>
        <w:t xml:space="preserve"> również rozporządzenie UE 2017/2196 </w:t>
      </w:r>
      <w:r w:rsidRPr="006370D4">
        <w:t>ustanawiające kodeks sieci dotyczący stanu zagrożenia i stanu odbudowy systemów elektroenergetycznych</w:t>
      </w:r>
      <w:r>
        <w:t xml:space="preserve">, w ramach którego OSPe zobowiązany jest do opracowania </w:t>
      </w:r>
      <w:r w:rsidRPr="006370D4">
        <w:t>i</w:t>
      </w:r>
      <w:r>
        <w:t xml:space="preserve"> stosowania </w:t>
      </w:r>
      <w:r w:rsidRPr="006370D4">
        <w:t>planu odbudowy</w:t>
      </w:r>
      <w:r>
        <w:t xml:space="preserve"> systemu.</w:t>
      </w:r>
    </w:p>
    <w:p w14:paraId="5DD91E9B" w14:textId="102D7BFC" w:rsidR="00B92ECA" w:rsidRDefault="00B92ECA" w:rsidP="00B92ECA">
      <w:r>
        <w:t xml:space="preserve">Co dwa lata minister właściwy do spraw energii opracowuje sprawozdanie z wyników monitorowania bezpieczeństwa dostaw energii elektrycznej, w ramach którego </w:t>
      </w:r>
      <w:r w:rsidRPr="00221DEA">
        <w:t>kompleksow</w:t>
      </w:r>
      <w:r>
        <w:t xml:space="preserve">o przedstawiany jest stan sektora elektroenergetycznego, w tym </w:t>
      </w:r>
      <w:r w:rsidRPr="00221DEA">
        <w:t>prognoz</w:t>
      </w:r>
      <w:r>
        <w:t>a</w:t>
      </w:r>
      <w:r w:rsidRPr="00221DEA">
        <w:t xml:space="preserve"> równoważenia dostaw energii elektrycznej z</w:t>
      </w:r>
      <w:r>
        <w:t> </w:t>
      </w:r>
      <w:r w:rsidRPr="00221DEA">
        <w:t>zapotrzebowaniem na tę energię w kolejnych 5 latach oraz możliwości równoważenia dostaw w okresie od 5 lat do co najmniej 15 lat</w:t>
      </w:r>
      <w:r>
        <w:t>.</w:t>
      </w:r>
    </w:p>
    <w:p w14:paraId="63B9F1A8" w14:textId="1DDF14E4" w:rsidR="00B92ECA" w:rsidRDefault="00B92ECA" w:rsidP="00B92ECA">
      <w:pPr>
        <w:pStyle w:val="Cele"/>
        <w:rPr>
          <w:rStyle w:val="CeleZnak"/>
          <w:b/>
        </w:rPr>
      </w:pPr>
      <w:r w:rsidRPr="00DF1FDE">
        <w:rPr>
          <w:b/>
          <w:bCs/>
        </w:rPr>
        <w:t>Celem jest ograniczenie ryzyka wystąpienia sytuacji skutkującej ograniczeniami dostaw energii elektrycznej do odbiorców lub zapobieżenie zaistnienia kryzysu w</w:t>
      </w:r>
      <w:r w:rsidR="006B025B">
        <w:rPr>
          <w:b/>
          <w:bCs/>
        </w:rPr>
        <w:t> </w:t>
      </w:r>
      <w:r w:rsidRPr="00DF1FDE">
        <w:rPr>
          <w:b/>
          <w:bCs/>
        </w:rPr>
        <w:t xml:space="preserve">sektorze elektroenergetycznym, zwłaszcza na wypadek wystąpienia sytuacji nadzwyczajnej niezależnie od przyczyn jej powstania oraz skali oddziaływania </w:t>
      </w:r>
    </w:p>
    <w:p w14:paraId="53FE4C36" w14:textId="77777777" w:rsidR="000D74A4" w:rsidRDefault="000D74A4" w:rsidP="003C46A0">
      <w:pPr>
        <w:keepNext/>
        <w:spacing w:before="240" w:after="80"/>
        <w:rPr>
          <w:rFonts w:ascii="Bahnschrift" w:hAnsi="Bahnschrift"/>
        </w:rPr>
      </w:pPr>
      <w:r w:rsidRPr="00C46DAA">
        <w:rPr>
          <w:rFonts w:ascii="Bahnschrift" w:hAnsi="Bahnschrift"/>
          <w:b/>
          <w:bCs/>
          <w:sz w:val="32"/>
          <w:szCs w:val="32"/>
        </w:rPr>
        <w:t>POLITYKA</w:t>
      </w:r>
    </w:p>
    <w:p w14:paraId="41DF4553" w14:textId="2528C13C" w:rsidR="00B92ECA" w:rsidRDefault="00B92ECA" w:rsidP="00B92ECA">
      <w:r>
        <w:t>G</w:t>
      </w:r>
      <w:r w:rsidRPr="00ED0B20">
        <w:t xml:space="preserve">otowość do </w:t>
      </w:r>
      <w:r>
        <w:t xml:space="preserve">zapobiegania i </w:t>
      </w:r>
      <w:r w:rsidRPr="00ED0B20">
        <w:t xml:space="preserve">radzenia sobie z ograniczeniami w dostawach </w:t>
      </w:r>
      <w:r>
        <w:t>energii elektrycznej</w:t>
      </w:r>
      <w:r w:rsidRPr="00ED0B20">
        <w:t xml:space="preserve"> w</w:t>
      </w:r>
      <w:r>
        <w:t> </w:t>
      </w:r>
      <w:r w:rsidRPr="00ED0B20">
        <w:t xml:space="preserve">sytuacjach nadzwyczajnych </w:t>
      </w:r>
      <w:r>
        <w:t xml:space="preserve">i kryzysowych opiera się przede wszystkim na </w:t>
      </w:r>
      <w:r w:rsidRPr="00ED0B20">
        <w:t>posiadani</w:t>
      </w:r>
      <w:r>
        <w:t>u</w:t>
      </w:r>
      <w:r w:rsidRPr="00ED0B20">
        <w:t xml:space="preserve"> odpowiedni</w:t>
      </w:r>
      <w:r>
        <w:t>ch zasobów technicznych</w:t>
      </w:r>
      <w:r w:rsidR="00F509D4">
        <w:t>,</w:t>
      </w:r>
      <w:r w:rsidRPr="00ED0B20">
        <w:t xml:space="preserve"> </w:t>
      </w:r>
      <w:r>
        <w:t xml:space="preserve">pozwalających na zapewnienie wystarczających zdolności do wytwarzania, magazynowania, przesyłania i dystrybucji energii elektrycznej, realizowane przez wykwalifikowane kadry pracowników, a także zestawie </w:t>
      </w:r>
      <w:r w:rsidRPr="00ED0B20">
        <w:t>procedur oraz rozwiązań</w:t>
      </w:r>
      <w:r>
        <w:t xml:space="preserve"> pozwalających na podejmowanie właściwych działań, profesjonalne zarządzanie zasobami i uniknięcie sytuacji kryzysowych lub zarządzanie nimi oraz mitygowanie ich skutków w wypadku ich wystąpienia. </w:t>
      </w:r>
    </w:p>
    <w:p w14:paraId="2D736868" w14:textId="77777777" w:rsidR="00B92ECA" w:rsidRDefault="00B92ECA" w:rsidP="00B92ECA">
      <w:r>
        <w:t>W tym celu, zgodnie z terminami określonymi przepisami prawa i potrzebami w zakresie zapewnienia bezpieczeństwa energetycznego państwa, aktualizowane będą:</w:t>
      </w:r>
    </w:p>
    <w:p w14:paraId="4F2A2CC4" w14:textId="77777777" w:rsidR="006A2F2E" w:rsidRPr="00F27800" w:rsidRDefault="006A2F2E" w:rsidP="00612B5D">
      <w:pPr>
        <w:pStyle w:val="Akapitzlist"/>
        <w:numPr>
          <w:ilvl w:val="0"/>
          <w:numId w:val="32"/>
        </w:numPr>
        <w:rPr>
          <w:b/>
          <w:bCs/>
        </w:rPr>
      </w:pPr>
      <w:r w:rsidRPr="00C06454">
        <w:t xml:space="preserve">ustawa Prawo energetyczne, </w:t>
      </w:r>
    </w:p>
    <w:p w14:paraId="20043B6A" w14:textId="77777777" w:rsidR="006A2F2E" w:rsidRPr="0037385E" w:rsidRDefault="006A2F2E" w:rsidP="00612B5D">
      <w:pPr>
        <w:pStyle w:val="Akapitzlist"/>
        <w:numPr>
          <w:ilvl w:val="0"/>
          <w:numId w:val="32"/>
        </w:numPr>
        <w:rPr>
          <w:b/>
          <w:bCs/>
        </w:rPr>
      </w:pPr>
      <w:r>
        <w:t>p</w:t>
      </w:r>
      <w:r w:rsidRPr="00C06454">
        <w:t xml:space="preserve">lan gotowości na wypadek zagrożeń, </w:t>
      </w:r>
    </w:p>
    <w:p w14:paraId="5D680DAC" w14:textId="77777777" w:rsidR="006A2F2E" w:rsidRPr="008B2AE8" w:rsidRDefault="006A2F2E" w:rsidP="00612B5D">
      <w:pPr>
        <w:pStyle w:val="Akapitzlist"/>
        <w:numPr>
          <w:ilvl w:val="0"/>
          <w:numId w:val="32"/>
        </w:numPr>
        <w:rPr>
          <w:b/>
          <w:bCs/>
        </w:rPr>
      </w:pPr>
      <w:r>
        <w:t>r</w:t>
      </w:r>
      <w:r w:rsidRPr="00C06454">
        <w:t xml:space="preserve">ozporządzenie w sprawie szczegółowych zasad i trybu wprowadzania ograniczeń w sprzedaży i poborze energii elektrycznej, </w:t>
      </w:r>
    </w:p>
    <w:p w14:paraId="7BE17A37" w14:textId="77777777" w:rsidR="006A2F2E" w:rsidRPr="0037385E" w:rsidRDefault="006A2F2E" w:rsidP="00612B5D">
      <w:pPr>
        <w:pStyle w:val="Akapitzlist"/>
        <w:numPr>
          <w:ilvl w:val="0"/>
          <w:numId w:val="32"/>
        </w:numPr>
        <w:rPr>
          <w:b/>
          <w:bCs/>
        </w:rPr>
      </w:pPr>
      <w:r>
        <w:t>r</w:t>
      </w:r>
      <w:r w:rsidRPr="00C06454">
        <w:t>ozporządzenie w</w:t>
      </w:r>
      <w:r>
        <w:t xml:space="preserve"> </w:t>
      </w:r>
      <w:r w:rsidRPr="00C06454">
        <w:t>s</w:t>
      </w:r>
      <w:r>
        <w:t>prawie</w:t>
      </w:r>
      <w:r w:rsidRPr="00C06454">
        <w:t xml:space="preserve"> szczegółowych zasad stwierdzania posiadania kwalifikacji przez osoby zajmujące się eksploatacją urządzeń, instalacji i sieci</w:t>
      </w:r>
      <w:r>
        <w:t xml:space="preserve">, </w:t>
      </w:r>
    </w:p>
    <w:p w14:paraId="713D1F12" w14:textId="6E07DB74" w:rsidR="000D74A4" w:rsidRPr="00583A8D" w:rsidRDefault="006A2F2E" w:rsidP="00612B5D">
      <w:pPr>
        <w:pStyle w:val="Akapitzlist"/>
        <w:numPr>
          <w:ilvl w:val="0"/>
          <w:numId w:val="32"/>
        </w:numPr>
        <w:rPr>
          <w:b/>
          <w:bCs/>
        </w:rPr>
      </w:pPr>
      <w:r>
        <w:t>p</w:t>
      </w:r>
      <w:r w:rsidRPr="003D3F9D">
        <w:t>lany odbudowy systemu</w:t>
      </w:r>
      <w:r>
        <w:t xml:space="preserve"> </w:t>
      </w:r>
      <w:r w:rsidRPr="00C06454">
        <w:t xml:space="preserve">oraz przygotowywane </w:t>
      </w:r>
      <w:r>
        <w:t>s</w:t>
      </w:r>
      <w:r w:rsidRPr="00C06454">
        <w:t xml:space="preserve">prawozdanie z </w:t>
      </w:r>
      <w:r>
        <w:t>w</w:t>
      </w:r>
      <w:r w:rsidRPr="00C06454">
        <w:t xml:space="preserve">yników </w:t>
      </w:r>
      <w:r>
        <w:t>m</w:t>
      </w:r>
      <w:r w:rsidRPr="00C06454">
        <w:t xml:space="preserve">onitorowania </w:t>
      </w:r>
      <w:r>
        <w:t>b</w:t>
      </w:r>
      <w:r w:rsidRPr="00C06454">
        <w:t xml:space="preserve">ezpieczeństwa </w:t>
      </w:r>
      <w:r>
        <w:t>d</w:t>
      </w:r>
      <w:r w:rsidRPr="00C06454">
        <w:t xml:space="preserve">ostaw </w:t>
      </w:r>
      <w:r>
        <w:t>e</w:t>
      </w:r>
      <w:r w:rsidRPr="00C06454">
        <w:t xml:space="preserve">nergii </w:t>
      </w:r>
      <w:r>
        <w:t>e</w:t>
      </w:r>
      <w:r w:rsidRPr="00C06454">
        <w:t>lektrycznej.</w:t>
      </w:r>
    </w:p>
    <w:p w14:paraId="2244D03B" w14:textId="77777777" w:rsidR="006B025B" w:rsidRDefault="006B025B" w:rsidP="000D74A4">
      <w:pPr>
        <w:spacing w:before="240" w:after="80"/>
        <w:rPr>
          <w:rFonts w:ascii="Bahnschrift" w:hAnsi="Bahnschrift"/>
          <w:b/>
          <w:bCs/>
          <w:sz w:val="32"/>
          <w:szCs w:val="32"/>
        </w:rPr>
      </w:pPr>
    </w:p>
    <w:p w14:paraId="50DDF0CC" w14:textId="4FB65E19" w:rsidR="000D74A4" w:rsidRPr="00C46DAA" w:rsidRDefault="000D74A4" w:rsidP="000D74A4">
      <w:pPr>
        <w:spacing w:before="240" w:after="80"/>
        <w:rPr>
          <w:rFonts w:ascii="Bahnschrift" w:hAnsi="Bahnschrift"/>
          <w:sz w:val="32"/>
          <w:szCs w:val="32"/>
        </w:rPr>
      </w:pPr>
      <w:r w:rsidRPr="00C46DAA">
        <w:rPr>
          <w:rFonts w:ascii="Bahnschrift" w:hAnsi="Bahnschrift"/>
          <w:b/>
          <w:bCs/>
          <w:sz w:val="32"/>
          <w:szCs w:val="32"/>
        </w:rPr>
        <w:t>DZIAŁANIA</w:t>
      </w:r>
    </w:p>
    <w:p w14:paraId="2EDF3D67" w14:textId="284E8075" w:rsidR="002578B2" w:rsidRDefault="003B04EC" w:rsidP="000D74A4">
      <w:pPr>
        <w:pStyle w:val="Akapitzlist"/>
        <w:numPr>
          <w:ilvl w:val="0"/>
          <w:numId w:val="6"/>
        </w:numPr>
      </w:pPr>
      <w:r>
        <w:fldChar w:fldCharType="begin"/>
      </w:r>
      <w:r>
        <w:instrText xml:space="preserve"> REF _Ref159310020 \h </w:instrText>
      </w:r>
      <w:r>
        <w:fldChar w:fldCharType="separate"/>
      </w:r>
      <w:r w:rsidR="00DD3929" w:rsidRPr="00BA3E0C">
        <w:t xml:space="preserve">Działanie </w:t>
      </w:r>
      <w:r w:rsidR="00DD3929">
        <w:rPr>
          <w:noProof/>
        </w:rPr>
        <w:t>119</w:t>
      </w:r>
      <w:r w:rsidR="00DD3929" w:rsidRPr="00BA3E0C">
        <w:t>.</w:t>
      </w:r>
      <w:r w:rsidR="00DD3929">
        <w:t xml:space="preserve"> Wdrażanie wielkoskalowej energetyki jądrowej.</w:t>
      </w:r>
      <w:r>
        <w:fldChar w:fldCharType="end"/>
      </w:r>
    </w:p>
    <w:p w14:paraId="23B2FCAC" w14:textId="10AF5839" w:rsidR="003B04EC" w:rsidRDefault="003B04EC" w:rsidP="000D74A4">
      <w:pPr>
        <w:pStyle w:val="Akapitzlist"/>
        <w:numPr>
          <w:ilvl w:val="0"/>
          <w:numId w:val="6"/>
        </w:numPr>
      </w:pPr>
      <w:r>
        <w:fldChar w:fldCharType="begin"/>
      </w:r>
      <w:r>
        <w:instrText xml:space="preserve"> REF _Ref159313085 \h </w:instrText>
      </w:r>
      <w:r>
        <w:fldChar w:fldCharType="separate"/>
      </w:r>
      <w:r w:rsidR="00DD3929" w:rsidRPr="00BA3E0C">
        <w:t xml:space="preserve">Działanie </w:t>
      </w:r>
      <w:r w:rsidR="00DD3929">
        <w:rPr>
          <w:noProof/>
        </w:rPr>
        <w:t>118</w:t>
      </w:r>
      <w:r w:rsidR="00DD3929" w:rsidRPr="00BA3E0C">
        <w:t>.</w:t>
      </w:r>
      <w:r w:rsidR="00DD3929">
        <w:t xml:space="preserve"> </w:t>
      </w:r>
      <w:r w:rsidR="00DD3929" w:rsidRPr="00BA3E0C">
        <w:t>Instrument finansowy – Rynek mocy.</w:t>
      </w:r>
      <w:r>
        <w:fldChar w:fldCharType="end"/>
      </w:r>
    </w:p>
    <w:p w14:paraId="74C0C0A7" w14:textId="1391EF89" w:rsidR="003B04EC" w:rsidRDefault="003B04EC" w:rsidP="000D74A4">
      <w:pPr>
        <w:pStyle w:val="Akapitzlist"/>
        <w:numPr>
          <w:ilvl w:val="0"/>
          <w:numId w:val="6"/>
        </w:numPr>
      </w:pPr>
      <w:r>
        <w:fldChar w:fldCharType="begin"/>
      </w:r>
      <w:r>
        <w:instrText xml:space="preserve"> REF _Ref157436008 \h </w:instrText>
      </w:r>
      <w:r>
        <w:fldChar w:fldCharType="separate"/>
      </w:r>
      <w:r w:rsidR="00DD3929" w:rsidRPr="00570679">
        <w:t xml:space="preserve">Działanie </w:t>
      </w:r>
      <w:r w:rsidR="00DD3929">
        <w:rPr>
          <w:noProof/>
        </w:rPr>
        <w:t>121</w:t>
      </w:r>
      <w:r w:rsidR="00DD3929" w:rsidRPr="00570679">
        <w:t>. Wzmacnianie cyberbezpieczeństwa w sektorze energii.</w:t>
      </w:r>
      <w:r>
        <w:fldChar w:fldCharType="end"/>
      </w:r>
    </w:p>
    <w:p w14:paraId="57F3283F" w14:textId="776C69DD" w:rsidR="008A74E4" w:rsidRDefault="008A74E4" w:rsidP="000D74A4">
      <w:pPr>
        <w:pStyle w:val="Akapitzlist"/>
        <w:numPr>
          <w:ilvl w:val="0"/>
          <w:numId w:val="6"/>
        </w:numPr>
      </w:pPr>
      <w:r>
        <w:fldChar w:fldCharType="begin"/>
      </w:r>
      <w:r>
        <w:instrText xml:space="preserve"> REF _Ref159501012 \h </w:instrText>
      </w:r>
      <w:r>
        <w:fldChar w:fldCharType="separate"/>
      </w:r>
      <w:r w:rsidR="00DD3929" w:rsidRPr="00570679">
        <w:t xml:space="preserve">Działanie </w:t>
      </w:r>
      <w:r w:rsidR="00DD3929">
        <w:rPr>
          <w:noProof/>
        </w:rPr>
        <w:t>123</w:t>
      </w:r>
      <w:r w:rsidR="00DD3929" w:rsidRPr="00570679">
        <w:t xml:space="preserve">. </w:t>
      </w:r>
      <w:r w:rsidR="00DD3929" w:rsidRPr="00A230B1">
        <w:t>Zapobieganie i zarządzanie ograniczeniami dostaw energii elektrycznej</w:t>
      </w:r>
      <w:r w:rsidR="00DD3929">
        <w:t>.</w:t>
      </w:r>
      <w:r>
        <w:fldChar w:fldCharType="end"/>
      </w:r>
    </w:p>
    <w:p w14:paraId="7425D451" w14:textId="3BB88855" w:rsidR="008A74E4" w:rsidRDefault="008A74E4" w:rsidP="000D74A4">
      <w:pPr>
        <w:pStyle w:val="Akapitzlist"/>
        <w:numPr>
          <w:ilvl w:val="0"/>
          <w:numId w:val="6"/>
        </w:numPr>
      </w:pPr>
      <w:r>
        <w:fldChar w:fldCharType="begin"/>
      </w:r>
      <w:r>
        <w:instrText xml:space="preserve"> REF _Ref159500964 \h </w:instrText>
      </w:r>
      <w:r>
        <w:fldChar w:fldCharType="separate"/>
      </w:r>
      <w:r w:rsidR="00DD3929" w:rsidRPr="00570679">
        <w:t xml:space="preserve">Działanie </w:t>
      </w:r>
      <w:r w:rsidR="00DD3929">
        <w:rPr>
          <w:noProof/>
        </w:rPr>
        <w:t>125</w:t>
      </w:r>
      <w:r w:rsidR="00DD3929" w:rsidRPr="00570679">
        <w:t>. Modernizacja i rozbudowa</w:t>
      </w:r>
      <w:r w:rsidR="00DD3929">
        <w:t xml:space="preserve"> </w:t>
      </w:r>
      <w:r w:rsidR="00DD3929" w:rsidRPr="00A230B1">
        <w:t>linii przesyłowych wewnątrz KSE w celu umożliwienia zwiększania przepływów transgranicznyc</w:t>
      </w:r>
      <w:r w:rsidR="00DD3929">
        <w:t>h</w:t>
      </w:r>
      <w:r w:rsidR="00DD3929" w:rsidRPr="00570679">
        <w:t>.</w:t>
      </w:r>
      <w:r>
        <w:fldChar w:fldCharType="end"/>
      </w:r>
    </w:p>
    <w:p w14:paraId="3BCCA064" w14:textId="71913BD9" w:rsidR="008A74E4" w:rsidRDefault="008A74E4" w:rsidP="000D74A4">
      <w:pPr>
        <w:pStyle w:val="Akapitzlist"/>
        <w:numPr>
          <w:ilvl w:val="0"/>
          <w:numId w:val="6"/>
        </w:numPr>
      </w:pPr>
      <w:r>
        <w:fldChar w:fldCharType="begin"/>
      </w:r>
      <w:r>
        <w:instrText xml:space="preserve"> REF _Ref159500534 \h </w:instrText>
      </w:r>
      <w:r>
        <w:fldChar w:fldCharType="separate"/>
      </w:r>
      <w:r w:rsidR="00DD3929" w:rsidRPr="00570679">
        <w:t xml:space="preserve">Działanie </w:t>
      </w:r>
      <w:r w:rsidR="00DD3929">
        <w:rPr>
          <w:noProof/>
        </w:rPr>
        <w:t>131</w:t>
      </w:r>
      <w:r w:rsidR="00DD3929" w:rsidRPr="00570679">
        <w:t xml:space="preserve">. </w:t>
      </w:r>
      <w:r w:rsidR="00DD3929">
        <w:t xml:space="preserve">Rozwój i </w:t>
      </w:r>
      <w:r w:rsidR="00DD3929" w:rsidRPr="00B31627">
        <w:t>modernizacja</w:t>
      </w:r>
      <w:r w:rsidR="00DD3929">
        <w:t xml:space="preserve"> elektroenergetycznych sieci przesyłowych i dystrybucyjnych</w:t>
      </w:r>
      <w:r w:rsidR="00DD3929" w:rsidRPr="00570679">
        <w:t>.</w:t>
      </w:r>
      <w:r>
        <w:fldChar w:fldCharType="end"/>
      </w:r>
    </w:p>
    <w:p w14:paraId="32F41E7B" w14:textId="553AD4D7" w:rsidR="000D74A4" w:rsidRDefault="000D74A4" w:rsidP="007F22F4"/>
    <w:p w14:paraId="5141EE5F" w14:textId="77777777" w:rsidR="00095AC4" w:rsidRDefault="00095AC4" w:rsidP="00901681">
      <w:pPr>
        <w:pStyle w:val="tyturys"/>
      </w:pPr>
      <w:r>
        <w:br w:type="page"/>
      </w:r>
    </w:p>
    <w:p w14:paraId="188F2BCB" w14:textId="77777777" w:rsidR="00095AC4" w:rsidRDefault="00095AC4" w:rsidP="00901681">
      <w:pPr>
        <w:pStyle w:val="tyturys"/>
      </w:pPr>
    </w:p>
    <w:p w14:paraId="7186F69C" w14:textId="77777777" w:rsidR="00095AC4" w:rsidRDefault="00095AC4" w:rsidP="00901681">
      <w:pPr>
        <w:pStyle w:val="tyturys"/>
      </w:pPr>
    </w:p>
    <w:p w14:paraId="4711968F" w14:textId="478FC50A" w:rsidR="00583A8D" w:rsidRDefault="00583A8D" w:rsidP="00901681">
      <w:pPr>
        <w:pStyle w:val="tyturys"/>
      </w:pPr>
      <w:r>
        <w:t>Prognoza mocy osiągalnej</w:t>
      </w:r>
      <w:r w:rsidR="00901681">
        <w:t xml:space="preserve"> netto wytwarzania energii elektrycznej</w:t>
      </w:r>
    </w:p>
    <w:p w14:paraId="06025B1C" w14:textId="77777777" w:rsidR="00095AC4" w:rsidRDefault="00095AC4" w:rsidP="00901681">
      <w:pPr>
        <w:pStyle w:val="tyturys"/>
      </w:pPr>
    </w:p>
    <w:p w14:paraId="12468075" w14:textId="498E0A6B" w:rsidR="000D74A4" w:rsidRDefault="00AD258A" w:rsidP="00901681">
      <w:pPr>
        <w:spacing w:after="360"/>
      </w:pPr>
      <w:r>
        <w:rPr>
          <w:noProof/>
        </w:rPr>
        <w:drawing>
          <wp:anchor distT="0" distB="0" distL="114300" distR="114300" simplePos="0" relativeHeight="251875328" behindDoc="0" locked="0" layoutInCell="1" allowOverlap="1" wp14:anchorId="49577050" wp14:editId="2DB2BB4F">
            <wp:simplePos x="0" y="0"/>
            <wp:positionH relativeFrom="column">
              <wp:posOffset>186055</wp:posOffset>
            </wp:positionH>
            <wp:positionV relativeFrom="paragraph">
              <wp:posOffset>213360</wp:posOffset>
            </wp:positionV>
            <wp:extent cx="5509895" cy="2686050"/>
            <wp:effectExtent l="0" t="0" r="0" b="0"/>
            <wp:wrapTight wrapText="bothSides">
              <wp:wrapPolygon edited="0">
                <wp:start x="0" y="0"/>
                <wp:lineTo x="0" y="21447"/>
                <wp:lineTo x="21508" y="21447"/>
                <wp:lineTo x="21508" y="0"/>
                <wp:lineTo x="0" y="0"/>
              </wp:wrapPolygon>
            </wp:wrapTight>
            <wp:docPr id="595211250" name="Wykres 1">
              <a:extLst xmlns:a="http://schemas.openxmlformats.org/drawingml/2006/main">
                <a:ext uri="{FF2B5EF4-FFF2-40B4-BE49-F238E27FC236}">
                  <a16:creationId xmlns:a16="http://schemas.microsoft.com/office/drawing/2014/main" id="{96D932C0-A65F-3760-B2B5-874F2426068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14:sizeRelH relativeFrom="margin">
              <wp14:pctWidth>0</wp14:pctWidth>
            </wp14:sizeRelH>
            <wp14:sizeRelV relativeFrom="margin">
              <wp14:pctHeight>0</wp14:pctHeight>
            </wp14:sizeRelV>
          </wp:anchor>
        </w:drawing>
      </w:r>
    </w:p>
    <w:p w14:paraId="385FE631" w14:textId="77777777" w:rsidR="00583A8D" w:rsidRDefault="00583A8D" w:rsidP="007F22F4"/>
    <w:p w14:paraId="6AF8D348" w14:textId="77777777" w:rsidR="00095AC4" w:rsidRDefault="00095AC4" w:rsidP="00901681">
      <w:pPr>
        <w:pStyle w:val="tyturys"/>
      </w:pPr>
    </w:p>
    <w:p w14:paraId="29B3FD2B" w14:textId="77777777" w:rsidR="00095AC4" w:rsidRDefault="00095AC4" w:rsidP="00901681">
      <w:pPr>
        <w:pStyle w:val="tyturys"/>
      </w:pPr>
    </w:p>
    <w:p w14:paraId="48FAE1EE" w14:textId="61AFA0AD" w:rsidR="00901681" w:rsidRDefault="00901681" w:rsidP="00901681">
      <w:pPr>
        <w:pStyle w:val="tyturys"/>
      </w:pPr>
      <w:r>
        <w:t xml:space="preserve">Prognoza produkcji energii elektrycznej brutto </w:t>
      </w:r>
    </w:p>
    <w:p w14:paraId="4E1B4149" w14:textId="77777777" w:rsidR="00095AC4" w:rsidRDefault="00095AC4" w:rsidP="00901681">
      <w:pPr>
        <w:pStyle w:val="tyturys"/>
      </w:pPr>
    </w:p>
    <w:p w14:paraId="352B77E6" w14:textId="53FE0774" w:rsidR="00901681" w:rsidRDefault="00901681" w:rsidP="007F22F4">
      <w:pPr>
        <w:sectPr w:rsidR="00901681" w:rsidSect="005209BA">
          <w:pgSz w:w="11906" w:h="16838"/>
          <w:pgMar w:top="1417" w:right="1417" w:bottom="1417" w:left="1417" w:header="708" w:footer="708" w:gutter="0"/>
          <w:cols w:space="708"/>
          <w:docGrid w:linePitch="360"/>
        </w:sectPr>
      </w:pPr>
      <w:r>
        <w:rPr>
          <w:noProof/>
        </w:rPr>
        <w:drawing>
          <wp:anchor distT="0" distB="0" distL="114300" distR="114300" simplePos="0" relativeHeight="251877376" behindDoc="0" locked="0" layoutInCell="1" allowOverlap="1" wp14:anchorId="5370D78A" wp14:editId="57FC1B5A">
            <wp:simplePos x="0" y="0"/>
            <wp:positionH relativeFrom="margin">
              <wp:align>right</wp:align>
            </wp:positionH>
            <wp:positionV relativeFrom="paragraph">
              <wp:posOffset>19050</wp:posOffset>
            </wp:positionV>
            <wp:extent cx="5760720" cy="2980690"/>
            <wp:effectExtent l="0" t="0" r="0" b="0"/>
            <wp:wrapTight wrapText="bothSides">
              <wp:wrapPolygon edited="0">
                <wp:start x="0" y="0"/>
                <wp:lineTo x="0" y="21398"/>
                <wp:lineTo x="21500" y="21398"/>
                <wp:lineTo x="21500" y="0"/>
                <wp:lineTo x="0" y="0"/>
              </wp:wrapPolygon>
            </wp:wrapTight>
            <wp:docPr id="1287653075" name="Wykres 1">
              <a:extLst xmlns:a="http://schemas.openxmlformats.org/drawingml/2006/main">
                <a:ext uri="{FF2B5EF4-FFF2-40B4-BE49-F238E27FC236}">
                  <a16:creationId xmlns:a16="http://schemas.microsoft.com/office/drawing/2014/main" id="{FB688A56-2008-EA66-C672-ECD98C718A0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14:sizeRelH relativeFrom="margin">
              <wp14:pctWidth>0</wp14:pctWidth>
            </wp14:sizeRelH>
            <wp14:sizeRelV relativeFrom="margin">
              <wp14:pctHeight>0</wp14:pctHeight>
            </wp14:sizeRelV>
          </wp:anchor>
        </w:drawing>
      </w:r>
    </w:p>
    <w:p w14:paraId="441797A6" w14:textId="3F5647A3" w:rsidR="00DC3D34" w:rsidRDefault="00AE5592" w:rsidP="007F22F4">
      <w:r w:rsidRPr="00B6117F">
        <w:rPr>
          <w:noProof/>
        </w:rPr>
        <w:drawing>
          <wp:anchor distT="0" distB="0" distL="114300" distR="114300" simplePos="0" relativeHeight="251670016" behindDoc="0" locked="0" layoutInCell="1" allowOverlap="1" wp14:anchorId="01621C7D" wp14:editId="5CD449AB">
            <wp:simplePos x="0" y="0"/>
            <wp:positionH relativeFrom="margin">
              <wp:align>center</wp:align>
            </wp:positionH>
            <wp:positionV relativeFrom="paragraph">
              <wp:posOffset>-592455</wp:posOffset>
            </wp:positionV>
            <wp:extent cx="6983730" cy="3933825"/>
            <wp:effectExtent l="0" t="0" r="7620" b="9525"/>
            <wp:wrapNone/>
            <wp:docPr id="3" name="Obraz 2" descr="Obraz zawierający niebo, na wolnym powietrzu, Napowietrzna linia energetyczna, elektryczność&#10;&#10;Opis wygenerowany automatycznie">
              <a:extLst xmlns:a="http://schemas.openxmlformats.org/drawingml/2006/main">
                <a:ext uri="{FF2B5EF4-FFF2-40B4-BE49-F238E27FC236}">
                  <a16:creationId xmlns:a16="http://schemas.microsoft.com/office/drawing/2014/main" id="{343002F4-2713-C5F5-D6F1-2573795687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 2" descr="Obraz zawierający niebo, na wolnym powietrzu, Napowietrzna linia energetyczna, elektryczność&#10;&#10;Opis wygenerowany automatycznie">
                      <a:extLst>
                        <a:ext uri="{FF2B5EF4-FFF2-40B4-BE49-F238E27FC236}">
                          <a16:creationId xmlns:a16="http://schemas.microsoft.com/office/drawing/2014/main" id="{343002F4-2713-C5F5-D6F1-2573795687DE}"/>
                        </a:ext>
                      </a:extLst>
                    </pic:cNvPr>
                    <pic:cNvPicPr>
                      <a:picLocks noChangeAspect="1"/>
                    </pic:cNvPicPr>
                  </pic:nvPicPr>
                  <pic:blipFill rotWithShape="1">
                    <a:blip r:embed="rId81" cstate="print">
                      <a:extLst>
                        <a:ext uri="{28A0092B-C50C-407E-A947-70E740481C1C}">
                          <a14:useLocalDpi xmlns:a14="http://schemas.microsoft.com/office/drawing/2010/main" val="0"/>
                        </a:ext>
                      </a:extLst>
                    </a:blip>
                    <a:srcRect/>
                    <a:stretch/>
                  </pic:blipFill>
                  <pic:spPr bwMode="auto">
                    <a:xfrm>
                      <a:off x="0" y="0"/>
                      <a:ext cx="6983730" cy="39338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110E8">
        <w:rPr>
          <w:noProof/>
        </w:rPr>
        <w:t xml:space="preserve"> </w:t>
      </w:r>
    </w:p>
    <w:p w14:paraId="3D14210F" w14:textId="315FB6B1" w:rsidR="00691EA7" w:rsidRDefault="00490E3D" w:rsidP="00B6117F">
      <w:pPr>
        <w:pStyle w:val="Nagwek2"/>
      </w:pPr>
      <w:r>
        <w:t xml:space="preserve"> </w:t>
      </w:r>
      <w:bookmarkStart w:id="208" w:name="_Toc159598335"/>
      <w:bookmarkStart w:id="209" w:name="_Toc179536986"/>
      <w:r w:rsidR="00880B30">
        <w:t>Wewnątrzunijny</w:t>
      </w:r>
      <w:r w:rsidR="00691EA7">
        <w:t xml:space="preserve"> rynek energii</w:t>
      </w:r>
      <w:r w:rsidR="00517CE9">
        <w:t xml:space="preserve"> oraz społeczny aspekt transformacji</w:t>
      </w:r>
      <w:bookmarkEnd w:id="208"/>
      <w:bookmarkEnd w:id="209"/>
    </w:p>
    <w:p w14:paraId="2EF2691E" w14:textId="77777777" w:rsidR="00B6117F" w:rsidRDefault="00B6117F" w:rsidP="00B6117F"/>
    <w:p w14:paraId="06D21D0E" w14:textId="77777777" w:rsidR="00E23B70" w:rsidRDefault="00E23B70" w:rsidP="00B6117F"/>
    <w:p w14:paraId="40825798" w14:textId="77777777" w:rsidR="00E23B70" w:rsidRDefault="00E23B70" w:rsidP="00B6117F"/>
    <w:p w14:paraId="7CC7052E" w14:textId="77777777" w:rsidR="00E23B70" w:rsidRDefault="00E23B70" w:rsidP="00B6117F"/>
    <w:p w14:paraId="072FE404" w14:textId="77777777" w:rsidR="00E23B70" w:rsidRDefault="00E23B70" w:rsidP="00B6117F"/>
    <w:p w14:paraId="06744288" w14:textId="77777777" w:rsidR="00E23B70" w:rsidRDefault="00E23B70" w:rsidP="00B6117F"/>
    <w:p w14:paraId="018ED867" w14:textId="77777777" w:rsidR="00E23B70" w:rsidRDefault="00E23B70" w:rsidP="00B6117F"/>
    <w:p w14:paraId="74F3F8D0" w14:textId="77777777" w:rsidR="00E23B70" w:rsidRDefault="00E23B70" w:rsidP="00B6117F"/>
    <w:p w14:paraId="44B0CE0B" w14:textId="5212F526" w:rsidR="00E23B70" w:rsidRDefault="00DE0CED" w:rsidP="00B6117F">
      <w:r>
        <w:rPr>
          <w:noProof/>
        </w:rPr>
        <mc:AlternateContent>
          <mc:Choice Requires="wps">
            <w:drawing>
              <wp:anchor distT="0" distB="0" distL="114300" distR="114300" simplePos="0" relativeHeight="251618304" behindDoc="0" locked="0" layoutInCell="1" allowOverlap="1" wp14:anchorId="71DD43D7" wp14:editId="43133C35">
                <wp:simplePos x="0" y="0"/>
                <wp:positionH relativeFrom="margin">
                  <wp:align>center</wp:align>
                </wp:positionH>
                <wp:positionV relativeFrom="paragraph">
                  <wp:posOffset>125730</wp:posOffset>
                </wp:positionV>
                <wp:extent cx="7019925" cy="2242185"/>
                <wp:effectExtent l="0" t="0" r="0" b="0"/>
                <wp:wrapNone/>
                <wp:docPr id="1293805704" name="Prostokąt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019925" cy="2242185"/>
                        </a:xfrm>
                        <a:prstGeom prst="rect">
                          <a:avLst/>
                        </a:prstGeom>
                        <a:solidFill>
                          <a:srgbClr val="FFC000">
                            <a:alpha val="80000"/>
                          </a:srgbClr>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7D356235" w14:textId="4CA0CF92" w:rsidR="00E23B70" w:rsidRPr="00B6117F" w:rsidRDefault="00924DDE" w:rsidP="00FC190C">
                            <w:pPr>
                              <w:spacing w:after="0"/>
                              <w:ind w:left="851"/>
                              <w:jc w:val="left"/>
                              <w:rPr>
                                <w:rFonts w:ascii="Bahnschrift" w:hAnsi="Bahnschrift"/>
                                <w:color w:val="FFFFFF" w:themeColor="light1"/>
                                <w:kern w:val="24"/>
                                <w:sz w:val="64"/>
                                <w:szCs w:val="64"/>
                              </w:rPr>
                            </w:pPr>
                            <w:r>
                              <w:rPr>
                                <w:rFonts w:ascii="Bahnschrift" w:hAnsi="Bahnschrift"/>
                                <w:color w:val="FFFFFF" w:themeColor="light1"/>
                                <w:kern w:val="24"/>
                                <w:sz w:val="56"/>
                                <w:szCs w:val="56"/>
                              </w:rPr>
                              <w:t>W</w:t>
                            </w:r>
                            <w:r w:rsidR="00E23B70">
                              <w:rPr>
                                <w:rFonts w:ascii="Bahnschrift" w:hAnsi="Bahnschrift"/>
                                <w:color w:val="FFFFFF" w:themeColor="light1"/>
                                <w:kern w:val="24"/>
                                <w:sz w:val="56"/>
                                <w:szCs w:val="56"/>
                              </w:rPr>
                              <w:t>ymiar</w:t>
                            </w:r>
                            <w:r>
                              <w:rPr>
                                <w:rFonts w:ascii="Bahnschrift" w:hAnsi="Bahnschrift"/>
                                <w:color w:val="FFFFFF" w:themeColor="light1"/>
                                <w:kern w:val="24"/>
                                <w:sz w:val="56"/>
                                <w:szCs w:val="56"/>
                              </w:rPr>
                              <w:t xml:space="preserve"> 4</w:t>
                            </w:r>
                            <w:r w:rsidR="00431806">
                              <w:rPr>
                                <w:rFonts w:ascii="Bahnschrift" w:hAnsi="Bahnschrift"/>
                                <w:color w:val="FFFFFF" w:themeColor="light1"/>
                                <w:kern w:val="24"/>
                                <w:sz w:val="56"/>
                                <w:szCs w:val="56"/>
                              </w:rPr>
                              <w:t>.</w:t>
                            </w:r>
                            <w:r w:rsidR="00E23B70">
                              <w:rPr>
                                <w:rFonts w:ascii="Bahnschrift" w:hAnsi="Bahnschrift"/>
                                <w:color w:val="FFFFFF" w:themeColor="light1"/>
                                <w:kern w:val="24"/>
                                <w:sz w:val="56"/>
                                <w:szCs w:val="56"/>
                              </w:rPr>
                              <w:t xml:space="preserve"> </w:t>
                            </w:r>
                            <w:r w:rsidR="00E23B70">
                              <w:rPr>
                                <w:rFonts w:ascii="Bahnschrift" w:hAnsi="Bahnschrift"/>
                                <w:color w:val="FFFFFF" w:themeColor="light1"/>
                                <w:kern w:val="24"/>
                                <w:sz w:val="72"/>
                                <w:szCs w:val="72"/>
                              </w:rPr>
                              <w:br/>
                            </w:r>
                            <w:r w:rsidR="00880B30" w:rsidRPr="00B6117F">
                              <w:rPr>
                                <w:rFonts w:ascii="Bahnschrift" w:hAnsi="Bahnschrift"/>
                                <w:color w:val="FFFFFF" w:themeColor="light1"/>
                                <w:kern w:val="24"/>
                                <w:sz w:val="64"/>
                                <w:szCs w:val="64"/>
                              </w:rPr>
                              <w:t>Wewnątrz</w:t>
                            </w:r>
                            <w:r w:rsidR="00880B30">
                              <w:rPr>
                                <w:rFonts w:ascii="Bahnschrift" w:hAnsi="Bahnschrift"/>
                                <w:color w:val="FFFFFF" w:themeColor="light1"/>
                                <w:kern w:val="24"/>
                                <w:sz w:val="64"/>
                                <w:szCs w:val="64"/>
                              </w:rPr>
                              <w:t>unijny</w:t>
                            </w:r>
                            <w:r w:rsidR="00E23B70" w:rsidRPr="00B6117F">
                              <w:rPr>
                                <w:rFonts w:ascii="Bahnschrift" w:hAnsi="Bahnschrift"/>
                                <w:color w:val="FFFFFF" w:themeColor="light1"/>
                                <w:kern w:val="24"/>
                                <w:sz w:val="64"/>
                                <w:szCs w:val="64"/>
                              </w:rPr>
                              <w:t xml:space="preserve"> rynek energii</w:t>
                            </w:r>
                            <w:r w:rsidR="00517CE9">
                              <w:rPr>
                                <w:rFonts w:ascii="Bahnschrift" w:hAnsi="Bahnschrift"/>
                                <w:color w:val="FFFFFF" w:themeColor="light1"/>
                                <w:kern w:val="24"/>
                                <w:sz w:val="64"/>
                                <w:szCs w:val="64"/>
                              </w:rPr>
                              <w:t xml:space="preserve"> </w:t>
                            </w:r>
                            <w:r w:rsidR="00517CE9">
                              <w:rPr>
                                <w:rFonts w:ascii="Bahnschrift" w:hAnsi="Bahnschrift"/>
                                <w:color w:val="FFFFFF" w:themeColor="light1"/>
                                <w:kern w:val="24"/>
                                <w:sz w:val="64"/>
                                <w:szCs w:val="64"/>
                              </w:rPr>
                              <w:br/>
                            </w:r>
                            <w:r w:rsidR="00517CE9" w:rsidRPr="00517CE9">
                              <w:rPr>
                                <w:rFonts w:ascii="Bahnschrift" w:hAnsi="Bahnschrift"/>
                                <w:color w:val="FFFFFF" w:themeColor="light1"/>
                                <w:kern w:val="24"/>
                                <w:sz w:val="54"/>
                                <w:szCs w:val="54"/>
                              </w:rPr>
                              <w:t>oraz społeczny aspekt transformacji</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71DD43D7" id="Prostokąt 19" o:spid="_x0000_s1105" style="position:absolute;left:0;text-align:left;margin-left:0;margin-top:9.9pt;width:552.75pt;height:176.55pt;z-index:25161830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" fillcolor="#ffc000" stroked="f" strokeweight="1pt">
                <v:fill opacity="52428f"/>
                <v:textbox>
                  <w:txbxContent>
                    <w:p w14:paraId="7D356235" w14:textId="4CA0CF92" w:rsidR="00E23B70" w:rsidRPr="00B6117F" w:rsidRDefault="00924DDE" w:rsidP="00FC190C">
                      <w:pPr>
                        <w:spacing w:after="0"/>
                        <w:ind w:left="851"/>
                        <w:jc w:val="left"/>
                        <w:rPr>
                          <w:rFonts w:ascii="Bahnschrift" w:hAnsi="Bahnschrift"/>
                          <w:color w:val="FFFFFF" w:themeColor="light1"/>
                          <w:kern w:val="24"/>
                          <w:sz w:val="64"/>
                          <w:szCs w:val="64"/>
                        </w:rPr>
                      </w:pPr>
                      <w:r>
                        <w:rPr>
                          <w:rFonts w:ascii="Bahnschrift" w:hAnsi="Bahnschrift"/>
                          <w:color w:val="FFFFFF" w:themeColor="light1"/>
                          <w:kern w:val="24"/>
                          <w:sz w:val="56"/>
                          <w:szCs w:val="56"/>
                        </w:rPr>
                        <w:t>W</w:t>
                      </w:r>
                      <w:r w:rsidR="00E23B70">
                        <w:rPr>
                          <w:rFonts w:ascii="Bahnschrift" w:hAnsi="Bahnschrift"/>
                          <w:color w:val="FFFFFF" w:themeColor="light1"/>
                          <w:kern w:val="24"/>
                          <w:sz w:val="56"/>
                          <w:szCs w:val="56"/>
                        </w:rPr>
                        <w:t>ymiar</w:t>
                      </w:r>
                      <w:r>
                        <w:rPr>
                          <w:rFonts w:ascii="Bahnschrift" w:hAnsi="Bahnschrift"/>
                          <w:color w:val="FFFFFF" w:themeColor="light1"/>
                          <w:kern w:val="24"/>
                          <w:sz w:val="56"/>
                          <w:szCs w:val="56"/>
                        </w:rPr>
                        <w:t xml:space="preserve"> 4</w:t>
                      </w:r>
                      <w:r w:rsidR="00431806">
                        <w:rPr>
                          <w:rFonts w:ascii="Bahnschrift" w:hAnsi="Bahnschrift"/>
                          <w:color w:val="FFFFFF" w:themeColor="light1"/>
                          <w:kern w:val="24"/>
                          <w:sz w:val="56"/>
                          <w:szCs w:val="56"/>
                        </w:rPr>
                        <w:t>.</w:t>
                      </w:r>
                      <w:r w:rsidR="00E23B70">
                        <w:rPr>
                          <w:rFonts w:ascii="Bahnschrift" w:hAnsi="Bahnschrift"/>
                          <w:color w:val="FFFFFF" w:themeColor="light1"/>
                          <w:kern w:val="24"/>
                          <w:sz w:val="56"/>
                          <w:szCs w:val="56"/>
                        </w:rPr>
                        <w:t xml:space="preserve"> </w:t>
                      </w:r>
                      <w:r w:rsidR="00E23B70">
                        <w:rPr>
                          <w:rFonts w:ascii="Bahnschrift" w:hAnsi="Bahnschrift"/>
                          <w:color w:val="FFFFFF" w:themeColor="light1"/>
                          <w:kern w:val="24"/>
                          <w:sz w:val="72"/>
                          <w:szCs w:val="72"/>
                        </w:rPr>
                        <w:br/>
                      </w:r>
                      <w:r w:rsidR="00880B30" w:rsidRPr="00B6117F">
                        <w:rPr>
                          <w:rFonts w:ascii="Bahnschrift" w:hAnsi="Bahnschrift"/>
                          <w:color w:val="FFFFFF" w:themeColor="light1"/>
                          <w:kern w:val="24"/>
                          <w:sz w:val="64"/>
                          <w:szCs w:val="64"/>
                        </w:rPr>
                        <w:t>Wewnątrz</w:t>
                      </w:r>
                      <w:r w:rsidR="00880B30">
                        <w:rPr>
                          <w:rFonts w:ascii="Bahnschrift" w:hAnsi="Bahnschrift"/>
                          <w:color w:val="FFFFFF" w:themeColor="light1"/>
                          <w:kern w:val="24"/>
                          <w:sz w:val="64"/>
                          <w:szCs w:val="64"/>
                        </w:rPr>
                        <w:t>unijny</w:t>
                      </w:r>
                      <w:r w:rsidR="00E23B70" w:rsidRPr="00B6117F">
                        <w:rPr>
                          <w:rFonts w:ascii="Bahnschrift" w:hAnsi="Bahnschrift"/>
                          <w:color w:val="FFFFFF" w:themeColor="light1"/>
                          <w:kern w:val="24"/>
                          <w:sz w:val="64"/>
                          <w:szCs w:val="64"/>
                        </w:rPr>
                        <w:t xml:space="preserve"> rynek energii</w:t>
                      </w:r>
                      <w:r w:rsidR="00517CE9">
                        <w:rPr>
                          <w:rFonts w:ascii="Bahnschrift" w:hAnsi="Bahnschrift"/>
                          <w:color w:val="FFFFFF" w:themeColor="light1"/>
                          <w:kern w:val="24"/>
                          <w:sz w:val="64"/>
                          <w:szCs w:val="64"/>
                        </w:rPr>
                        <w:t xml:space="preserve"> </w:t>
                      </w:r>
                      <w:r w:rsidR="00517CE9">
                        <w:rPr>
                          <w:rFonts w:ascii="Bahnschrift" w:hAnsi="Bahnschrift"/>
                          <w:color w:val="FFFFFF" w:themeColor="light1"/>
                          <w:kern w:val="24"/>
                          <w:sz w:val="64"/>
                          <w:szCs w:val="64"/>
                        </w:rPr>
                        <w:br/>
                      </w:r>
                      <w:r w:rsidR="00517CE9" w:rsidRPr="00517CE9">
                        <w:rPr>
                          <w:rFonts w:ascii="Bahnschrift" w:hAnsi="Bahnschrift"/>
                          <w:color w:val="FFFFFF" w:themeColor="light1"/>
                          <w:kern w:val="24"/>
                          <w:sz w:val="54"/>
                          <w:szCs w:val="54"/>
                        </w:rPr>
                        <w:t>oraz społeczny aspekt transformacji</w:t>
                      </w:r>
                    </w:p>
                  </w:txbxContent>
                </v:textbox>
                <w10:wrap anchorx="margin"/>
              </v:rect>
            </w:pict>
          </mc:Fallback>
        </mc:AlternateContent>
      </w:r>
    </w:p>
    <w:p w14:paraId="4024398D" w14:textId="4BEE5E2B" w:rsidR="00E23B70" w:rsidRDefault="00E23B70" w:rsidP="00B6117F"/>
    <w:p w14:paraId="22FB69D0" w14:textId="2BA9CAA9" w:rsidR="00E23B70" w:rsidRDefault="00E23B70" w:rsidP="00B6117F"/>
    <w:p w14:paraId="266FE0D0" w14:textId="6D5C2563" w:rsidR="00B6117F" w:rsidRDefault="00B6117F" w:rsidP="00B6117F"/>
    <w:p w14:paraId="68489B03" w14:textId="77777777" w:rsidR="00B6117F" w:rsidRDefault="00B6117F" w:rsidP="00B6117F"/>
    <w:p w14:paraId="2F7370D1" w14:textId="77777777" w:rsidR="00B6117F" w:rsidRDefault="00B6117F" w:rsidP="00B6117F"/>
    <w:p w14:paraId="12D9AC2A" w14:textId="530D3DEA" w:rsidR="00B6117F" w:rsidRDefault="00B6117F" w:rsidP="00B6117F"/>
    <w:p w14:paraId="18C6C30A" w14:textId="77777777" w:rsidR="00B6117F" w:rsidRDefault="00B6117F" w:rsidP="00B6117F"/>
    <w:p w14:paraId="3B3BD58D" w14:textId="6E610A46" w:rsidR="00B6117F" w:rsidRDefault="00B6117F" w:rsidP="00B6117F"/>
    <w:p w14:paraId="17BFC7B3" w14:textId="77777777" w:rsidR="00B6117F" w:rsidRDefault="00B6117F" w:rsidP="00B6117F"/>
    <w:p w14:paraId="554B67CC" w14:textId="77777777" w:rsidR="008057F6" w:rsidRDefault="008057F6" w:rsidP="00B6117F"/>
    <w:p w14:paraId="4BF8CA25" w14:textId="123141C7" w:rsidR="00116706" w:rsidRDefault="007B74D2" w:rsidP="00116706">
      <w:r>
        <w:t xml:space="preserve">Jedną z cech funkcjonowania Unii Europejskiej jest istnienie wewnętrznego rynku, który z jednej strony zapewnia swobodny przepływ towarów, osób, usług i kapitału, z drugiej opiera się na wspólnych zasadach </w:t>
      </w:r>
      <w:r w:rsidR="00601E54">
        <w:t>funkcjonowania</w:t>
      </w:r>
      <w:r w:rsidR="00B07093">
        <w:t xml:space="preserve"> dla wszystkich uczestników</w:t>
      </w:r>
      <w:r w:rsidR="00601E54">
        <w:t xml:space="preserve">. Z tego względu również rynek energii jest komponentem </w:t>
      </w:r>
      <w:r w:rsidR="00DE0AC8">
        <w:t>wewnątrzunijnego</w:t>
      </w:r>
      <w:r w:rsidR="00601E54">
        <w:t xml:space="preserve"> rynku, tak</w:t>
      </w:r>
      <w:r w:rsidR="00E2153B">
        <w:t> </w:t>
      </w:r>
      <w:r w:rsidR="00601E54">
        <w:t xml:space="preserve">aby ograniczać </w:t>
      </w:r>
      <w:r w:rsidR="00601E54" w:rsidRPr="00601E54">
        <w:t>barier</w:t>
      </w:r>
      <w:r w:rsidR="00601E54">
        <w:t>y</w:t>
      </w:r>
      <w:r w:rsidR="00601E54" w:rsidRPr="00601E54">
        <w:t xml:space="preserve"> w handlu</w:t>
      </w:r>
      <w:r w:rsidR="008057F6">
        <w:t xml:space="preserve"> (techniczne, fizyczne i regulacyjne)</w:t>
      </w:r>
      <w:r w:rsidR="00601E54" w:rsidRPr="00601E54">
        <w:t>, zbliż</w:t>
      </w:r>
      <w:r w:rsidR="00601E54">
        <w:t>ać</w:t>
      </w:r>
      <w:r w:rsidR="00601E54" w:rsidRPr="00601E54">
        <w:t xml:space="preserve"> polityki podatkow</w:t>
      </w:r>
      <w:r w:rsidR="00601E54">
        <w:t xml:space="preserve">e </w:t>
      </w:r>
      <w:r w:rsidR="00601E54" w:rsidRPr="00601E54">
        <w:t>i cenowe</w:t>
      </w:r>
      <w:r w:rsidR="00601E54">
        <w:t xml:space="preserve">, a jednocześnie zapewniać jednolite normy i standardy. Dotyczą one nie tylko kwestii technicznych </w:t>
      </w:r>
      <w:r w:rsidR="00116706">
        <w:t>i</w:t>
      </w:r>
      <w:r w:rsidR="008057F6">
        <w:t> </w:t>
      </w:r>
      <w:r w:rsidR="00116706">
        <w:t>wspólnych planów gotowości na zagrożenia</w:t>
      </w:r>
      <w:r w:rsidR="00601E54">
        <w:t xml:space="preserve">, ale również </w:t>
      </w:r>
      <w:r w:rsidR="00116706">
        <w:t>określonego poziomu ochrony konsumentów, a</w:t>
      </w:r>
      <w:r w:rsidR="008057F6">
        <w:t> </w:t>
      </w:r>
      <w:r w:rsidR="00116706">
        <w:t xml:space="preserve">w pewnych wymiarach również sprawiedliwego wymiaru transformacji. Z tych względów kwestie </w:t>
      </w:r>
      <w:r w:rsidR="00116706" w:rsidRPr="008057F6">
        <w:rPr>
          <w:b/>
          <w:bCs/>
        </w:rPr>
        <w:t>wewnątrzunijnego rynku energii</w:t>
      </w:r>
      <w:r w:rsidR="00116706" w:rsidRPr="00116706">
        <w:t xml:space="preserve"> </w:t>
      </w:r>
      <w:r w:rsidR="00116706">
        <w:t xml:space="preserve">zostały określone </w:t>
      </w:r>
      <w:r w:rsidR="00116706" w:rsidRPr="008057F6">
        <w:rPr>
          <w:b/>
          <w:bCs/>
        </w:rPr>
        <w:t>czwartym wymiarem unii energetycznej</w:t>
      </w:r>
      <w:r w:rsidR="00116706">
        <w:t xml:space="preserve">, </w:t>
      </w:r>
      <w:r w:rsidR="008057F6">
        <w:t>zapewniając oparcie na podstawowych zasadach funkcjonowania Unii Europejskiej.</w:t>
      </w:r>
    </w:p>
    <w:p w14:paraId="51D8AB64" w14:textId="2691BB5B" w:rsidR="00B6117F" w:rsidRDefault="008057F6" w:rsidP="00B6117F">
      <w:r>
        <w:t xml:space="preserve">W tej części KPEiK </w:t>
      </w:r>
      <w:r w:rsidRPr="003772B3">
        <w:t xml:space="preserve">ujęto </w:t>
      </w:r>
      <w:r>
        <w:t xml:space="preserve">założenia i cele </w:t>
      </w:r>
      <w:r w:rsidRPr="003772B3">
        <w:t xml:space="preserve">związane </w:t>
      </w:r>
      <w:r>
        <w:t>z infrastrukturą przesyłową gazu ziemnego, ropy naftowej i energii elektrycznej, jak również w obszarach dotyczących społecznych aspektów – ubóstwa energetycznego, ochrony konsumentów i sprawiedliwego wymiaru transformacji.</w:t>
      </w:r>
      <w:r w:rsidR="00D442B9">
        <w:t xml:space="preserve"> </w:t>
      </w:r>
    </w:p>
    <w:p w14:paraId="63BA5B1E" w14:textId="462912A2" w:rsidR="00925327" w:rsidRDefault="00925327" w:rsidP="00B6117F">
      <w:r>
        <w:br w:type="page"/>
      </w:r>
    </w:p>
    <w:p w14:paraId="075CE9DC" w14:textId="750BC09C" w:rsidR="00691EA7" w:rsidRPr="00983BF4" w:rsidRDefault="00DC1AB1" w:rsidP="00F47799">
      <w:pPr>
        <w:pStyle w:val="Nagwek3"/>
        <w:rPr>
          <w:color w:val="FFC000" w:themeColor="accent4"/>
          <w:sz w:val="36"/>
          <w:szCs w:val="36"/>
        </w:rPr>
      </w:pPr>
      <w:bookmarkStart w:id="210" w:name="_Toc159598336"/>
      <w:bookmarkStart w:id="211" w:name="_Ref173842061"/>
      <w:bookmarkStart w:id="212" w:name="_Toc179536987"/>
      <w:r w:rsidRPr="00983BF4">
        <w:rPr>
          <w:color w:val="FFC000" w:themeColor="accent4"/>
          <w:sz w:val="36"/>
          <w:szCs w:val="36"/>
        </w:rPr>
        <w:t>Sprawna i wystarczająca i</w:t>
      </w:r>
      <w:r w:rsidR="00691EA7" w:rsidRPr="00983BF4">
        <w:rPr>
          <w:color w:val="FFC000" w:themeColor="accent4"/>
          <w:sz w:val="36"/>
          <w:szCs w:val="36"/>
        </w:rPr>
        <w:t>nfrastruktura elektroenergetyczna</w:t>
      </w:r>
      <w:r w:rsidR="00983BF4" w:rsidRPr="00983BF4">
        <w:rPr>
          <w:color w:val="FFC000" w:themeColor="accent4"/>
          <w:sz w:val="36"/>
          <w:szCs w:val="36"/>
        </w:rPr>
        <w:t>, połączenia międzysystemowe</w:t>
      </w:r>
      <w:bookmarkEnd w:id="210"/>
      <w:bookmarkEnd w:id="211"/>
      <w:bookmarkEnd w:id="212"/>
    </w:p>
    <w:p w14:paraId="2CFFDFB5" w14:textId="3FCD545F" w:rsidR="009E7675" w:rsidRDefault="009E7675" w:rsidP="009E7675">
      <w:r>
        <w:t>Odpowiednio rozbudowana i utrzymana oraz spraw</w:t>
      </w:r>
      <w:r w:rsidR="00F509D4">
        <w:t>n</w:t>
      </w:r>
      <w:r>
        <w:t>ie zarządzana infrastruktura przesyłowa energii elektrycznej ma zapewnić wyprowadzenie energii z jednostek wytwórczych do systemu przesyłowego i rozprowadzenie jej do systemów dystrybucyjnych energii elektrycznej, aż docelowo do odbiorców końcowych. Infrastruktura ta zapewnia</w:t>
      </w:r>
      <w:r w:rsidDel="009B5743">
        <w:t xml:space="preserve"> </w:t>
      </w:r>
      <w:r>
        <w:t>również możliwości sprawnej wymiany energii z systemami państw sąsiadujących jak i szerzej europejskich systemów elektroenergetycznych.</w:t>
      </w:r>
    </w:p>
    <w:p w14:paraId="5BD95382" w14:textId="3C73A76D" w:rsidR="008057F6" w:rsidRDefault="000A3DDB" w:rsidP="008057F6">
      <w:r>
        <w:t>W tej części omówiono kwestie celów w zakresie zapew</w:t>
      </w:r>
      <w:r w:rsidR="00F509D4">
        <w:t>nie</w:t>
      </w:r>
      <w:r>
        <w:t xml:space="preserve">nia odpowiedniego stanu i rozwoju infrastruktury krajowej, jak również współzależności z systemami państw sąsiadujących. </w:t>
      </w:r>
    </w:p>
    <w:p w14:paraId="2704B0BF" w14:textId="77777777" w:rsidR="000A3DDB" w:rsidRPr="006D019A" w:rsidRDefault="000A3DDB" w:rsidP="000A3DDB">
      <w:pPr>
        <w:rPr>
          <w:i/>
          <w:iCs/>
        </w:rPr>
      </w:pPr>
      <w:r w:rsidRPr="006D019A">
        <w:rPr>
          <w:i/>
          <w:iCs/>
        </w:rPr>
        <w:t>Treść przedstawiona w tej części stanowi rozwinięcie zagadnień omówionych w 3. wymiarze w obszarze 3.6.</w:t>
      </w:r>
    </w:p>
    <w:p w14:paraId="72FA2E75" w14:textId="188B6A45" w:rsidR="00133B72" w:rsidRDefault="000F514E" w:rsidP="007712D1">
      <w:pPr>
        <w:pStyle w:val="Nagwek4"/>
        <w:rPr>
          <w:color w:val="FFC000" w:themeColor="accent4"/>
        </w:rPr>
      </w:pPr>
      <w:bookmarkStart w:id="213" w:name="_Toc159598337"/>
      <w:bookmarkStart w:id="214" w:name="_Toc179536988"/>
      <w:bookmarkStart w:id="215" w:name="_Hlk159575768"/>
      <w:r>
        <w:rPr>
          <w:color w:val="FFC000" w:themeColor="accent4"/>
        </w:rPr>
        <w:t>Zapewn</w:t>
      </w:r>
      <w:r w:rsidR="003B0BAF">
        <w:rPr>
          <w:color w:val="FFC000" w:themeColor="accent4"/>
        </w:rPr>
        <w:t xml:space="preserve">ienie </w:t>
      </w:r>
      <w:r>
        <w:rPr>
          <w:color w:val="FFC000" w:themeColor="accent4"/>
        </w:rPr>
        <w:t>odpowiednie</w:t>
      </w:r>
      <w:r w:rsidR="003B0BAF">
        <w:rPr>
          <w:color w:val="FFC000" w:themeColor="accent4"/>
        </w:rPr>
        <w:t>go stanu</w:t>
      </w:r>
      <w:r>
        <w:rPr>
          <w:color w:val="FFC000" w:themeColor="accent4"/>
        </w:rPr>
        <w:t xml:space="preserve"> infrastru</w:t>
      </w:r>
      <w:r w:rsidR="00133B72">
        <w:rPr>
          <w:color w:val="FFC000" w:themeColor="accent4"/>
        </w:rPr>
        <w:t>ktury energii elektrycznej</w:t>
      </w:r>
      <w:bookmarkEnd w:id="213"/>
      <w:bookmarkEnd w:id="214"/>
    </w:p>
    <w:bookmarkEnd w:id="215"/>
    <w:p w14:paraId="4664BBF7" w14:textId="135D0F5F" w:rsidR="009E7675" w:rsidRDefault="009E7675" w:rsidP="009E7675">
      <w:r>
        <w:rPr>
          <w:noProof/>
        </w:rPr>
        <mc:AlternateContent>
          <mc:Choice Requires="wps">
            <w:drawing>
              <wp:anchor distT="0" distB="0" distL="114300" distR="114300" simplePos="0" relativeHeight="251753472" behindDoc="1" locked="0" layoutInCell="1" allowOverlap="1" wp14:anchorId="3DE8916B" wp14:editId="1A63B5AF">
                <wp:simplePos x="0" y="0"/>
                <wp:positionH relativeFrom="margin">
                  <wp:posOffset>3112770</wp:posOffset>
                </wp:positionH>
                <wp:positionV relativeFrom="paragraph">
                  <wp:posOffset>44726</wp:posOffset>
                </wp:positionV>
                <wp:extent cx="2620010" cy="1963420"/>
                <wp:effectExtent l="0" t="0" r="27940" b="26670"/>
                <wp:wrapSquare wrapText="bothSides"/>
                <wp:docPr id="23208318" name="Prostokąt: zaokrąglone rogi 1"/>
                <wp:cNvGraphicFramePr/>
                <a:graphic xmlns:a="http://schemas.openxmlformats.org/drawingml/2006/main">
                  <a:graphicData uri="http://schemas.microsoft.com/office/word/2010/wordprocessingShape">
                    <wps:wsp>
                      <wps:cNvSpPr/>
                      <wps:spPr>
                        <a:xfrm>
                          <a:off x="0" y="0"/>
                          <a:ext cx="2620010" cy="1963420"/>
                        </a:xfrm>
                        <a:prstGeom prst="roundRect">
                          <a:avLst>
                            <a:gd name="adj" fmla="val 11857"/>
                          </a:avLst>
                        </a:prstGeom>
                        <a:ln>
                          <a:extLst>
                            <a:ext uri="{C807C97D-BFC1-408E-A445-0C87EB9F89A2}">
                              <ask:lineSketchStyleProps xmlns:ask="http://schemas.microsoft.com/office/drawing/2018/sketchyshapes" sd="3209426022">
                                <a:custGeom>
                                  <a:avLst/>
                                  <a:gdLst>
                                    <a:gd name="connsiteX0" fmla="*/ 0 w 2969895"/>
                                    <a:gd name="connsiteY0" fmla="*/ 369497 h 2597150"/>
                                    <a:gd name="connsiteX1" fmla="*/ 369497 w 2969895"/>
                                    <a:gd name="connsiteY1" fmla="*/ 0 h 2597150"/>
                                    <a:gd name="connsiteX2" fmla="*/ 860295 w 2969895"/>
                                    <a:gd name="connsiteY2" fmla="*/ 0 h 2597150"/>
                                    <a:gd name="connsiteX3" fmla="*/ 1373402 w 2969895"/>
                                    <a:gd name="connsiteY3" fmla="*/ 0 h 2597150"/>
                                    <a:gd name="connsiteX4" fmla="*/ 1908819 w 2969895"/>
                                    <a:gd name="connsiteY4" fmla="*/ 0 h 2597150"/>
                                    <a:gd name="connsiteX5" fmla="*/ 2600398 w 2969895"/>
                                    <a:gd name="connsiteY5" fmla="*/ 0 h 2597150"/>
                                    <a:gd name="connsiteX6" fmla="*/ 2969895 w 2969895"/>
                                    <a:gd name="connsiteY6" fmla="*/ 369497 h 2597150"/>
                                    <a:gd name="connsiteX7" fmla="*/ 2969895 w 2969895"/>
                                    <a:gd name="connsiteY7" fmla="*/ 933138 h 2597150"/>
                                    <a:gd name="connsiteX8" fmla="*/ 2969895 w 2969895"/>
                                    <a:gd name="connsiteY8" fmla="*/ 1571105 h 2597150"/>
                                    <a:gd name="connsiteX9" fmla="*/ 2969895 w 2969895"/>
                                    <a:gd name="connsiteY9" fmla="*/ 2227653 h 2597150"/>
                                    <a:gd name="connsiteX10" fmla="*/ 2600398 w 2969895"/>
                                    <a:gd name="connsiteY10" fmla="*/ 2597150 h 2597150"/>
                                    <a:gd name="connsiteX11" fmla="*/ 2087291 w 2969895"/>
                                    <a:gd name="connsiteY11" fmla="*/ 2597150 h 2597150"/>
                                    <a:gd name="connsiteX12" fmla="*/ 1596493 w 2969895"/>
                                    <a:gd name="connsiteY12" fmla="*/ 2597150 h 2597150"/>
                                    <a:gd name="connsiteX13" fmla="*/ 1083385 w 2969895"/>
                                    <a:gd name="connsiteY13" fmla="*/ 2597150 h 2597150"/>
                                    <a:gd name="connsiteX14" fmla="*/ 369497 w 2969895"/>
                                    <a:gd name="connsiteY14" fmla="*/ 2597150 h 2597150"/>
                                    <a:gd name="connsiteX15" fmla="*/ 0 w 2969895"/>
                                    <a:gd name="connsiteY15" fmla="*/ 2227653 h 2597150"/>
                                    <a:gd name="connsiteX16" fmla="*/ 0 w 2969895"/>
                                    <a:gd name="connsiteY16" fmla="*/ 1664012 h 2597150"/>
                                    <a:gd name="connsiteX17" fmla="*/ 0 w 2969895"/>
                                    <a:gd name="connsiteY17" fmla="*/ 1007464 h 2597150"/>
                                    <a:gd name="connsiteX18" fmla="*/ 0 w 2969895"/>
                                    <a:gd name="connsiteY18" fmla="*/ 369497 h 25971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Lst>
                                  <a:rect l="l" t="t" r="r" b="b"/>
                                  <a:pathLst>
                                    <a:path w="2969895" h="2597150" fill="none" extrusionOk="0">
                                      <a:moveTo>
                                        <a:pt x="0" y="369497"/>
                                      </a:moveTo>
                                      <a:cubicBezTo>
                                        <a:pt x="-21648" y="122196"/>
                                        <a:pt x="151284" y="20440"/>
                                        <a:pt x="369497" y="0"/>
                                      </a:cubicBezTo>
                                      <a:cubicBezTo>
                                        <a:pt x="522987" y="20037"/>
                                        <a:pt x="761634" y="-14955"/>
                                        <a:pt x="860295" y="0"/>
                                      </a:cubicBezTo>
                                      <a:cubicBezTo>
                                        <a:pt x="958956" y="14955"/>
                                        <a:pt x="1258306" y="-1385"/>
                                        <a:pt x="1373402" y="0"/>
                                      </a:cubicBezTo>
                                      <a:cubicBezTo>
                                        <a:pt x="1488498" y="1385"/>
                                        <a:pt x="1708357" y="-23685"/>
                                        <a:pt x="1908819" y="0"/>
                                      </a:cubicBezTo>
                                      <a:cubicBezTo>
                                        <a:pt x="2109281" y="23685"/>
                                        <a:pt x="2348083" y="10816"/>
                                        <a:pt x="2600398" y="0"/>
                                      </a:cubicBezTo>
                                      <a:cubicBezTo>
                                        <a:pt x="2768901" y="15078"/>
                                        <a:pt x="2966036" y="150633"/>
                                        <a:pt x="2969895" y="369497"/>
                                      </a:cubicBezTo>
                                      <a:cubicBezTo>
                                        <a:pt x="2962113" y="608285"/>
                                        <a:pt x="2992646" y="718113"/>
                                        <a:pt x="2969895" y="933138"/>
                                      </a:cubicBezTo>
                                      <a:cubicBezTo>
                                        <a:pt x="2947144" y="1148163"/>
                                        <a:pt x="2959903" y="1379042"/>
                                        <a:pt x="2969895" y="1571105"/>
                                      </a:cubicBezTo>
                                      <a:cubicBezTo>
                                        <a:pt x="2979887" y="1763168"/>
                                        <a:pt x="2979459" y="1952072"/>
                                        <a:pt x="2969895" y="2227653"/>
                                      </a:cubicBezTo>
                                      <a:cubicBezTo>
                                        <a:pt x="2972534" y="2425813"/>
                                        <a:pt x="2839732" y="2580296"/>
                                        <a:pt x="2600398" y="2597150"/>
                                      </a:cubicBezTo>
                                      <a:cubicBezTo>
                                        <a:pt x="2371648" y="2583364"/>
                                        <a:pt x="2211376" y="2579538"/>
                                        <a:pt x="2087291" y="2597150"/>
                                      </a:cubicBezTo>
                                      <a:cubicBezTo>
                                        <a:pt x="1963206" y="2614762"/>
                                        <a:pt x="1722052" y="2580167"/>
                                        <a:pt x="1596493" y="2597150"/>
                                      </a:cubicBezTo>
                                      <a:cubicBezTo>
                                        <a:pt x="1470934" y="2614133"/>
                                        <a:pt x="1334604" y="2607859"/>
                                        <a:pt x="1083385" y="2597150"/>
                                      </a:cubicBezTo>
                                      <a:cubicBezTo>
                                        <a:pt x="832166" y="2586441"/>
                                        <a:pt x="530773" y="2610674"/>
                                        <a:pt x="369497" y="2597150"/>
                                      </a:cubicBezTo>
                                      <a:cubicBezTo>
                                        <a:pt x="155534" y="2581945"/>
                                        <a:pt x="17352" y="2459324"/>
                                        <a:pt x="0" y="2227653"/>
                                      </a:cubicBezTo>
                                      <a:cubicBezTo>
                                        <a:pt x="-17492" y="1985602"/>
                                        <a:pt x="10018" y="1857958"/>
                                        <a:pt x="0" y="1664012"/>
                                      </a:cubicBezTo>
                                      <a:cubicBezTo>
                                        <a:pt x="-10018" y="1470066"/>
                                        <a:pt x="30211" y="1274151"/>
                                        <a:pt x="0" y="1007464"/>
                                      </a:cubicBezTo>
                                      <a:cubicBezTo>
                                        <a:pt x="-30211" y="740777"/>
                                        <a:pt x="28398" y="678939"/>
                                        <a:pt x="0" y="369497"/>
                                      </a:cubicBezTo>
                                      <a:close/>
                                    </a:path>
                                    <a:path w="2969895" h="2597150" stroke="0" extrusionOk="0">
                                      <a:moveTo>
                                        <a:pt x="0" y="369497"/>
                                      </a:moveTo>
                                      <a:cubicBezTo>
                                        <a:pt x="34577" y="178421"/>
                                        <a:pt x="167617" y="23472"/>
                                        <a:pt x="369497" y="0"/>
                                      </a:cubicBezTo>
                                      <a:cubicBezTo>
                                        <a:pt x="518833" y="25358"/>
                                        <a:pt x="763926" y="-12862"/>
                                        <a:pt x="927222" y="0"/>
                                      </a:cubicBezTo>
                                      <a:cubicBezTo>
                                        <a:pt x="1090519" y="12862"/>
                                        <a:pt x="1283092" y="13454"/>
                                        <a:pt x="1529566" y="0"/>
                                      </a:cubicBezTo>
                                      <a:cubicBezTo>
                                        <a:pt x="1776040" y="-13454"/>
                                        <a:pt x="2346815" y="-6698"/>
                                        <a:pt x="2600398" y="0"/>
                                      </a:cubicBezTo>
                                      <a:cubicBezTo>
                                        <a:pt x="2790254" y="-14900"/>
                                        <a:pt x="2963476" y="163312"/>
                                        <a:pt x="2969895" y="369497"/>
                                      </a:cubicBezTo>
                                      <a:cubicBezTo>
                                        <a:pt x="2964010" y="618454"/>
                                        <a:pt x="2992138" y="705432"/>
                                        <a:pt x="2969895" y="933138"/>
                                      </a:cubicBezTo>
                                      <a:cubicBezTo>
                                        <a:pt x="2947652" y="1160844"/>
                                        <a:pt x="2959065" y="1396088"/>
                                        <a:pt x="2969895" y="1552523"/>
                                      </a:cubicBezTo>
                                      <a:cubicBezTo>
                                        <a:pt x="2980725" y="1708958"/>
                                        <a:pt x="2989525" y="1922101"/>
                                        <a:pt x="2969895" y="2227653"/>
                                      </a:cubicBezTo>
                                      <a:cubicBezTo>
                                        <a:pt x="2961485" y="2426742"/>
                                        <a:pt x="2843982" y="2584275"/>
                                        <a:pt x="2600398" y="2597150"/>
                                      </a:cubicBezTo>
                                      <a:cubicBezTo>
                                        <a:pt x="2446371" y="2597226"/>
                                        <a:pt x="2156238" y="2611024"/>
                                        <a:pt x="2042673" y="2597150"/>
                                      </a:cubicBezTo>
                                      <a:cubicBezTo>
                                        <a:pt x="1929108" y="2583276"/>
                                        <a:pt x="1682141" y="2616607"/>
                                        <a:pt x="1484948" y="2597150"/>
                                      </a:cubicBezTo>
                                      <a:cubicBezTo>
                                        <a:pt x="1287756" y="2577693"/>
                                        <a:pt x="1127330" y="2623505"/>
                                        <a:pt x="927222" y="2597150"/>
                                      </a:cubicBezTo>
                                      <a:cubicBezTo>
                                        <a:pt x="727114" y="2570795"/>
                                        <a:pt x="553257" y="2623034"/>
                                        <a:pt x="369497" y="2597150"/>
                                      </a:cubicBezTo>
                                      <a:cubicBezTo>
                                        <a:pt x="194263" y="2631399"/>
                                        <a:pt x="3410" y="2439480"/>
                                        <a:pt x="0" y="2227653"/>
                                      </a:cubicBezTo>
                                      <a:cubicBezTo>
                                        <a:pt x="-13465" y="2026099"/>
                                        <a:pt x="2425" y="1821961"/>
                                        <a:pt x="0" y="1645431"/>
                                      </a:cubicBezTo>
                                      <a:cubicBezTo>
                                        <a:pt x="-2425" y="1468901"/>
                                        <a:pt x="-3089" y="1229156"/>
                                        <a:pt x="0" y="1063209"/>
                                      </a:cubicBezTo>
                                      <a:cubicBezTo>
                                        <a:pt x="3089" y="897262"/>
                                        <a:pt x="-3659" y="513368"/>
                                        <a:pt x="0" y="369497"/>
                                      </a:cubicBezTo>
                                      <a:close/>
                                    </a:path>
                                  </a:pathLst>
                                </a:custGeom>
                                <ask:type>
                                  <ask:lineSketchNone/>
                                </ask:type>
                              </ask:lineSketchStyleProps>
                            </a:ext>
                          </a:extLst>
                        </a:ln>
                      </wps:spPr>
                      <wps:style>
                        <a:lnRef idx="2">
                          <a:schemeClr val="accent4"/>
                        </a:lnRef>
                        <a:fillRef idx="1">
                          <a:schemeClr val="lt1"/>
                        </a:fillRef>
                        <a:effectRef idx="0">
                          <a:schemeClr val="accent4"/>
                        </a:effectRef>
                        <a:fontRef idx="minor">
                          <a:schemeClr val="dk1"/>
                        </a:fontRef>
                      </wps:style>
                      <wps:txbx>
                        <w:txbxContent>
                          <w:p w14:paraId="19F300A4" w14:textId="5E5AF7B3" w:rsidR="009E7675" w:rsidRPr="004E21CF" w:rsidRDefault="009E7675" w:rsidP="009E7675">
                            <w:pPr>
                              <w:pStyle w:val="Ramka"/>
                            </w:pPr>
                            <w:r>
                              <w:t>Infrastruktura liniowa energii elektrycznej dzieli się na system przesyłowy i systemy dystrybucyjne, z których energia trafia do odbiorców końcowych</w:t>
                            </w:r>
                          </w:p>
                        </w:txbxContent>
                      </wps:txbx>
                      <wps:bodyPr rot="0" spcFirstLastPara="0" vertOverflow="overflow" horzOverflow="overflow" vert="horz" wrap="square" lIns="72000" tIns="90000" rIns="72000" bIns="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3DE8916B" id="_x0000_s1106" style="position:absolute;left:0;text-align:left;margin-left:245.1pt;margin-top:3.5pt;width:206.3pt;height:154.6pt;z-index:-2515630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777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" fillcolor="white [3201]" strokecolor="#ffc000 [3207]" strokeweight="1pt">
                <v:stroke joinstyle="miter"/>
                <v:textbox style="mso-fit-shape-to-text:t" inset="2mm,2.5mm,2mm,0">
                  <w:txbxContent>
                    <w:p w14:paraId="19F300A4" w14:textId="5E5AF7B3" w:rsidR="009E7675" w:rsidRPr="004E21CF" w:rsidRDefault="009E7675" w:rsidP="009E7675">
                      <w:pPr>
                        <w:pStyle w:val="Ramka"/>
                      </w:pPr>
                      <w:r>
                        <w:t>Infrastruktura liniowa energii elektrycznej dzieli się na system przesyłowy i systemy dystrybucyjne, z których energia trafia do odbiorców końcowych</w:t>
                      </w:r>
                    </w:p>
                  </w:txbxContent>
                </v:textbox>
                <w10:wrap type="square" anchorx="margin"/>
              </v:roundrect>
            </w:pict>
          </mc:Fallback>
        </mc:AlternateContent>
      </w:r>
      <w:r>
        <w:t>Zapewnienie odpowiedniego stanu</w:t>
      </w:r>
      <w:r w:rsidR="00B07093">
        <w:t xml:space="preserve"> i</w:t>
      </w:r>
      <w:r>
        <w:t xml:space="preserve"> r</w:t>
      </w:r>
      <w:r w:rsidRPr="00FD5859">
        <w:t xml:space="preserve">ozbudowa infrastruktury </w:t>
      </w:r>
      <w:r>
        <w:t xml:space="preserve">elektroenergetycznej </w:t>
      </w:r>
      <w:r w:rsidRPr="00FD5859">
        <w:t xml:space="preserve">oraz budowa połączeń </w:t>
      </w:r>
      <w:r>
        <w:t xml:space="preserve">międzysystemowych to czynniki wpływające na obecną i perspektywiczną pewność dostaw energii elektrycznej do odbiorców. </w:t>
      </w:r>
    </w:p>
    <w:p w14:paraId="218BD21E" w14:textId="7906A015" w:rsidR="009E7675" w:rsidRDefault="009E7675" w:rsidP="009E7675">
      <w:r>
        <w:t xml:space="preserve">Z tego względu działalność w tym obszarze jest ściśle określona w ustawie – </w:t>
      </w:r>
      <w:r w:rsidRPr="00C829B7">
        <w:rPr>
          <w:i/>
          <w:iCs/>
        </w:rPr>
        <w:t>Prawo energetyczne</w:t>
      </w:r>
      <w:r>
        <w:t xml:space="preserve"> i regulowana przez Prezesa Urzędu Regulacji Energetyki (URE). Sytuacja jest </w:t>
      </w:r>
      <w:r w:rsidRPr="00FD5859">
        <w:t>szczegółowo monitorowana zarówno przez ministra właściwego do spraw energii, jak</w:t>
      </w:r>
      <w:r>
        <w:t> </w:t>
      </w:r>
      <w:r w:rsidRPr="00FD5859">
        <w:t xml:space="preserve">również – w zakresie kluczowych z punktu widzenia zdolności importowych do kraju inwestycji OSP – przez Pełnomocnika Rządu do spraw Strategicznej Infrastruktury Energetycznej. </w:t>
      </w:r>
      <w:r>
        <w:t xml:space="preserve">Kluczową rolę pełni operator systemu przesyłowego elektroenergetycznego (OSPe). Ponieważ czas inwestycji infrastrukturalnych i perspektywa </w:t>
      </w:r>
      <w:r w:rsidR="003C46A0">
        <w:t xml:space="preserve">ich wykorzystania </w:t>
      </w:r>
      <w:r>
        <w:t>ma charakter długookresowy, OSPe wyznaczany jest w wieloletniej perspektywie. Prezes URE wyznaczył Polskie Sieci Elektroenergetyczne SA do pełnienia funkcji OSPe do końca 2030 r. Na rynku funkcjonuje pięciu największych operatorów systemów dystrybucyjnych oraz większa liczba operatorów o charakterze bardziej lokalnym, przy czym pierwsza grupa podlega dokładniejszemu monitoringowi Prezesa URE.</w:t>
      </w:r>
    </w:p>
    <w:p w14:paraId="0C088525" w14:textId="77777777" w:rsidR="009E7675" w:rsidRDefault="009E7675" w:rsidP="009E7675">
      <w:r>
        <w:t>Przed podmiotami realizującymi zadania w obszarze funkcjonowania i rozwoju systemu przesyłowego i dystrybucyjnych stoją wyzwania związane z koniecznością obsługi coraz większej mocy w systemie, a w szczególności OZE zależnych od pogody. Generuje to potrzebę rozwoju sieci w kierunku inteligentnym, a w sieciach dystrybucyjnych przekształcanie w sieci dwukierunkowe (czyli zapewniające dostawę energii do odbiorcy, jak i odbiór od niego w przypadku prosumentów)</w:t>
      </w:r>
    </w:p>
    <w:p w14:paraId="131FF1E3" w14:textId="36A9DC80" w:rsidR="00DB696B" w:rsidRDefault="000A3DDB" w:rsidP="00DB696B">
      <w:pPr>
        <w:spacing w:after="80"/>
      </w:pPr>
      <w:r>
        <w:t xml:space="preserve">System przesyłowy energii elektrycznej oparty jest na sieci szkieletowej, którą buduje i zarządza </w:t>
      </w:r>
      <w:r w:rsidRPr="00133B72">
        <w:t>operato</w:t>
      </w:r>
      <w:r>
        <w:t>r</w:t>
      </w:r>
      <w:r w:rsidRPr="00133B72">
        <w:t xml:space="preserve"> systemu przesyłowego elektroenergetycznego</w:t>
      </w:r>
      <w:r>
        <w:t xml:space="preserve">. </w:t>
      </w:r>
      <w:r w:rsidR="00DB696B" w:rsidRPr="00C67596">
        <w:t xml:space="preserve">Sieć szkieletowa </w:t>
      </w:r>
      <w:r w:rsidR="00DB696B">
        <w:t xml:space="preserve">jest niezbędna do </w:t>
      </w:r>
      <w:r w:rsidR="00DB696B" w:rsidRPr="00C67596">
        <w:t xml:space="preserve">poprawnego funkcjonowania </w:t>
      </w:r>
      <w:r w:rsidR="00DB696B">
        <w:t>k</w:t>
      </w:r>
      <w:r w:rsidR="00DB696B" w:rsidRPr="00133B72">
        <w:rPr>
          <w:iCs/>
        </w:rPr>
        <w:t xml:space="preserve">rajowego </w:t>
      </w:r>
      <w:r w:rsidR="00DB696B">
        <w:rPr>
          <w:iCs/>
        </w:rPr>
        <w:t>s</w:t>
      </w:r>
      <w:r w:rsidR="00DB696B" w:rsidRPr="00133B72">
        <w:rPr>
          <w:iCs/>
        </w:rPr>
        <w:t xml:space="preserve">ystemu </w:t>
      </w:r>
      <w:r w:rsidR="00DB696B">
        <w:rPr>
          <w:iCs/>
        </w:rPr>
        <w:t>e</w:t>
      </w:r>
      <w:r w:rsidR="00DB696B" w:rsidRPr="00133B72">
        <w:rPr>
          <w:iCs/>
        </w:rPr>
        <w:t>lektroenergetycznego</w:t>
      </w:r>
      <w:r w:rsidR="00DB696B" w:rsidRPr="00C67596">
        <w:t xml:space="preserve"> i</w:t>
      </w:r>
      <w:r w:rsidR="00DB696B">
        <w:t> </w:t>
      </w:r>
      <w:r w:rsidR="00DB696B" w:rsidRPr="00C67596">
        <w:t>jednoczesnego zapewnienia</w:t>
      </w:r>
      <w:r w:rsidR="00DB696B">
        <w:t>:</w:t>
      </w:r>
    </w:p>
    <w:p w14:paraId="257BC21D" w14:textId="77777777" w:rsidR="00DB696B" w:rsidRPr="00C67596" w:rsidRDefault="00DB696B" w:rsidP="001D4BA5">
      <w:pPr>
        <w:pStyle w:val="Akapitzlist"/>
        <w:numPr>
          <w:ilvl w:val="0"/>
          <w:numId w:val="18"/>
        </w:numPr>
      </w:pPr>
      <w:r w:rsidRPr="00C67596">
        <w:t>pewności zasilania odbiorców, w tym dużych aglomeracji miejskich poprzez spełnienie kryteriów n-1 pewności zasilania i dotrzymanie parametrów jakości pracy sieci,</w:t>
      </w:r>
    </w:p>
    <w:p w14:paraId="17D2A45C" w14:textId="77777777" w:rsidR="00DB696B" w:rsidRPr="00C67596" w:rsidRDefault="00DB696B" w:rsidP="001D4BA5">
      <w:pPr>
        <w:pStyle w:val="Akapitzlist"/>
        <w:numPr>
          <w:ilvl w:val="0"/>
          <w:numId w:val="18"/>
        </w:numPr>
      </w:pPr>
      <w:r w:rsidRPr="00C67596">
        <w:t>przyłączenia i wyprowadzenia mocy z istniejących i budowanych źródeł wytwórczych, w tym OZE,</w:t>
      </w:r>
    </w:p>
    <w:p w14:paraId="06F81E63" w14:textId="41D6FDB5" w:rsidR="00DB696B" w:rsidRPr="00C67596" w:rsidRDefault="00DB696B" w:rsidP="001D4BA5">
      <w:pPr>
        <w:pStyle w:val="Akapitzlist"/>
        <w:numPr>
          <w:ilvl w:val="0"/>
          <w:numId w:val="18"/>
        </w:numPr>
      </w:pPr>
      <w:r w:rsidRPr="00C67596">
        <w:t xml:space="preserve">spełnienia </w:t>
      </w:r>
      <w:r w:rsidR="000E24A2">
        <w:t>–</w:t>
      </w:r>
      <w:r w:rsidR="00B07093">
        <w:t xml:space="preserve"> </w:t>
      </w:r>
      <w:r w:rsidR="00B07093" w:rsidRPr="00C67596">
        <w:t xml:space="preserve">wymaganych przepisami </w:t>
      </w:r>
      <w:r w:rsidR="000E24A2">
        <w:t>–</w:t>
      </w:r>
      <w:r w:rsidR="00B07093">
        <w:t xml:space="preserve"> </w:t>
      </w:r>
      <w:r w:rsidRPr="00C67596">
        <w:t>zdolności wymiany mocy z krajami sąsiednimi</w:t>
      </w:r>
      <w:r>
        <w:t xml:space="preserve"> UE</w:t>
      </w:r>
      <w:r w:rsidRPr="00C67596">
        <w:t>.</w:t>
      </w:r>
    </w:p>
    <w:p w14:paraId="2A432085" w14:textId="2DA5DABC" w:rsidR="00133B72" w:rsidRPr="00C67596" w:rsidRDefault="00133B72" w:rsidP="00133B72">
      <w:r w:rsidRPr="00C67596">
        <w:t>Sieć szkieletowa pozwala na elastyczne adaptowanie się do różnych scenariuszy pracy KSE, nawet w</w:t>
      </w:r>
      <w:r w:rsidR="000A3DDB">
        <w:t> </w:t>
      </w:r>
      <w:r w:rsidRPr="00C67596">
        <w:t>przypadku ograniczenia roli sieci przesyłowej do funkcji rezerwującej, która ma zagwarantować jedynie bezpieczeństwo pracy systemu.</w:t>
      </w:r>
    </w:p>
    <w:p w14:paraId="226C52EC" w14:textId="2B775782" w:rsidR="000F514E" w:rsidRDefault="00133B72" w:rsidP="00133B72">
      <w:r w:rsidRPr="000A3DDB">
        <w:rPr>
          <w:iCs/>
        </w:rPr>
        <w:t xml:space="preserve">Polskie Sieci Elektroenergetyczne S.A. </w:t>
      </w:r>
      <w:r w:rsidRPr="00C67596">
        <w:t>planują rozwój sieci przesyłowej adekwatnie do wzrastającego zapotrzebowania, wymagań rynku energii i potrzeb użytkowników KSE.</w:t>
      </w:r>
      <w:r w:rsidR="000A3DDB">
        <w:t xml:space="preserve"> </w:t>
      </w:r>
      <w:r w:rsidR="000A3DDB" w:rsidRPr="00DA73DE">
        <w:rPr>
          <w:b/>
          <w:bCs/>
        </w:rPr>
        <w:t>W </w:t>
      </w:r>
      <w:r w:rsidR="00DA73DE" w:rsidRPr="00DA73DE">
        <w:rPr>
          <w:b/>
          <w:bCs/>
        </w:rPr>
        <w:t> </w:t>
      </w:r>
      <w:r w:rsidR="000A3DDB" w:rsidRPr="00DA73DE">
        <w:rPr>
          <w:b/>
          <w:bCs/>
        </w:rPr>
        <w:t xml:space="preserve">ostatnich latach </w:t>
      </w:r>
      <w:r w:rsidR="00DA73DE" w:rsidRPr="00DA73DE">
        <w:rPr>
          <w:b/>
          <w:bCs/>
        </w:rPr>
        <w:t>następuje</w:t>
      </w:r>
      <w:r w:rsidR="00DA73DE">
        <w:t xml:space="preserve"> </w:t>
      </w:r>
      <w:r w:rsidR="00DA73DE" w:rsidRPr="00DA73DE">
        <w:rPr>
          <w:b/>
          <w:bCs/>
        </w:rPr>
        <w:t xml:space="preserve">bardzo intensywny rozwój OZE, </w:t>
      </w:r>
      <w:r w:rsidR="00DA73DE">
        <w:rPr>
          <w:b/>
          <w:bCs/>
        </w:rPr>
        <w:t xml:space="preserve">który wymaga odpowiednio rozbudowanej i dostosowanej infrastruktury liniowej, </w:t>
      </w:r>
      <w:r w:rsidR="00DA73DE" w:rsidRPr="00DA73DE">
        <w:rPr>
          <w:b/>
          <w:bCs/>
        </w:rPr>
        <w:t>dlatego rozwój sieci przesyłowej i dystrybucyjnej stały się priorytetem w procesie transformacji sektora elektroenergetycznego</w:t>
      </w:r>
      <w:r w:rsidR="00DA73DE">
        <w:t>. Jednocześnie zależność elektrowni wiatrowych i słonecznych od warunków atmosferycznych, jak również coraz częstsze ekstremalne zjawiska pogodowe stawiają coraz więcej wyzwań przed OSPe</w:t>
      </w:r>
      <w:r w:rsidR="00DE0AC8">
        <w:t>.</w:t>
      </w:r>
    </w:p>
    <w:p w14:paraId="15955083" w14:textId="40B3F647" w:rsidR="000A3DDB" w:rsidRPr="00C67596" w:rsidRDefault="000A3DDB" w:rsidP="000A3DDB">
      <w:pPr>
        <w:pStyle w:val="Cele"/>
        <w:spacing w:before="0" w:after="0"/>
      </w:pPr>
      <w:r w:rsidRPr="00C67596">
        <w:t>Kluczowymi celami krajowymi dotyczącymi infrastruktury energii elektrycznej są:</w:t>
      </w:r>
    </w:p>
    <w:p w14:paraId="1C3E7627" w14:textId="133BF674" w:rsidR="000A3DDB" w:rsidRPr="00963A1E" w:rsidRDefault="000A3DDB" w:rsidP="003C46A0">
      <w:pPr>
        <w:pStyle w:val="Cele"/>
        <w:numPr>
          <w:ilvl w:val="0"/>
          <w:numId w:val="17"/>
        </w:numPr>
        <w:spacing w:before="0" w:after="80"/>
        <w:ind w:hanging="720"/>
        <w:rPr>
          <w:sz w:val="22"/>
          <w:szCs w:val="20"/>
        </w:rPr>
      </w:pPr>
      <w:r w:rsidRPr="00963A1E">
        <w:rPr>
          <w:b/>
          <w:bCs/>
          <w:sz w:val="22"/>
          <w:szCs w:val="20"/>
        </w:rPr>
        <w:t>zapewnienie bezpieczeństwa dostaw energii elektrycznej</w:t>
      </w:r>
      <w:r w:rsidRPr="00963A1E">
        <w:rPr>
          <w:sz w:val="22"/>
          <w:szCs w:val="20"/>
        </w:rPr>
        <w:t xml:space="preserve"> – rozumian</w:t>
      </w:r>
      <w:r w:rsidR="00963A1E" w:rsidRPr="00963A1E">
        <w:rPr>
          <w:sz w:val="22"/>
          <w:szCs w:val="20"/>
        </w:rPr>
        <w:t xml:space="preserve">e </w:t>
      </w:r>
      <w:r w:rsidRPr="00963A1E">
        <w:rPr>
          <w:sz w:val="22"/>
          <w:szCs w:val="20"/>
        </w:rPr>
        <w:t>jako zdolność systemu elektroenergetycznego do zapewnienia bezpieczeństwa pracy sieci elektroenergetycznej oraz równoważenia dostaw energii elektrycznej z zapotrzebowaniem na tę energię;</w:t>
      </w:r>
    </w:p>
    <w:p w14:paraId="2347715D" w14:textId="06B525B2" w:rsidR="000A3DDB" w:rsidRPr="00963A1E" w:rsidRDefault="000A3DDB" w:rsidP="003C46A0">
      <w:pPr>
        <w:pStyle w:val="Cele"/>
        <w:numPr>
          <w:ilvl w:val="0"/>
          <w:numId w:val="17"/>
        </w:numPr>
        <w:spacing w:before="0" w:after="160"/>
        <w:ind w:hanging="720"/>
        <w:rPr>
          <w:sz w:val="22"/>
          <w:szCs w:val="20"/>
        </w:rPr>
      </w:pPr>
      <w:r w:rsidRPr="00963A1E">
        <w:rPr>
          <w:b/>
          <w:bCs/>
          <w:sz w:val="22"/>
          <w:szCs w:val="20"/>
        </w:rPr>
        <w:t>zapewnienie długoterminowej zdolności systemu elektroenergetycznego</w:t>
      </w:r>
      <w:r w:rsidRPr="00963A1E">
        <w:rPr>
          <w:sz w:val="22"/>
          <w:szCs w:val="20"/>
        </w:rPr>
        <w:t xml:space="preserve"> do zaspokajania uzasadnionych potrzeb w zakresie przesyłania energii elektrycznej w obrocie krajowym i transgranicznym, w tym w zakresie rozbudowy sieci przesyłowej</w:t>
      </w:r>
      <w:r w:rsidR="009E7675" w:rsidRPr="00963A1E">
        <w:rPr>
          <w:sz w:val="22"/>
          <w:szCs w:val="20"/>
        </w:rPr>
        <w:t xml:space="preserve"> i dystrybucyjnej</w:t>
      </w:r>
      <w:r w:rsidRPr="00963A1E">
        <w:rPr>
          <w:sz w:val="22"/>
          <w:szCs w:val="20"/>
        </w:rPr>
        <w:t xml:space="preserve">, a tam gdzie ma to </w:t>
      </w:r>
      <w:r w:rsidR="003C46A0" w:rsidRPr="00963A1E">
        <w:rPr>
          <w:sz w:val="22"/>
          <w:szCs w:val="20"/>
        </w:rPr>
        <w:t>uzasadnienie</w:t>
      </w:r>
      <w:r w:rsidRPr="00963A1E">
        <w:rPr>
          <w:sz w:val="22"/>
          <w:szCs w:val="20"/>
        </w:rPr>
        <w:t>, rozbudowy połączeń z innymi systemami elektroenergetycznymi.</w:t>
      </w:r>
    </w:p>
    <w:p w14:paraId="18E98854" w14:textId="5CCFFF5A" w:rsidR="00346594" w:rsidRDefault="00346594" w:rsidP="00346594">
      <w:r>
        <w:t xml:space="preserve">Ze względu na znaczne wyzwania związane z dynamicznym rozwojem mocy w rozproszonych źródłach energii oraz integracją OZE, niezbędne jest wsparcie rozwoju infrastruktury sieciowej, gdyż skala niezbędnych inwestycji jest niezwykle duża, a jednocześnie warunkuje </w:t>
      </w:r>
      <w:r w:rsidR="00B07093">
        <w:t xml:space="preserve">ona </w:t>
      </w:r>
      <w:r>
        <w:t xml:space="preserve">budowę nowego niskoemisyjnego systemu elektrycznego zapewniającego bezpieczeństwo elektroenergetyczne. </w:t>
      </w:r>
    </w:p>
    <w:p w14:paraId="6A49D427" w14:textId="77777777" w:rsidR="00DB696B" w:rsidRDefault="00DB696B" w:rsidP="00DB696B">
      <w:pPr>
        <w:pStyle w:val="Polityka"/>
      </w:pPr>
      <w:r w:rsidRPr="00C46DAA">
        <w:t>POLITYKA</w:t>
      </w:r>
    </w:p>
    <w:p w14:paraId="374DB87D" w14:textId="63CF3AF3" w:rsidR="009E7675" w:rsidRDefault="009E7675" w:rsidP="00DB696B">
      <w:r w:rsidRPr="0053209D">
        <w:t>Zapewnienie odpowiedniego stanu</w:t>
      </w:r>
      <w:r>
        <w:t xml:space="preserve"> </w:t>
      </w:r>
      <w:r w:rsidRPr="0053209D">
        <w:t xml:space="preserve">i rozwoju infrastruktury </w:t>
      </w:r>
      <w:r>
        <w:t xml:space="preserve">elektroenergetycznej będzie opierać się o regulowaną działalność profesjonalnych podmiotów. Jak dotychczas </w:t>
      </w:r>
      <w:r w:rsidRPr="002B4DFC">
        <w:rPr>
          <w:b/>
          <w:bCs/>
        </w:rPr>
        <w:t>operator system</w:t>
      </w:r>
      <w:r>
        <w:rPr>
          <w:b/>
          <w:bCs/>
        </w:rPr>
        <w:t>u</w:t>
      </w:r>
      <w:r w:rsidRPr="002B4DFC">
        <w:rPr>
          <w:b/>
          <w:bCs/>
        </w:rPr>
        <w:t xml:space="preserve"> przesyłow</w:t>
      </w:r>
      <w:r>
        <w:rPr>
          <w:b/>
          <w:bCs/>
        </w:rPr>
        <w:t>ego</w:t>
      </w:r>
      <w:r>
        <w:t xml:space="preserve"> będzie realizować zadania określone w </w:t>
      </w:r>
      <w:r w:rsidR="007824B3">
        <w:t>P</w:t>
      </w:r>
      <w:r w:rsidRPr="003A1509">
        <w:t>lan</w:t>
      </w:r>
      <w:r>
        <w:t>ie</w:t>
      </w:r>
      <w:r w:rsidRPr="003A1509">
        <w:t xml:space="preserve"> rozwoju w zakresie zaspokojenia obecnego i przyszłego zapotrzebowania na energię elektryczną </w:t>
      </w:r>
      <w:r w:rsidRPr="00FD5859">
        <w:t>na okres 10 lat</w:t>
      </w:r>
      <w:r>
        <w:t xml:space="preserve"> (obecnie obowiązuje </w:t>
      </w:r>
      <w:r w:rsidR="003C46A0">
        <w:t>P</w:t>
      </w:r>
      <w:r>
        <w:t xml:space="preserve">lan na okres </w:t>
      </w:r>
      <w:r w:rsidRPr="003A1509">
        <w:t>2023-2032</w:t>
      </w:r>
      <w:r w:rsidR="003C46A0">
        <w:t>, a konsultacjom publicznym poddany został Plan rozwoju na lata 2025-2034</w:t>
      </w:r>
      <w:r>
        <w:t xml:space="preserve">), zaś operatorzy </w:t>
      </w:r>
      <w:r w:rsidRPr="00E224B5">
        <w:rPr>
          <w:b/>
          <w:bCs/>
        </w:rPr>
        <w:t>systemów dystrybucyjnych</w:t>
      </w:r>
      <w:r>
        <w:t xml:space="preserve"> będą wykonywać takie plany w perspektywie 5-letniej</w:t>
      </w:r>
      <w:r w:rsidRPr="00FD5859">
        <w:t>.</w:t>
      </w:r>
      <w:r>
        <w:t xml:space="preserve"> </w:t>
      </w:r>
    </w:p>
    <w:p w14:paraId="673901CA" w14:textId="77777777" w:rsidR="00346594" w:rsidRDefault="00346594" w:rsidP="00346594">
      <w:r>
        <w:t>Działania podejmowane w obszarze zapewnienia sprawnej infrastruktury przesyłowej i dystrybucyjnej energii elektrycznej powinny być ukierunkowane na:</w:t>
      </w:r>
    </w:p>
    <w:p w14:paraId="11069480" w14:textId="6CD44C70" w:rsidR="00346594" w:rsidRDefault="00346594" w:rsidP="001D4BA5">
      <w:pPr>
        <w:pStyle w:val="Akapitzlist"/>
        <w:numPr>
          <w:ilvl w:val="0"/>
          <w:numId w:val="19"/>
        </w:numPr>
      </w:pPr>
      <w:r>
        <w:t>bezpieczeństwo dostaw m.in. dzięki interoperacyjności, odpowiednim połączeniom oraz</w:t>
      </w:r>
      <w:r w:rsidR="00BA22EF">
        <w:t> </w:t>
      </w:r>
      <w:r>
        <w:t>bezpiecznemu i niezawodnemu funkcjonowaniu systemu,</w:t>
      </w:r>
    </w:p>
    <w:p w14:paraId="447BBE7A" w14:textId="3437383D" w:rsidR="00346594" w:rsidRDefault="00346594" w:rsidP="001D4BA5">
      <w:pPr>
        <w:pStyle w:val="Akapitzlist"/>
        <w:numPr>
          <w:ilvl w:val="0"/>
          <w:numId w:val="19"/>
        </w:numPr>
      </w:pPr>
      <w:r>
        <w:t>zapewnienie wystarczających zdolności przesyłowych wynikających z prognozowanego do</w:t>
      </w:r>
      <w:r w:rsidR="00BA22EF">
        <w:t> </w:t>
      </w:r>
      <w:r w:rsidRPr="005016EE">
        <w:t>2032 r. zapotrzebowania</w:t>
      </w:r>
      <w:r>
        <w:t xml:space="preserve"> na moc i energię elektryczną poszczególnych obszarów KSE,</w:t>
      </w:r>
    </w:p>
    <w:p w14:paraId="5A472F34" w14:textId="0809D74A" w:rsidR="00346594" w:rsidRDefault="00346594" w:rsidP="001D4BA5">
      <w:pPr>
        <w:pStyle w:val="Akapitzlist"/>
        <w:numPr>
          <w:ilvl w:val="0"/>
          <w:numId w:val="19"/>
        </w:numPr>
      </w:pPr>
      <w:r>
        <w:t>przyłączenie i wyprowadzenie mocy z nowych źródeł wytwórczych</w:t>
      </w:r>
      <w:r w:rsidR="005016EE">
        <w:t xml:space="preserve"> (zarówno konwencjonalnych, jak i OZE),</w:t>
      </w:r>
      <w:r>
        <w:t xml:space="preserve"> </w:t>
      </w:r>
    </w:p>
    <w:p w14:paraId="77EAB268" w14:textId="33EC1368" w:rsidR="00346594" w:rsidRDefault="00346594" w:rsidP="001D4BA5">
      <w:pPr>
        <w:pStyle w:val="Akapitzlist"/>
        <w:numPr>
          <w:ilvl w:val="0"/>
          <w:numId w:val="19"/>
        </w:numPr>
      </w:pPr>
      <w:r>
        <w:t>zapewnienie możliwości przyłączenia nowych odbiorców energii</w:t>
      </w:r>
      <w:r w:rsidR="003C46A0">
        <w:t>,</w:t>
      </w:r>
    </w:p>
    <w:p w14:paraId="01CB3BCB" w14:textId="77777777" w:rsidR="00346594" w:rsidRDefault="00346594" w:rsidP="001D4BA5">
      <w:pPr>
        <w:pStyle w:val="Akapitzlist"/>
        <w:numPr>
          <w:ilvl w:val="0"/>
          <w:numId w:val="19"/>
        </w:numPr>
      </w:pPr>
      <w:r>
        <w:t>zwiększenie pewności zasilania dużych centrów odbioru,</w:t>
      </w:r>
    </w:p>
    <w:p w14:paraId="6CC17F89" w14:textId="77777777" w:rsidR="00346594" w:rsidRDefault="00346594" w:rsidP="001D4BA5">
      <w:pPr>
        <w:pStyle w:val="Akapitzlist"/>
        <w:numPr>
          <w:ilvl w:val="0"/>
          <w:numId w:val="19"/>
        </w:numPr>
      </w:pPr>
      <w:r>
        <w:t>zwiększenie zdolności do regulacji napięć,</w:t>
      </w:r>
    </w:p>
    <w:p w14:paraId="56468BBA" w14:textId="31341346" w:rsidR="00346594" w:rsidRDefault="00346594" w:rsidP="001D4BA5">
      <w:pPr>
        <w:pStyle w:val="Akapitzlist"/>
        <w:numPr>
          <w:ilvl w:val="0"/>
          <w:numId w:val="19"/>
        </w:numPr>
      </w:pPr>
      <w:r>
        <w:t>stworzenie warunków bezpiecznej pracy KSE</w:t>
      </w:r>
      <w:r w:rsidR="00963A1E">
        <w:t>,</w:t>
      </w:r>
      <w:r>
        <w:t xml:space="preserve"> zapewniając współpracę źródeł energii o zróżnicowanej technologii wytwarzania i różnych charakterystykach pracy, </w:t>
      </w:r>
    </w:p>
    <w:p w14:paraId="6B6B5122" w14:textId="3E22FD55" w:rsidR="00346594" w:rsidRDefault="00346594" w:rsidP="001D4BA5">
      <w:pPr>
        <w:pStyle w:val="Akapitzlist"/>
        <w:numPr>
          <w:ilvl w:val="0"/>
          <w:numId w:val="19"/>
        </w:numPr>
      </w:pPr>
      <w:r>
        <w:t>zwiększenie elastyczności ruchowej systemu przesyłowego umożliwiającej odstawienie z ruchu do prac eksploatacyjnych i remontowych ważnych elementów sieci, których wyłączenie przy obecnym kształcie i obciążeniu sieci jest trudne.</w:t>
      </w:r>
    </w:p>
    <w:p w14:paraId="54D214CF" w14:textId="77777777" w:rsidR="00DB696B" w:rsidRPr="00C46DAA" w:rsidRDefault="00DB696B" w:rsidP="00DB696B">
      <w:pPr>
        <w:pStyle w:val="Polityka"/>
      </w:pPr>
      <w:r w:rsidRPr="00C46DAA">
        <w:t>DZIAŁANIA</w:t>
      </w:r>
    </w:p>
    <w:p w14:paraId="04549C3F" w14:textId="13220E7A" w:rsidR="00000734" w:rsidRDefault="00000734" w:rsidP="002A5705">
      <w:pPr>
        <w:pStyle w:val="Akapitzlist"/>
        <w:numPr>
          <w:ilvl w:val="0"/>
          <w:numId w:val="6"/>
        </w:numPr>
      </w:pPr>
      <w:r>
        <w:fldChar w:fldCharType="begin"/>
      </w:r>
      <w:r>
        <w:instrText xml:space="preserve"> REF _Ref157436008 \h </w:instrText>
      </w:r>
      <w:r>
        <w:fldChar w:fldCharType="separate"/>
      </w:r>
      <w:r w:rsidR="00DD3929" w:rsidRPr="00570679">
        <w:t xml:space="preserve">Działanie </w:t>
      </w:r>
      <w:r w:rsidR="00DD3929">
        <w:rPr>
          <w:noProof/>
        </w:rPr>
        <w:t>121</w:t>
      </w:r>
      <w:r w:rsidR="00DD3929" w:rsidRPr="00570679">
        <w:t>. Wzmacnianie cyberbezpieczeństwa w sektorze energii.</w:t>
      </w:r>
      <w:r>
        <w:fldChar w:fldCharType="end"/>
      </w:r>
    </w:p>
    <w:p w14:paraId="1BD9DBF0" w14:textId="13E0F8E1" w:rsidR="00000734" w:rsidRDefault="00000734" w:rsidP="002A5705">
      <w:pPr>
        <w:pStyle w:val="Akapitzlist"/>
        <w:numPr>
          <w:ilvl w:val="0"/>
          <w:numId w:val="6"/>
        </w:numPr>
      </w:pPr>
      <w:r>
        <w:fldChar w:fldCharType="begin"/>
      </w:r>
      <w:r>
        <w:instrText xml:space="preserve"> REF _Ref157437817 \h </w:instrText>
      </w:r>
      <w:r>
        <w:fldChar w:fldCharType="separate"/>
      </w:r>
      <w:r w:rsidR="00DD3929" w:rsidRPr="00570679">
        <w:t xml:space="preserve">Działanie </w:t>
      </w:r>
      <w:r w:rsidR="00DD3929">
        <w:rPr>
          <w:noProof/>
        </w:rPr>
        <w:t>122</w:t>
      </w:r>
      <w:r w:rsidR="00DD3929" w:rsidRPr="00570679">
        <w:t>. Działania w zakresie zwiększenia elastyczności systemu energetycznego w odniesieniu do wytwarzania energii ze źródeł odnawialnych</w:t>
      </w:r>
      <w:r w:rsidR="00DD3929">
        <w:t xml:space="preserve"> i dostosowania się do przewidywanych zmian KSE</w:t>
      </w:r>
      <w:r w:rsidR="00DD3929" w:rsidRPr="00570679">
        <w:t>.</w:t>
      </w:r>
      <w:r>
        <w:fldChar w:fldCharType="end"/>
      </w:r>
    </w:p>
    <w:p w14:paraId="31B272D4" w14:textId="36091E24" w:rsidR="000A3DDB" w:rsidRDefault="00000734" w:rsidP="00133B72">
      <w:pPr>
        <w:pStyle w:val="Akapitzlist"/>
        <w:numPr>
          <w:ilvl w:val="0"/>
          <w:numId w:val="6"/>
        </w:numPr>
      </w:pPr>
      <w:r>
        <w:fldChar w:fldCharType="begin"/>
      </w:r>
      <w:r>
        <w:instrText xml:space="preserve"> REF _Ref159500534 \h </w:instrText>
      </w:r>
      <w:r>
        <w:fldChar w:fldCharType="separate"/>
      </w:r>
      <w:r w:rsidR="00DD3929" w:rsidRPr="00570679">
        <w:t xml:space="preserve">Działanie </w:t>
      </w:r>
      <w:r w:rsidR="00DD3929">
        <w:rPr>
          <w:noProof/>
        </w:rPr>
        <w:t>131</w:t>
      </w:r>
      <w:r w:rsidR="00DD3929" w:rsidRPr="00570679">
        <w:t xml:space="preserve">. </w:t>
      </w:r>
      <w:r w:rsidR="00DD3929">
        <w:t xml:space="preserve">Rozwój i </w:t>
      </w:r>
      <w:r w:rsidR="00DD3929" w:rsidRPr="00B31627">
        <w:t>modernizacja</w:t>
      </w:r>
      <w:r w:rsidR="00DD3929">
        <w:t xml:space="preserve"> elektroenergetycznych sieci przesyłowych i dystrybucyjnych</w:t>
      </w:r>
      <w:r w:rsidR="00DD3929" w:rsidRPr="00570679">
        <w:t>.</w:t>
      </w:r>
      <w:r>
        <w:fldChar w:fldCharType="end"/>
      </w:r>
    </w:p>
    <w:p w14:paraId="40015E72" w14:textId="689B21CB" w:rsidR="00925327" w:rsidRDefault="008E1C88" w:rsidP="007712D1">
      <w:pPr>
        <w:pStyle w:val="Nagwek4"/>
        <w:rPr>
          <w:color w:val="FFC000" w:themeColor="accent4"/>
        </w:rPr>
      </w:pPr>
      <w:bookmarkStart w:id="216" w:name="_Toc159598338"/>
      <w:bookmarkStart w:id="217" w:name="_Toc179536989"/>
      <w:r>
        <w:rPr>
          <w:color w:val="FFC000" w:themeColor="accent4"/>
        </w:rPr>
        <w:t xml:space="preserve">Zwiększenie dostępności i przepustowości obecnych </w:t>
      </w:r>
      <w:r w:rsidR="00810DCA">
        <w:rPr>
          <w:color w:val="FFC000" w:themeColor="accent4"/>
        </w:rPr>
        <w:t xml:space="preserve">elektroenergetycznych </w:t>
      </w:r>
      <w:r>
        <w:rPr>
          <w:color w:val="FFC000" w:themeColor="accent4"/>
        </w:rPr>
        <w:t>połączeń transgranicznych</w:t>
      </w:r>
      <w:bookmarkEnd w:id="216"/>
      <w:bookmarkEnd w:id="217"/>
      <w:r>
        <w:rPr>
          <w:color w:val="FFC000" w:themeColor="accent4"/>
        </w:rPr>
        <w:t xml:space="preserve"> </w:t>
      </w:r>
    </w:p>
    <w:p w14:paraId="27854BDE" w14:textId="6E73CC31" w:rsidR="00BA22EF" w:rsidRDefault="00BA22EF" w:rsidP="00BA22EF">
      <w:r>
        <w:rPr>
          <w:noProof/>
        </w:rPr>
        <mc:AlternateContent>
          <mc:Choice Requires="wps">
            <w:drawing>
              <wp:anchor distT="0" distB="0" distL="114300" distR="114300" simplePos="0" relativeHeight="251755520" behindDoc="1" locked="0" layoutInCell="1" allowOverlap="1" wp14:anchorId="3B84A274" wp14:editId="794A82F8">
                <wp:simplePos x="0" y="0"/>
                <wp:positionH relativeFrom="margin">
                  <wp:posOffset>3155324</wp:posOffset>
                </wp:positionH>
                <wp:positionV relativeFrom="paragraph">
                  <wp:posOffset>71048</wp:posOffset>
                </wp:positionV>
                <wp:extent cx="2620010" cy="1963420"/>
                <wp:effectExtent l="0" t="0" r="27940" b="26670"/>
                <wp:wrapSquare wrapText="bothSides"/>
                <wp:docPr id="216044139" name="Prostokąt: zaokrąglone rogi 1"/>
                <wp:cNvGraphicFramePr/>
                <a:graphic xmlns:a="http://schemas.openxmlformats.org/drawingml/2006/main">
                  <a:graphicData uri="http://schemas.microsoft.com/office/word/2010/wordprocessingShape">
                    <wps:wsp>
                      <wps:cNvSpPr/>
                      <wps:spPr>
                        <a:xfrm>
                          <a:off x="0" y="0"/>
                          <a:ext cx="2620010" cy="1963420"/>
                        </a:xfrm>
                        <a:prstGeom prst="roundRect">
                          <a:avLst>
                            <a:gd name="adj" fmla="val 11857"/>
                          </a:avLst>
                        </a:prstGeom>
                        <a:ln>
                          <a:extLst>
                            <a:ext uri="{C807C97D-BFC1-408E-A445-0C87EB9F89A2}">
                              <ask:lineSketchStyleProps xmlns:ask="http://schemas.microsoft.com/office/drawing/2018/sketchyshapes" sd="3209426022">
                                <a:custGeom>
                                  <a:avLst/>
                                  <a:gdLst>
                                    <a:gd name="connsiteX0" fmla="*/ 0 w 2969895"/>
                                    <a:gd name="connsiteY0" fmla="*/ 369497 h 2597150"/>
                                    <a:gd name="connsiteX1" fmla="*/ 369497 w 2969895"/>
                                    <a:gd name="connsiteY1" fmla="*/ 0 h 2597150"/>
                                    <a:gd name="connsiteX2" fmla="*/ 860295 w 2969895"/>
                                    <a:gd name="connsiteY2" fmla="*/ 0 h 2597150"/>
                                    <a:gd name="connsiteX3" fmla="*/ 1373402 w 2969895"/>
                                    <a:gd name="connsiteY3" fmla="*/ 0 h 2597150"/>
                                    <a:gd name="connsiteX4" fmla="*/ 1908819 w 2969895"/>
                                    <a:gd name="connsiteY4" fmla="*/ 0 h 2597150"/>
                                    <a:gd name="connsiteX5" fmla="*/ 2600398 w 2969895"/>
                                    <a:gd name="connsiteY5" fmla="*/ 0 h 2597150"/>
                                    <a:gd name="connsiteX6" fmla="*/ 2969895 w 2969895"/>
                                    <a:gd name="connsiteY6" fmla="*/ 369497 h 2597150"/>
                                    <a:gd name="connsiteX7" fmla="*/ 2969895 w 2969895"/>
                                    <a:gd name="connsiteY7" fmla="*/ 933138 h 2597150"/>
                                    <a:gd name="connsiteX8" fmla="*/ 2969895 w 2969895"/>
                                    <a:gd name="connsiteY8" fmla="*/ 1571105 h 2597150"/>
                                    <a:gd name="connsiteX9" fmla="*/ 2969895 w 2969895"/>
                                    <a:gd name="connsiteY9" fmla="*/ 2227653 h 2597150"/>
                                    <a:gd name="connsiteX10" fmla="*/ 2600398 w 2969895"/>
                                    <a:gd name="connsiteY10" fmla="*/ 2597150 h 2597150"/>
                                    <a:gd name="connsiteX11" fmla="*/ 2087291 w 2969895"/>
                                    <a:gd name="connsiteY11" fmla="*/ 2597150 h 2597150"/>
                                    <a:gd name="connsiteX12" fmla="*/ 1596493 w 2969895"/>
                                    <a:gd name="connsiteY12" fmla="*/ 2597150 h 2597150"/>
                                    <a:gd name="connsiteX13" fmla="*/ 1083385 w 2969895"/>
                                    <a:gd name="connsiteY13" fmla="*/ 2597150 h 2597150"/>
                                    <a:gd name="connsiteX14" fmla="*/ 369497 w 2969895"/>
                                    <a:gd name="connsiteY14" fmla="*/ 2597150 h 2597150"/>
                                    <a:gd name="connsiteX15" fmla="*/ 0 w 2969895"/>
                                    <a:gd name="connsiteY15" fmla="*/ 2227653 h 2597150"/>
                                    <a:gd name="connsiteX16" fmla="*/ 0 w 2969895"/>
                                    <a:gd name="connsiteY16" fmla="*/ 1664012 h 2597150"/>
                                    <a:gd name="connsiteX17" fmla="*/ 0 w 2969895"/>
                                    <a:gd name="connsiteY17" fmla="*/ 1007464 h 2597150"/>
                                    <a:gd name="connsiteX18" fmla="*/ 0 w 2969895"/>
                                    <a:gd name="connsiteY18" fmla="*/ 369497 h 25971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Lst>
                                  <a:rect l="l" t="t" r="r" b="b"/>
                                  <a:pathLst>
                                    <a:path w="2969895" h="2597150" fill="none" extrusionOk="0">
                                      <a:moveTo>
                                        <a:pt x="0" y="369497"/>
                                      </a:moveTo>
                                      <a:cubicBezTo>
                                        <a:pt x="-21648" y="122196"/>
                                        <a:pt x="151284" y="20440"/>
                                        <a:pt x="369497" y="0"/>
                                      </a:cubicBezTo>
                                      <a:cubicBezTo>
                                        <a:pt x="522987" y="20037"/>
                                        <a:pt x="761634" y="-14955"/>
                                        <a:pt x="860295" y="0"/>
                                      </a:cubicBezTo>
                                      <a:cubicBezTo>
                                        <a:pt x="958956" y="14955"/>
                                        <a:pt x="1258306" y="-1385"/>
                                        <a:pt x="1373402" y="0"/>
                                      </a:cubicBezTo>
                                      <a:cubicBezTo>
                                        <a:pt x="1488498" y="1385"/>
                                        <a:pt x="1708357" y="-23685"/>
                                        <a:pt x="1908819" y="0"/>
                                      </a:cubicBezTo>
                                      <a:cubicBezTo>
                                        <a:pt x="2109281" y="23685"/>
                                        <a:pt x="2348083" y="10816"/>
                                        <a:pt x="2600398" y="0"/>
                                      </a:cubicBezTo>
                                      <a:cubicBezTo>
                                        <a:pt x="2768901" y="15078"/>
                                        <a:pt x="2966036" y="150633"/>
                                        <a:pt x="2969895" y="369497"/>
                                      </a:cubicBezTo>
                                      <a:cubicBezTo>
                                        <a:pt x="2962113" y="608285"/>
                                        <a:pt x="2992646" y="718113"/>
                                        <a:pt x="2969895" y="933138"/>
                                      </a:cubicBezTo>
                                      <a:cubicBezTo>
                                        <a:pt x="2947144" y="1148163"/>
                                        <a:pt x="2959903" y="1379042"/>
                                        <a:pt x="2969895" y="1571105"/>
                                      </a:cubicBezTo>
                                      <a:cubicBezTo>
                                        <a:pt x="2979887" y="1763168"/>
                                        <a:pt x="2979459" y="1952072"/>
                                        <a:pt x="2969895" y="2227653"/>
                                      </a:cubicBezTo>
                                      <a:cubicBezTo>
                                        <a:pt x="2972534" y="2425813"/>
                                        <a:pt x="2839732" y="2580296"/>
                                        <a:pt x="2600398" y="2597150"/>
                                      </a:cubicBezTo>
                                      <a:cubicBezTo>
                                        <a:pt x="2371648" y="2583364"/>
                                        <a:pt x="2211376" y="2579538"/>
                                        <a:pt x="2087291" y="2597150"/>
                                      </a:cubicBezTo>
                                      <a:cubicBezTo>
                                        <a:pt x="1963206" y="2614762"/>
                                        <a:pt x="1722052" y="2580167"/>
                                        <a:pt x="1596493" y="2597150"/>
                                      </a:cubicBezTo>
                                      <a:cubicBezTo>
                                        <a:pt x="1470934" y="2614133"/>
                                        <a:pt x="1334604" y="2607859"/>
                                        <a:pt x="1083385" y="2597150"/>
                                      </a:cubicBezTo>
                                      <a:cubicBezTo>
                                        <a:pt x="832166" y="2586441"/>
                                        <a:pt x="530773" y="2610674"/>
                                        <a:pt x="369497" y="2597150"/>
                                      </a:cubicBezTo>
                                      <a:cubicBezTo>
                                        <a:pt x="155534" y="2581945"/>
                                        <a:pt x="17352" y="2459324"/>
                                        <a:pt x="0" y="2227653"/>
                                      </a:cubicBezTo>
                                      <a:cubicBezTo>
                                        <a:pt x="-17492" y="1985602"/>
                                        <a:pt x="10018" y="1857958"/>
                                        <a:pt x="0" y="1664012"/>
                                      </a:cubicBezTo>
                                      <a:cubicBezTo>
                                        <a:pt x="-10018" y="1470066"/>
                                        <a:pt x="30211" y="1274151"/>
                                        <a:pt x="0" y="1007464"/>
                                      </a:cubicBezTo>
                                      <a:cubicBezTo>
                                        <a:pt x="-30211" y="740777"/>
                                        <a:pt x="28398" y="678939"/>
                                        <a:pt x="0" y="369497"/>
                                      </a:cubicBezTo>
                                      <a:close/>
                                    </a:path>
                                    <a:path w="2969895" h="2597150" stroke="0" extrusionOk="0">
                                      <a:moveTo>
                                        <a:pt x="0" y="369497"/>
                                      </a:moveTo>
                                      <a:cubicBezTo>
                                        <a:pt x="34577" y="178421"/>
                                        <a:pt x="167617" y="23472"/>
                                        <a:pt x="369497" y="0"/>
                                      </a:cubicBezTo>
                                      <a:cubicBezTo>
                                        <a:pt x="518833" y="25358"/>
                                        <a:pt x="763926" y="-12862"/>
                                        <a:pt x="927222" y="0"/>
                                      </a:cubicBezTo>
                                      <a:cubicBezTo>
                                        <a:pt x="1090519" y="12862"/>
                                        <a:pt x="1283092" y="13454"/>
                                        <a:pt x="1529566" y="0"/>
                                      </a:cubicBezTo>
                                      <a:cubicBezTo>
                                        <a:pt x="1776040" y="-13454"/>
                                        <a:pt x="2346815" y="-6698"/>
                                        <a:pt x="2600398" y="0"/>
                                      </a:cubicBezTo>
                                      <a:cubicBezTo>
                                        <a:pt x="2790254" y="-14900"/>
                                        <a:pt x="2963476" y="163312"/>
                                        <a:pt x="2969895" y="369497"/>
                                      </a:cubicBezTo>
                                      <a:cubicBezTo>
                                        <a:pt x="2964010" y="618454"/>
                                        <a:pt x="2992138" y="705432"/>
                                        <a:pt x="2969895" y="933138"/>
                                      </a:cubicBezTo>
                                      <a:cubicBezTo>
                                        <a:pt x="2947652" y="1160844"/>
                                        <a:pt x="2959065" y="1396088"/>
                                        <a:pt x="2969895" y="1552523"/>
                                      </a:cubicBezTo>
                                      <a:cubicBezTo>
                                        <a:pt x="2980725" y="1708958"/>
                                        <a:pt x="2989525" y="1922101"/>
                                        <a:pt x="2969895" y="2227653"/>
                                      </a:cubicBezTo>
                                      <a:cubicBezTo>
                                        <a:pt x="2961485" y="2426742"/>
                                        <a:pt x="2843982" y="2584275"/>
                                        <a:pt x="2600398" y="2597150"/>
                                      </a:cubicBezTo>
                                      <a:cubicBezTo>
                                        <a:pt x="2446371" y="2597226"/>
                                        <a:pt x="2156238" y="2611024"/>
                                        <a:pt x="2042673" y="2597150"/>
                                      </a:cubicBezTo>
                                      <a:cubicBezTo>
                                        <a:pt x="1929108" y="2583276"/>
                                        <a:pt x="1682141" y="2616607"/>
                                        <a:pt x="1484948" y="2597150"/>
                                      </a:cubicBezTo>
                                      <a:cubicBezTo>
                                        <a:pt x="1287756" y="2577693"/>
                                        <a:pt x="1127330" y="2623505"/>
                                        <a:pt x="927222" y="2597150"/>
                                      </a:cubicBezTo>
                                      <a:cubicBezTo>
                                        <a:pt x="727114" y="2570795"/>
                                        <a:pt x="553257" y="2623034"/>
                                        <a:pt x="369497" y="2597150"/>
                                      </a:cubicBezTo>
                                      <a:cubicBezTo>
                                        <a:pt x="194263" y="2631399"/>
                                        <a:pt x="3410" y="2439480"/>
                                        <a:pt x="0" y="2227653"/>
                                      </a:cubicBezTo>
                                      <a:cubicBezTo>
                                        <a:pt x="-13465" y="2026099"/>
                                        <a:pt x="2425" y="1821961"/>
                                        <a:pt x="0" y="1645431"/>
                                      </a:cubicBezTo>
                                      <a:cubicBezTo>
                                        <a:pt x="-2425" y="1468901"/>
                                        <a:pt x="-3089" y="1229156"/>
                                        <a:pt x="0" y="1063209"/>
                                      </a:cubicBezTo>
                                      <a:cubicBezTo>
                                        <a:pt x="3089" y="897262"/>
                                        <a:pt x="-3659" y="513368"/>
                                        <a:pt x="0" y="369497"/>
                                      </a:cubicBezTo>
                                      <a:close/>
                                    </a:path>
                                  </a:pathLst>
                                </a:custGeom>
                                <ask:type>
                                  <ask:lineSketchNone/>
                                </ask:type>
                              </ask:lineSketchStyleProps>
                            </a:ext>
                          </a:extLst>
                        </a:ln>
                      </wps:spPr>
                      <wps:style>
                        <a:lnRef idx="2">
                          <a:schemeClr val="accent4"/>
                        </a:lnRef>
                        <a:fillRef idx="1">
                          <a:schemeClr val="lt1"/>
                        </a:fillRef>
                        <a:effectRef idx="0">
                          <a:schemeClr val="accent4"/>
                        </a:effectRef>
                        <a:fontRef idx="minor">
                          <a:schemeClr val="dk1"/>
                        </a:fontRef>
                      </wps:style>
                      <wps:txbx>
                        <w:txbxContent>
                          <w:p w14:paraId="039A98AE" w14:textId="6B9574D3" w:rsidR="00BA22EF" w:rsidRPr="004E21CF" w:rsidRDefault="00BA22EF" w:rsidP="00BA22EF">
                            <w:pPr>
                              <w:pStyle w:val="Ramka"/>
                            </w:pPr>
                            <w:r>
                              <w:t xml:space="preserve">Polski KSE sąsiaduje </w:t>
                            </w:r>
                            <w:r w:rsidR="004B38F5">
                              <w:t>również</w:t>
                            </w:r>
                            <w:r>
                              <w:t xml:space="preserve"> z systemami spoza obszaru synchronicznego, </w:t>
                            </w:r>
                            <w:r w:rsidR="00975A78">
                              <w:t xml:space="preserve">Europy kontynentalnej, </w:t>
                            </w:r>
                            <w:r>
                              <w:t xml:space="preserve">tj. z systemem litewskim, szwedzkim oraz białoruskim i rosyjskim. </w:t>
                            </w:r>
                            <w:r w:rsidR="00975A78">
                              <w:t xml:space="preserve">Z systemem rosyjskim i białoruskim </w:t>
                            </w:r>
                            <w:r w:rsidR="004B38F5">
                              <w:t>KSE</w:t>
                            </w:r>
                            <w:r>
                              <w:t xml:space="preserve"> nie ma funkcjonujących połączeń transgranicznych.</w:t>
                            </w:r>
                          </w:p>
                        </w:txbxContent>
                      </wps:txbx>
                      <wps:bodyPr rot="0" spcFirstLastPara="0" vertOverflow="overflow" horzOverflow="overflow" vert="horz" wrap="square" lIns="72000" tIns="90000" rIns="72000" bIns="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3B84A274" id="_x0000_s1107" style="position:absolute;left:0;text-align:left;margin-left:248.45pt;margin-top:5.6pt;width:206.3pt;height:154.6pt;z-index:-2515609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777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" fillcolor="white [3201]" strokecolor="#ffc000 [3207]" strokeweight="1pt">
                <v:stroke joinstyle="miter"/>
                <v:textbox style="mso-fit-shape-to-text:t" inset="2mm,2.5mm,2mm,0">
                  <w:txbxContent>
                    <w:p w14:paraId="039A98AE" w14:textId="6B9574D3" w:rsidR="00BA22EF" w:rsidRPr="004E21CF" w:rsidRDefault="00BA22EF" w:rsidP="00BA22EF">
                      <w:pPr>
                        <w:pStyle w:val="Ramka"/>
                      </w:pPr>
                      <w:r>
                        <w:t xml:space="preserve">Polski KSE sąsiaduje </w:t>
                      </w:r>
                      <w:r w:rsidR="004B38F5">
                        <w:t>również</w:t>
                      </w:r>
                      <w:r>
                        <w:t xml:space="preserve"> z systemami spoza obszaru synchronicznego, </w:t>
                      </w:r>
                      <w:r w:rsidR="00975A78">
                        <w:t xml:space="preserve">Europy kontynentalnej, </w:t>
                      </w:r>
                      <w:r>
                        <w:t xml:space="preserve">tj. z systemem litewskim, szwedzkim oraz białoruskim i rosyjskim. </w:t>
                      </w:r>
                      <w:r w:rsidR="00975A78">
                        <w:t xml:space="preserve">Z systemem rosyjskim i białoruskim </w:t>
                      </w:r>
                      <w:r w:rsidR="004B38F5">
                        <w:t>KSE</w:t>
                      </w:r>
                      <w:r>
                        <w:t xml:space="preserve"> nie ma funkcjonujących połączeń transgranicznych.</w:t>
                      </w:r>
                    </w:p>
                  </w:txbxContent>
                </v:textbox>
                <w10:wrap type="square" anchorx="margin"/>
              </v:roundrect>
            </w:pict>
          </mc:Fallback>
        </mc:AlternateContent>
      </w:r>
      <w:r>
        <w:t xml:space="preserve">Polski Krajowy system elektroenergetyczny (KSE) funkcjonuje w ramach obszaru synchronicznego Europy kontynentalnej. Polski operator systemu przesyłowego elektroenergetycznego PSE SA jest członkiem stowarzyszenia ENTSO-E zrzeszającego </w:t>
      </w:r>
      <w:r w:rsidR="00975A78">
        <w:t>europejskich operatorów systemów elektroenergetycznych</w:t>
      </w:r>
      <w:r>
        <w:t xml:space="preserve">. Obszar synchroniczny Europy kontynentalnej jest koordynowany przez grupę regionalną Europa kontynentalna (RGCE) ENTSO-E. </w:t>
      </w:r>
    </w:p>
    <w:p w14:paraId="3FBC3BC5" w14:textId="4712E29B" w:rsidR="00BA22EF" w:rsidRDefault="00BA22EF" w:rsidP="00BA22EF">
      <w:r>
        <w:t>Polski KSE podlega ciągłemu rozwojowi w związku z przyłączaniem nowych jednostek wytwórczych i odbiorców, a także integracją rynków energii elektrycznej w UE. Integracja rynków jest bezpośredni</w:t>
      </w:r>
      <w:r w:rsidR="00975A78">
        <w:t>ą</w:t>
      </w:r>
      <w:r>
        <w:t xml:space="preserve"> przyczyną stopniowego zwiększania przepustowości na połączeniach transgranicznych (międzysystemowych, międzyobszarowych), przez </w:t>
      </w:r>
      <w:r w:rsidR="00975A78">
        <w:t xml:space="preserve">redukowanie </w:t>
      </w:r>
      <w:r>
        <w:t xml:space="preserve">ograniczeń systemowych i zwiększanie wykorzystania mocy połączeń transgranicznych. W 2022 r. doszło do przyłączenia do obszaru synchronicznego Europy </w:t>
      </w:r>
      <w:r w:rsidR="006F37A6">
        <w:t>k</w:t>
      </w:r>
      <w:r>
        <w:t xml:space="preserve">ontynentalnej systemu ukraińskiego i mołdawskiego. Z systemem elektroenergetycznym Ukrainy KSE ma dwa połączenia transgraniczne, z czego linia 400 kV Rzeszów- Chmielnicka EJ została w 2023 r. włączona do pracy synchronicznej po ponad czterdziestoletnim nieużytkowaniu. </w:t>
      </w:r>
      <w:r w:rsidRPr="00BA22EF">
        <w:rPr>
          <w:b/>
          <w:bCs/>
        </w:rPr>
        <w:t xml:space="preserve">Obecnie kluczowym projektem integracyjnym o znaczeniu geopolitycznym jest przyłączenie do pracy synchronicznej systemów elektroenergetycznych </w:t>
      </w:r>
      <w:r w:rsidR="00266F38">
        <w:rPr>
          <w:b/>
          <w:bCs/>
        </w:rPr>
        <w:t>krajów</w:t>
      </w:r>
      <w:r w:rsidR="00266F38" w:rsidRPr="00BA22EF">
        <w:rPr>
          <w:b/>
          <w:bCs/>
        </w:rPr>
        <w:t xml:space="preserve"> </w:t>
      </w:r>
      <w:r w:rsidR="006972A8">
        <w:rPr>
          <w:b/>
          <w:bCs/>
        </w:rPr>
        <w:t>b</w:t>
      </w:r>
      <w:r w:rsidRPr="00BA22EF">
        <w:rPr>
          <w:b/>
          <w:bCs/>
        </w:rPr>
        <w:t>ałtyckich (Litwy, Łotwy i Estonii) planowane na luty 2025 r.</w:t>
      </w:r>
      <w:r>
        <w:t xml:space="preserve"> Z systemem litewskim KSE posiada jedno połączenie pracujące od 2015 r. jako linia asynchronicznie łącząc</w:t>
      </w:r>
      <w:r w:rsidR="003A08B5">
        <w:t>a</w:t>
      </w:r>
      <w:r>
        <w:t xml:space="preserve"> systemy Polski i Litwy. Przygotowywana jest realizacja drugiego połączenia, które zapewni bezpieczeństwo i efektywność pracy synchronicznej </w:t>
      </w:r>
      <w:r w:rsidR="00266F38">
        <w:t xml:space="preserve">krajów </w:t>
      </w:r>
      <w:r>
        <w:t>bałtyckich w</w:t>
      </w:r>
      <w:r w:rsidR="006972A8">
        <w:t> </w:t>
      </w:r>
      <w:r>
        <w:t>obszarze synchronicznym w ramach Europy kontynentalnej.</w:t>
      </w:r>
    </w:p>
    <w:p w14:paraId="334DD048" w14:textId="440DDBC4" w:rsidR="00BA22EF" w:rsidRDefault="00BA22EF" w:rsidP="003A08B5">
      <w:pPr>
        <w:spacing w:after="80"/>
      </w:pPr>
      <w:r w:rsidRPr="00BA22EF">
        <w:rPr>
          <w:b/>
          <w:bCs/>
        </w:rPr>
        <w:t>Polska skupia się na zwiększaniu wykorzystania elektroenergetycznych połączeń transgranicznych poprzez optymalizację wykorzystania połączeń istniejących i likwidację wąskich gardeł w poszczególnych systemach krajowych</w:t>
      </w:r>
      <w:r>
        <w:t>, w tym przez:</w:t>
      </w:r>
    </w:p>
    <w:p w14:paraId="4B3C1A38" w14:textId="77777777" w:rsidR="00BA22EF" w:rsidRDefault="00BA22EF" w:rsidP="009D5BD0">
      <w:pPr>
        <w:pStyle w:val="Akapitzlist"/>
        <w:numPr>
          <w:ilvl w:val="0"/>
          <w:numId w:val="2"/>
        </w:numPr>
        <w:ind w:left="567" w:hanging="356"/>
      </w:pPr>
      <w:r>
        <w:t xml:space="preserve">budowę brakujących linii wewnątrz systemów krajowych, </w:t>
      </w:r>
    </w:p>
    <w:p w14:paraId="5BC6BBCC" w14:textId="3A8C2D66" w:rsidR="00BA22EF" w:rsidRDefault="009D5BD0" w:rsidP="009D5BD0">
      <w:pPr>
        <w:pStyle w:val="Akapitzlist"/>
        <w:numPr>
          <w:ilvl w:val="0"/>
          <w:numId w:val="2"/>
        </w:numPr>
        <w:ind w:left="567" w:hanging="356"/>
      </w:pPr>
      <w:r>
        <w:t>budowę nowych lub zwiększanie mocy istniejących połączeń transgranicznych,</w:t>
      </w:r>
    </w:p>
    <w:p w14:paraId="721F58B3" w14:textId="335BB2EE" w:rsidR="00BA22EF" w:rsidRDefault="00BA22EF" w:rsidP="009D5BD0">
      <w:pPr>
        <w:pStyle w:val="Akapitzlist"/>
        <w:numPr>
          <w:ilvl w:val="0"/>
          <w:numId w:val="2"/>
        </w:numPr>
        <w:ind w:left="567" w:hanging="356"/>
      </w:pPr>
      <w:r>
        <w:t>dalszą optymalizację metod udostępniania zdolności przesyłowych,</w:t>
      </w:r>
    </w:p>
    <w:p w14:paraId="379AB1D4" w14:textId="3A981065" w:rsidR="00BA22EF" w:rsidRDefault="00BA22EF" w:rsidP="009D5BD0">
      <w:pPr>
        <w:pStyle w:val="Akapitzlist"/>
        <w:numPr>
          <w:ilvl w:val="0"/>
          <w:numId w:val="2"/>
        </w:numPr>
        <w:ind w:left="567" w:hanging="356"/>
      </w:pPr>
      <w:r>
        <w:t>instalację urządzeń sieciowych usprawniających przesył tam</w:t>
      </w:r>
      <w:r w:rsidR="003A08B5">
        <w:t>,</w:t>
      </w:r>
      <w:r>
        <w:t xml:space="preserve"> gdzie jest to konieczne i możliwe.</w:t>
      </w:r>
    </w:p>
    <w:p w14:paraId="44A4F3F2" w14:textId="7D003A93" w:rsidR="00BA22EF" w:rsidRDefault="00BA22EF" w:rsidP="003A08B5">
      <w:pPr>
        <w:spacing w:after="80"/>
      </w:pPr>
      <w:r>
        <w:t>W związku z tymi przesłankami do 2030 r. przewidywane są inwestycje związane z rozwojem KSE i</w:t>
      </w:r>
      <w:r w:rsidR="004B38F5">
        <w:t> </w:t>
      </w:r>
      <w:r>
        <w:t xml:space="preserve">połączeń transgranicznych, m.in.: </w:t>
      </w:r>
    </w:p>
    <w:p w14:paraId="072F7444" w14:textId="708CFCD2" w:rsidR="00BA22EF" w:rsidRDefault="00BA22EF" w:rsidP="009D5BD0">
      <w:pPr>
        <w:pStyle w:val="Akapitzlist"/>
        <w:numPr>
          <w:ilvl w:val="0"/>
          <w:numId w:val="3"/>
        </w:numPr>
        <w:ind w:left="567" w:hanging="356"/>
      </w:pPr>
      <w:r>
        <w:t>budowa nowego połączenia transgranicznego Polska–Litwa (Harmony Link) mającego na celu bezpieczn</w:t>
      </w:r>
      <w:r w:rsidR="00415AD5">
        <w:t>ą</w:t>
      </w:r>
      <w:r>
        <w:t xml:space="preserve"> synchronizacj</w:t>
      </w:r>
      <w:r w:rsidR="00415AD5">
        <w:t>ę</w:t>
      </w:r>
      <w:r>
        <w:t xml:space="preserve"> systemów elektroenergetycznych </w:t>
      </w:r>
      <w:r w:rsidR="00266F38">
        <w:t>krajów</w:t>
      </w:r>
      <w:r>
        <w:t xml:space="preserve"> </w:t>
      </w:r>
      <w:r w:rsidR="007D00D3">
        <w:t>b</w:t>
      </w:r>
      <w:r>
        <w:t>ałtyckich z</w:t>
      </w:r>
      <w:r w:rsidR="004B38F5">
        <w:t> </w:t>
      </w:r>
      <w:r>
        <w:t xml:space="preserve">Europą </w:t>
      </w:r>
      <w:r w:rsidR="004B38F5">
        <w:t>k</w:t>
      </w:r>
      <w:r>
        <w:t>ontynentalną;</w:t>
      </w:r>
    </w:p>
    <w:p w14:paraId="2DB94CA0" w14:textId="6BCBFB0C" w:rsidR="009D5BD0" w:rsidRDefault="00BA22EF" w:rsidP="009D5BD0">
      <w:pPr>
        <w:pStyle w:val="Akapitzlist"/>
        <w:numPr>
          <w:ilvl w:val="0"/>
          <w:numId w:val="3"/>
        </w:numPr>
        <w:ind w:left="567" w:hanging="356"/>
      </w:pPr>
      <w:r>
        <w:t xml:space="preserve">wsparcie </w:t>
      </w:r>
      <w:r w:rsidR="00266F38">
        <w:t>krajów</w:t>
      </w:r>
      <w:r>
        <w:t xml:space="preserve"> </w:t>
      </w:r>
      <w:r w:rsidR="007D00D3">
        <w:t>b</w:t>
      </w:r>
      <w:r>
        <w:t>ałtyckich w przeprowadzeniu synchronizacji z Europą kontynentalną w lutym 2025 r.</w:t>
      </w:r>
    </w:p>
    <w:p w14:paraId="4298D558" w14:textId="3563E882" w:rsidR="00BA22EF" w:rsidRDefault="00BA22EF" w:rsidP="009D5BD0">
      <w:pPr>
        <w:pStyle w:val="Akapitzlist"/>
        <w:numPr>
          <w:ilvl w:val="0"/>
          <w:numId w:val="3"/>
        </w:numPr>
        <w:ind w:left="567" w:hanging="356"/>
      </w:pPr>
      <w:r>
        <w:t>dalsze usprawnianie przepływów energii na obecnym profilu synchronicznym (Niemcy, Czechy i</w:t>
      </w:r>
      <w:r w:rsidR="00415AD5">
        <w:t> </w:t>
      </w:r>
      <w:r>
        <w:t xml:space="preserve">Słowacja) w ramach regionu wyznaczania zdolności CORE. </w:t>
      </w:r>
    </w:p>
    <w:p w14:paraId="7C3D5CA5" w14:textId="59EDC50C" w:rsidR="00BA22EF" w:rsidRDefault="00BA22EF" w:rsidP="00BA22EF">
      <w:r w:rsidRPr="00BA22EF">
        <w:rPr>
          <w:b/>
          <w:bCs/>
        </w:rPr>
        <w:t>W perspektywie do 2030 r. przewidywane jest zwiększenie przepustowości obecnych połączeń transgranicznych Polski, wynikające z realizacji budowy połączenia transgranicznego Harmony Link</w:t>
      </w:r>
      <w:r>
        <w:t>.</w:t>
      </w:r>
    </w:p>
    <w:p w14:paraId="59181150" w14:textId="10B5222E" w:rsidR="00BA22EF" w:rsidRPr="00BA22EF" w:rsidRDefault="00BA22EF" w:rsidP="00BA22EF">
      <w:pPr>
        <w:rPr>
          <w:b/>
          <w:szCs w:val="20"/>
        </w:rPr>
      </w:pPr>
      <w:r>
        <w:t>Zgodnie z przepisami prawa UE,</w:t>
      </w:r>
      <w:r w:rsidRPr="006F679E">
        <w:t xml:space="preserve"> </w:t>
      </w:r>
      <w:r>
        <w:t xml:space="preserve">OSPe powinni maksymalizować </w:t>
      </w:r>
      <w:r w:rsidRPr="006F679E">
        <w:t>zdolności</w:t>
      </w:r>
      <w:r>
        <w:t xml:space="preserve"> przesyłowe</w:t>
      </w:r>
      <w:r w:rsidRPr="006F679E">
        <w:t xml:space="preserve"> połączeń wzajemnych</w:t>
      </w:r>
      <w:r>
        <w:t xml:space="preserve"> oferowane na potrzeby handlu transgranicznego. </w:t>
      </w:r>
      <w:bookmarkStart w:id="218" w:name="_Hlk173318545"/>
      <w:r>
        <w:t xml:space="preserve">Przepisy </w:t>
      </w:r>
      <w:r w:rsidR="00AE0F45">
        <w:t>r</w:t>
      </w:r>
      <w:r>
        <w:t xml:space="preserve">ozporządzenia (UE) 2019/943 nałożyły na </w:t>
      </w:r>
      <w:r w:rsidRPr="00DD30BC">
        <w:t>OSP</w:t>
      </w:r>
      <w:r>
        <w:t xml:space="preserve">e </w:t>
      </w:r>
      <w:r w:rsidRPr="00BA22EF">
        <w:t>obowiązek udostępniania uczestnikom rynku transgranicznych zdolności przesyłowych na poziomie nie niższym niż 70% zdolności przesyłowych dla danej granicy lub dla krytycznych elementów sieci</w:t>
      </w:r>
      <w:r w:rsidRPr="009D629B">
        <w:t xml:space="preserve"> (CNEC</w:t>
      </w:r>
      <w:r w:rsidR="003B4135">
        <w:t xml:space="preserve">, ang. </w:t>
      </w:r>
      <w:r w:rsidR="003B4135" w:rsidRPr="003B4135">
        <w:rPr>
          <w:i/>
          <w:iCs/>
        </w:rPr>
        <w:t>critical network element with contingency</w:t>
      </w:r>
      <w:r w:rsidRPr="009D629B">
        <w:t>),</w:t>
      </w:r>
      <w:r w:rsidRPr="00DD30BC">
        <w:t xml:space="preserve"> wyznaczonych z uwzględnieniem granic bezpieczeństwa pracy systemu</w:t>
      </w:r>
      <w:r>
        <w:t xml:space="preserve"> (</w:t>
      </w:r>
      <w:r w:rsidR="004B38F5">
        <w:t xml:space="preserve">tzw. </w:t>
      </w:r>
      <w:r w:rsidRPr="003B4135">
        <w:rPr>
          <w:iCs/>
        </w:rPr>
        <w:t>cel CEP 70%</w:t>
      </w:r>
      <w:r>
        <w:t>)</w:t>
      </w:r>
      <w:bookmarkEnd w:id="218"/>
      <w:r>
        <w:t xml:space="preserve">. </w:t>
      </w:r>
      <w:r>
        <w:rPr>
          <w:szCs w:val="20"/>
        </w:rPr>
        <w:t xml:space="preserve">Realizując ten obowiązek, </w:t>
      </w:r>
      <w:r w:rsidRPr="00A27715">
        <w:rPr>
          <w:rFonts w:cs="Cambria"/>
          <w:color w:val="000000"/>
          <w:kern w:val="0"/>
          <w:szCs w:val="20"/>
        </w:rPr>
        <w:t>Polska przyjęła w 2019</w:t>
      </w:r>
      <w:r>
        <w:rPr>
          <w:rFonts w:cs="Cambria"/>
          <w:color w:val="000000"/>
          <w:kern w:val="0"/>
          <w:szCs w:val="20"/>
        </w:rPr>
        <w:t xml:space="preserve"> r.</w:t>
      </w:r>
      <w:r w:rsidRPr="00A27715">
        <w:rPr>
          <w:rFonts w:cs="Cambria"/>
          <w:color w:val="000000"/>
          <w:kern w:val="0"/>
          <w:szCs w:val="20"/>
        </w:rPr>
        <w:t xml:space="preserve"> </w:t>
      </w:r>
      <w:r w:rsidRPr="004B38F5">
        <w:rPr>
          <w:rFonts w:cs="Cambria"/>
          <w:bCs/>
          <w:color w:val="000000"/>
          <w:kern w:val="0"/>
          <w:szCs w:val="20"/>
        </w:rPr>
        <w:t>Plan działania.</w:t>
      </w:r>
      <w:r w:rsidRPr="00A27715">
        <w:rPr>
          <w:rFonts w:cs="Cambria"/>
          <w:color w:val="000000"/>
          <w:kern w:val="0"/>
          <w:szCs w:val="20"/>
        </w:rPr>
        <w:t xml:space="preserve"> </w:t>
      </w:r>
      <w:r>
        <w:rPr>
          <w:rFonts w:cs="Cambria"/>
          <w:color w:val="000000"/>
          <w:kern w:val="0"/>
          <w:szCs w:val="20"/>
        </w:rPr>
        <w:t xml:space="preserve">Środki przyjęte w ramach </w:t>
      </w:r>
      <w:r w:rsidR="000D07BB">
        <w:rPr>
          <w:rFonts w:cs="Cambria"/>
          <w:color w:val="000000"/>
          <w:kern w:val="0"/>
          <w:szCs w:val="20"/>
        </w:rPr>
        <w:t xml:space="preserve">tego </w:t>
      </w:r>
      <w:r w:rsidRPr="00A27715">
        <w:rPr>
          <w:rFonts w:cs="Cambria"/>
          <w:color w:val="000000"/>
          <w:kern w:val="0"/>
          <w:szCs w:val="20"/>
        </w:rPr>
        <w:t>Plan</w:t>
      </w:r>
      <w:r>
        <w:rPr>
          <w:rFonts w:cs="Cambria"/>
          <w:color w:val="000000"/>
          <w:kern w:val="0"/>
          <w:szCs w:val="20"/>
        </w:rPr>
        <w:t>u</w:t>
      </w:r>
      <w:r w:rsidRPr="00A27715">
        <w:rPr>
          <w:rFonts w:cs="Cambria"/>
          <w:color w:val="000000"/>
          <w:kern w:val="0"/>
          <w:szCs w:val="20"/>
        </w:rPr>
        <w:t xml:space="preserve"> </w:t>
      </w:r>
      <w:r>
        <w:rPr>
          <w:rFonts w:cs="Cambria"/>
          <w:color w:val="000000"/>
          <w:kern w:val="0"/>
          <w:szCs w:val="20"/>
        </w:rPr>
        <w:t xml:space="preserve">są realizowane, w tym zrealizowano inwestycje sieciowe mające służyć zwiększaniu transgranicznych zdolności przesyłowych. </w:t>
      </w:r>
      <w:r w:rsidRPr="00A27715">
        <w:rPr>
          <w:rFonts w:cs="Cambria"/>
          <w:color w:val="000000"/>
          <w:kern w:val="0"/>
          <w:szCs w:val="20"/>
        </w:rPr>
        <w:t xml:space="preserve">Przyrost mocy udostępnionych dla handlu międzysystemowego przebiega zgodnie z zaprojektowanym harmonogramem tj. liniowo (tzw. trajektoria liniowa), stopniowo redukując ograniczenia strukturalne. </w:t>
      </w:r>
      <w:r w:rsidRPr="004B38F5">
        <w:rPr>
          <w:rFonts w:cs="Cambria"/>
          <w:bCs/>
          <w:color w:val="000000"/>
          <w:kern w:val="0"/>
          <w:szCs w:val="20"/>
        </w:rPr>
        <w:t>Zgodnie z Planem działania</w:t>
      </w:r>
      <w:r w:rsidRPr="00BA22EF">
        <w:rPr>
          <w:rFonts w:cs="Cambria"/>
          <w:b/>
          <w:color w:val="000000"/>
          <w:kern w:val="0"/>
          <w:szCs w:val="20"/>
        </w:rPr>
        <w:t xml:space="preserve"> ostatecznym terminem na osiągnięcie </w:t>
      </w:r>
      <w:r w:rsidR="00AF6448">
        <w:rPr>
          <w:rFonts w:cs="Cambria"/>
          <w:b/>
          <w:color w:val="000000"/>
          <w:kern w:val="0"/>
          <w:szCs w:val="20"/>
        </w:rPr>
        <w:t>celu CEP</w:t>
      </w:r>
      <w:r w:rsidRPr="00BA22EF">
        <w:rPr>
          <w:rFonts w:cs="Cambria"/>
          <w:b/>
          <w:color w:val="000000"/>
          <w:kern w:val="0"/>
          <w:szCs w:val="20"/>
        </w:rPr>
        <w:t xml:space="preserve"> 70% na wszystkich granicach Polski (synchronicznych i</w:t>
      </w:r>
      <w:r>
        <w:rPr>
          <w:rFonts w:cs="Cambria"/>
          <w:b/>
          <w:color w:val="000000"/>
          <w:kern w:val="0"/>
          <w:szCs w:val="20"/>
        </w:rPr>
        <w:t> </w:t>
      </w:r>
      <w:r w:rsidRPr="00BA22EF">
        <w:rPr>
          <w:rFonts w:cs="Cambria"/>
          <w:b/>
          <w:color w:val="000000"/>
          <w:kern w:val="0"/>
          <w:szCs w:val="20"/>
        </w:rPr>
        <w:t xml:space="preserve">asynchronicznych) jest 31 grudnia 2025 r. </w:t>
      </w:r>
    </w:p>
    <w:p w14:paraId="0B5D0F25" w14:textId="0FECEB12" w:rsidR="00BA22EF" w:rsidRPr="007C41A3" w:rsidRDefault="00BA22EF" w:rsidP="00BA22EF">
      <w:pPr>
        <w:rPr>
          <w:szCs w:val="20"/>
        </w:rPr>
      </w:pPr>
      <w:r w:rsidRPr="007C41A3">
        <w:rPr>
          <w:szCs w:val="20"/>
        </w:rPr>
        <w:t xml:space="preserve">Osiągnięcie tego celu oprócz zwiększania wolumenu handlu międzyobszarowego, co jest już wyraźnie </w:t>
      </w:r>
      <w:r w:rsidR="00AF6448">
        <w:rPr>
          <w:szCs w:val="20"/>
        </w:rPr>
        <w:t>odnotow</w:t>
      </w:r>
      <w:r w:rsidR="000D07BB">
        <w:rPr>
          <w:szCs w:val="20"/>
        </w:rPr>
        <w:t>yw</w:t>
      </w:r>
      <w:r w:rsidR="00AF6448">
        <w:rPr>
          <w:szCs w:val="20"/>
        </w:rPr>
        <w:t>ane</w:t>
      </w:r>
      <w:r w:rsidRPr="007C41A3">
        <w:rPr>
          <w:szCs w:val="20"/>
        </w:rPr>
        <w:t>, przyczyni się do wyrównywania hurtowych cen energii elektrycznej w regionie oraz złagodzi wpływ czynników zewnętrznych (np. cen uprawnień do emisji CO</w:t>
      </w:r>
      <w:r w:rsidRPr="007C41A3">
        <w:rPr>
          <w:szCs w:val="20"/>
          <w:vertAlign w:val="subscript"/>
        </w:rPr>
        <w:t>2</w:t>
      </w:r>
      <w:r w:rsidRPr="007C41A3">
        <w:rPr>
          <w:szCs w:val="20"/>
        </w:rPr>
        <w:t>) na cenę energii elektrycznej w</w:t>
      </w:r>
      <w:r>
        <w:rPr>
          <w:szCs w:val="20"/>
        </w:rPr>
        <w:t> </w:t>
      </w:r>
      <w:r w:rsidRPr="007C41A3">
        <w:rPr>
          <w:szCs w:val="20"/>
        </w:rPr>
        <w:t>Polsce.</w:t>
      </w:r>
    </w:p>
    <w:p w14:paraId="308FD486" w14:textId="7B5AD8F2" w:rsidR="00F3711B" w:rsidRDefault="00BA22EF" w:rsidP="004B38F5">
      <w:pPr>
        <w:pStyle w:val="Cele"/>
      </w:pPr>
      <w:r>
        <w:rPr>
          <w:rStyle w:val="CeleZnak"/>
          <w:b/>
        </w:rPr>
        <w:t xml:space="preserve">Celem jest zwiększanie wykorzystania transgranicznych zdolności przesyłowych m.in. </w:t>
      </w:r>
      <w:r w:rsidR="00AF6448">
        <w:rPr>
          <w:rStyle w:val="CeleZnak"/>
          <w:b/>
        </w:rPr>
        <w:t xml:space="preserve">dzięki budowie drugiego </w:t>
      </w:r>
      <w:r>
        <w:rPr>
          <w:rStyle w:val="CeleZnak"/>
          <w:b/>
        </w:rPr>
        <w:t xml:space="preserve">połączenia Polska-Litwa, które jednocześnie zapewni bezpieczną pracę synchronizowanych systemów elektroenergetycznych </w:t>
      </w:r>
      <w:r w:rsidR="00266F38">
        <w:rPr>
          <w:rStyle w:val="CeleZnak"/>
          <w:b/>
        </w:rPr>
        <w:t>krajów</w:t>
      </w:r>
      <w:r>
        <w:rPr>
          <w:rStyle w:val="CeleZnak"/>
          <w:b/>
        </w:rPr>
        <w:t xml:space="preserve"> bałtyckich </w:t>
      </w:r>
      <w:r w:rsidR="00AF6448">
        <w:rPr>
          <w:rStyle w:val="CeleZnak"/>
          <w:b/>
        </w:rPr>
        <w:t>z systemami</w:t>
      </w:r>
      <w:r>
        <w:rPr>
          <w:rStyle w:val="CeleZnak"/>
          <w:b/>
        </w:rPr>
        <w:t xml:space="preserve"> Europy kontynentalnej, jak również kontynuację wdrażania przepisów prawa UE służących do zwiększania integracji systemów elektroenergetycznych.</w:t>
      </w:r>
    </w:p>
    <w:p w14:paraId="18D8E556" w14:textId="77777777" w:rsidR="00F3711B" w:rsidRDefault="00F3711B" w:rsidP="00F3711B">
      <w:pPr>
        <w:spacing w:before="240" w:after="80"/>
        <w:rPr>
          <w:rFonts w:ascii="Bahnschrift" w:hAnsi="Bahnschrift"/>
        </w:rPr>
      </w:pPr>
      <w:r w:rsidRPr="00C46DAA">
        <w:rPr>
          <w:rFonts w:ascii="Bahnschrift" w:hAnsi="Bahnschrift"/>
          <w:b/>
          <w:bCs/>
          <w:sz w:val="32"/>
          <w:szCs w:val="32"/>
        </w:rPr>
        <w:t>POLITYKA</w:t>
      </w:r>
    </w:p>
    <w:p w14:paraId="237DC406" w14:textId="77777777" w:rsidR="004B38F5" w:rsidRDefault="004B38F5" w:rsidP="004B38F5">
      <w:r>
        <w:t xml:space="preserve">Polska dążyć będzie do zwiększenia przepustowości transgranicznych połączeń elektroenergetycznych celem zwiększenia możliwości handlu energią elektryczną. Aby to osiągnąć niezbędne jest: </w:t>
      </w:r>
    </w:p>
    <w:p w14:paraId="2AD5E8B5" w14:textId="77777777" w:rsidR="004B38F5" w:rsidRDefault="004B38F5" w:rsidP="001D4BA5">
      <w:pPr>
        <w:pStyle w:val="Akapitzlist"/>
        <w:numPr>
          <w:ilvl w:val="0"/>
          <w:numId w:val="19"/>
        </w:numPr>
      </w:pPr>
      <w:r>
        <w:t>optymalne wykorzystanie istniejących połączeń transgranicznych przez redukowanie ograniczeń sieciowych w KSE oraz bieżące monitorowanie stosowania przepisów dot. alokacji zdolności przesyłowych;</w:t>
      </w:r>
    </w:p>
    <w:p w14:paraId="6B4D2904" w14:textId="6741B346" w:rsidR="004B38F5" w:rsidRDefault="004B38F5" w:rsidP="001D4BA5">
      <w:pPr>
        <w:pStyle w:val="Akapitzlist"/>
        <w:numPr>
          <w:ilvl w:val="0"/>
          <w:numId w:val="19"/>
        </w:numPr>
      </w:pPr>
      <w:r>
        <w:t xml:space="preserve">realizacja projektu synchronizacji systemów elektroenergetycznych </w:t>
      </w:r>
      <w:r w:rsidR="00266F38">
        <w:t>krajów</w:t>
      </w:r>
      <w:r>
        <w:t xml:space="preserve"> bałtyckich z obszarem synchronicznym Europy kontynentalnej po uprzednim odłączeniu się tych systemów od pracy synchronicznej z systemem UPS/IPS</w:t>
      </w:r>
      <w:r w:rsidR="007D00D3">
        <w:t xml:space="preserve"> (ang. </w:t>
      </w:r>
      <w:r w:rsidR="00415AD5">
        <w:rPr>
          <w:i/>
          <w:iCs/>
        </w:rPr>
        <w:t>Unified Power System/Integrated Power System</w:t>
      </w:r>
      <w:r w:rsidR="007D00D3">
        <w:t>)</w:t>
      </w:r>
      <w:r>
        <w:t>;</w:t>
      </w:r>
    </w:p>
    <w:p w14:paraId="236F2B8B" w14:textId="2E0368D7" w:rsidR="004B38F5" w:rsidRDefault="004B38F5" w:rsidP="001D4BA5">
      <w:pPr>
        <w:pStyle w:val="Akapitzlist"/>
        <w:numPr>
          <w:ilvl w:val="0"/>
          <w:numId w:val="19"/>
        </w:numPr>
      </w:pPr>
      <w:r>
        <w:t>zapewnienie realizacji drugiego połączenia Polska</w:t>
      </w:r>
      <w:r w:rsidR="00AC3BAF">
        <w:t>–</w:t>
      </w:r>
      <w:r>
        <w:t>Litwa według optymalnego rozwiązania technicznego i przy maksymalnym wykorzystaniu środków finansowych z funduszy UE (w tym CEF);</w:t>
      </w:r>
    </w:p>
    <w:p w14:paraId="3D095B8B" w14:textId="7AE63C40" w:rsidR="00F3711B" w:rsidRPr="000E240E" w:rsidRDefault="004B38F5" w:rsidP="001D4BA5">
      <w:pPr>
        <w:pStyle w:val="Akapitzlist"/>
        <w:numPr>
          <w:ilvl w:val="0"/>
          <w:numId w:val="19"/>
        </w:numPr>
      </w:pPr>
      <w:r>
        <w:t>kontynuowanie działań w zakresie współpracy systemów elektroenergetycznych Polski i Ukrainy w ramach obszaru synchronicznego Europy kontynentalnej.</w:t>
      </w:r>
    </w:p>
    <w:p w14:paraId="2B09BC83" w14:textId="77777777" w:rsidR="00F3711B" w:rsidRPr="00C46DAA" w:rsidRDefault="00F3711B" w:rsidP="00F3711B">
      <w:pPr>
        <w:spacing w:before="240" w:after="80"/>
        <w:rPr>
          <w:rFonts w:ascii="Bahnschrift" w:hAnsi="Bahnschrift"/>
          <w:sz w:val="32"/>
          <w:szCs w:val="32"/>
        </w:rPr>
      </w:pPr>
      <w:r w:rsidRPr="00C46DAA">
        <w:rPr>
          <w:rFonts w:ascii="Bahnschrift" w:hAnsi="Bahnschrift"/>
          <w:b/>
          <w:bCs/>
          <w:sz w:val="32"/>
          <w:szCs w:val="32"/>
        </w:rPr>
        <w:t>DZIAŁANIA</w:t>
      </w:r>
    </w:p>
    <w:p w14:paraId="4571EC69" w14:textId="4B4D5AB3" w:rsidR="00395307" w:rsidRDefault="00395307" w:rsidP="008340D5">
      <w:pPr>
        <w:pStyle w:val="Akapitzlist"/>
        <w:numPr>
          <w:ilvl w:val="0"/>
          <w:numId w:val="6"/>
        </w:numPr>
      </w:pPr>
      <w:r>
        <w:fldChar w:fldCharType="begin"/>
      </w:r>
      <w:r>
        <w:instrText xml:space="preserve"> REF _Ref159941620 \h </w:instrText>
      </w:r>
      <w:r>
        <w:fldChar w:fldCharType="separate"/>
      </w:r>
      <w:r w:rsidR="00DD3929">
        <w:t xml:space="preserve">Działanie </w:t>
      </w:r>
      <w:r w:rsidR="00DD3929">
        <w:rPr>
          <w:noProof/>
        </w:rPr>
        <w:t>124</w:t>
      </w:r>
      <w:r w:rsidR="00DD3929">
        <w:t xml:space="preserve">. </w:t>
      </w:r>
      <w:r w:rsidR="00DD3929" w:rsidRPr="00A230B1">
        <w:t>Optymalizacja sposobu alokowania dostępnych transgranicznych zdolności przesyłowych.</w:t>
      </w:r>
      <w:r>
        <w:fldChar w:fldCharType="end"/>
      </w:r>
    </w:p>
    <w:p w14:paraId="68CB5D6E" w14:textId="2C1D4A40" w:rsidR="00395307" w:rsidRDefault="00395307" w:rsidP="008340D5">
      <w:pPr>
        <w:pStyle w:val="Akapitzlist"/>
        <w:numPr>
          <w:ilvl w:val="0"/>
          <w:numId w:val="6"/>
        </w:numPr>
      </w:pPr>
      <w:r>
        <w:fldChar w:fldCharType="begin"/>
      </w:r>
      <w:r>
        <w:instrText xml:space="preserve"> REF _Ref159500964 \h </w:instrText>
      </w:r>
      <w:r>
        <w:fldChar w:fldCharType="separate"/>
      </w:r>
      <w:r w:rsidR="00DD3929" w:rsidRPr="00570679">
        <w:t xml:space="preserve">Działanie </w:t>
      </w:r>
      <w:r w:rsidR="00DD3929">
        <w:rPr>
          <w:noProof/>
        </w:rPr>
        <w:t>125</w:t>
      </w:r>
      <w:r w:rsidR="00DD3929" w:rsidRPr="00570679">
        <w:t>. Modernizacja i rozbudowa</w:t>
      </w:r>
      <w:r w:rsidR="00DD3929">
        <w:t xml:space="preserve"> </w:t>
      </w:r>
      <w:r w:rsidR="00DD3929" w:rsidRPr="00A230B1">
        <w:t>linii przesyłowych wewnątrz KSE w celu umożliwienia zwiększania przepływów transgranicznyc</w:t>
      </w:r>
      <w:r w:rsidR="00DD3929">
        <w:t>h</w:t>
      </w:r>
      <w:r w:rsidR="00DD3929" w:rsidRPr="00570679">
        <w:t>.</w:t>
      </w:r>
      <w:r>
        <w:fldChar w:fldCharType="end"/>
      </w:r>
    </w:p>
    <w:p w14:paraId="5A478D0E" w14:textId="7A0DAA86" w:rsidR="007A616E" w:rsidRDefault="00665B65" w:rsidP="008340D5">
      <w:pPr>
        <w:pStyle w:val="Akapitzlist"/>
        <w:numPr>
          <w:ilvl w:val="0"/>
          <w:numId w:val="6"/>
        </w:numPr>
      </w:pPr>
      <w:r>
        <w:fldChar w:fldCharType="begin"/>
      </w:r>
      <w:r>
        <w:instrText xml:space="preserve"> REF _Ref157437844 \h </w:instrText>
      </w:r>
      <w:r>
        <w:fldChar w:fldCharType="separate"/>
      </w:r>
      <w:r w:rsidR="00DD3929" w:rsidRPr="00570679">
        <w:t xml:space="preserve">Działanie </w:t>
      </w:r>
      <w:r w:rsidR="00DD3929">
        <w:rPr>
          <w:noProof/>
        </w:rPr>
        <w:t>126</w:t>
      </w:r>
      <w:r w:rsidR="00DD3929" w:rsidRPr="00570679">
        <w:t xml:space="preserve">. Działania </w:t>
      </w:r>
      <w:r w:rsidR="00DD3929" w:rsidRPr="00A230B1">
        <w:t xml:space="preserve">w ramach współpracy regionalnej </w:t>
      </w:r>
      <w:r w:rsidR="00DD3929">
        <w:t xml:space="preserve">grupy </w:t>
      </w:r>
      <w:r w:rsidR="00DD3929" w:rsidRPr="00A230B1">
        <w:t xml:space="preserve">BEMIP dotyczącej wdrożenia projektów związanych z synchronizacją systemów </w:t>
      </w:r>
      <w:r w:rsidR="00DD3929">
        <w:t>elektroenergetycznych krajów</w:t>
      </w:r>
      <w:r w:rsidR="00DD3929" w:rsidRPr="00A230B1">
        <w:t xml:space="preserve"> </w:t>
      </w:r>
      <w:r w:rsidR="00DD3929">
        <w:t>b</w:t>
      </w:r>
      <w:r w:rsidR="00DD3929" w:rsidRPr="00A230B1">
        <w:t>ałtyckich z systemem Europy kontynentalnej</w:t>
      </w:r>
      <w:r w:rsidR="00DD3929" w:rsidRPr="00BA3E0C">
        <w:t>.</w:t>
      </w:r>
      <w:r>
        <w:fldChar w:fldCharType="end"/>
      </w:r>
    </w:p>
    <w:p w14:paraId="59080EA7" w14:textId="342D97C6" w:rsidR="00665B65" w:rsidRDefault="00665B65" w:rsidP="008340D5">
      <w:pPr>
        <w:pStyle w:val="Akapitzlist"/>
        <w:numPr>
          <w:ilvl w:val="0"/>
          <w:numId w:val="6"/>
        </w:numPr>
      </w:pPr>
      <w:r>
        <w:fldChar w:fldCharType="begin"/>
      </w:r>
      <w:r>
        <w:instrText xml:space="preserve"> REF _Ref157437853 \h </w:instrText>
      </w:r>
      <w:r>
        <w:fldChar w:fldCharType="separate"/>
      </w:r>
      <w:r w:rsidR="00DD3929" w:rsidRPr="00570679">
        <w:t xml:space="preserve">Działanie </w:t>
      </w:r>
      <w:r w:rsidR="00DD3929">
        <w:rPr>
          <w:noProof/>
        </w:rPr>
        <w:t>127</w:t>
      </w:r>
      <w:r w:rsidR="00DD3929" w:rsidRPr="00570679">
        <w:t xml:space="preserve">. </w:t>
      </w:r>
      <w:r w:rsidR="00DD3929" w:rsidRPr="00A230B1">
        <w:t>Działania w zakresie integracji rynku</w:t>
      </w:r>
      <w:r w:rsidR="00DD3929">
        <w:t xml:space="preserve"> energii elektrycznej</w:t>
      </w:r>
      <w:r w:rsidR="00DD3929" w:rsidRPr="00A230B1">
        <w:t xml:space="preserve"> i</w:t>
      </w:r>
      <w:r w:rsidR="00DD3929">
        <w:t xml:space="preserve"> elektroenergetycznego </w:t>
      </w:r>
      <w:r w:rsidR="00DD3929" w:rsidRPr="00A230B1">
        <w:t>systemu przesyłowego Ukrainy</w:t>
      </w:r>
      <w:r w:rsidR="00DD3929">
        <w:t xml:space="preserve"> z rynkiem energii UE</w:t>
      </w:r>
      <w:r w:rsidR="00DD3929" w:rsidRPr="00570679">
        <w:t>.</w:t>
      </w:r>
      <w:r>
        <w:fldChar w:fldCharType="end"/>
      </w:r>
    </w:p>
    <w:p w14:paraId="5C0E2935" w14:textId="00030EDA" w:rsidR="00665B65" w:rsidRDefault="004C2630" w:rsidP="008340D5">
      <w:pPr>
        <w:pStyle w:val="Akapitzlist"/>
        <w:numPr>
          <w:ilvl w:val="0"/>
          <w:numId w:val="6"/>
        </w:numPr>
      </w:pPr>
      <w:r>
        <w:fldChar w:fldCharType="begin"/>
      </w:r>
      <w:r>
        <w:instrText xml:space="preserve"> REF _Ref157437877 \h </w:instrText>
      </w:r>
      <w:r>
        <w:fldChar w:fldCharType="separate"/>
      </w:r>
      <w:r w:rsidR="00DD3929" w:rsidRPr="00570679">
        <w:t xml:space="preserve">Działanie </w:t>
      </w:r>
      <w:r w:rsidR="00DD3929">
        <w:rPr>
          <w:noProof/>
        </w:rPr>
        <w:t>128</w:t>
      </w:r>
      <w:r w:rsidR="00DD3929" w:rsidRPr="00570679">
        <w:t xml:space="preserve">. </w:t>
      </w:r>
      <w:r w:rsidR="00DD3929">
        <w:t xml:space="preserve">Monitorowanie </w:t>
      </w:r>
      <w:r w:rsidR="00DD3929" w:rsidRPr="00FD06FE">
        <w:t>wykorzystania</w:t>
      </w:r>
      <w:r w:rsidR="00DD3929">
        <w:t xml:space="preserve"> przez OSPe </w:t>
      </w:r>
      <w:r w:rsidR="00DD3929" w:rsidRPr="00570679">
        <w:t xml:space="preserve">przychodów wynikających z alokacji </w:t>
      </w:r>
      <w:r w:rsidR="00DD3929">
        <w:t xml:space="preserve">zdolności przesyłowych </w:t>
      </w:r>
      <w:r w:rsidR="00DD3929" w:rsidRPr="00570679">
        <w:t>połączeń wzajemnych.</w:t>
      </w:r>
      <w:r>
        <w:fldChar w:fldCharType="end"/>
      </w:r>
    </w:p>
    <w:p w14:paraId="6C0A7329" w14:textId="293D1920" w:rsidR="004C2630" w:rsidRDefault="004C2630" w:rsidP="008340D5">
      <w:pPr>
        <w:pStyle w:val="Akapitzlist"/>
        <w:numPr>
          <w:ilvl w:val="0"/>
          <w:numId w:val="6"/>
        </w:numPr>
      </w:pPr>
      <w:r>
        <w:fldChar w:fldCharType="begin"/>
      </w:r>
      <w:r>
        <w:instrText xml:space="preserve"> REF _Ref157435485 \h </w:instrText>
      </w:r>
      <w:r>
        <w:fldChar w:fldCharType="separate"/>
      </w:r>
      <w:r w:rsidR="00DD3929" w:rsidRPr="00570679">
        <w:t xml:space="preserve">Działanie </w:t>
      </w:r>
      <w:r w:rsidR="00DD3929">
        <w:rPr>
          <w:noProof/>
        </w:rPr>
        <w:t>129</w:t>
      </w:r>
      <w:r w:rsidR="00DD3929" w:rsidRPr="00570679">
        <w:t xml:space="preserve">. </w:t>
      </w:r>
      <w:r w:rsidR="00DD3929" w:rsidRPr="00744E81">
        <w:t>Monitorowanie realizacji projektów PCI</w:t>
      </w:r>
      <w:r w:rsidR="00DD3929">
        <w:t xml:space="preserve"> w obszarze elektroenergetycznym i pozyskanie</w:t>
      </w:r>
      <w:r w:rsidR="00DD3929" w:rsidRPr="003757BF">
        <w:t xml:space="preserve"> </w:t>
      </w:r>
      <w:r w:rsidR="00DD3929">
        <w:t>wsparcia</w:t>
      </w:r>
      <w:r w:rsidR="00DD3929" w:rsidRPr="00513535">
        <w:t xml:space="preserve"> </w:t>
      </w:r>
      <w:r w:rsidR="00DD3929" w:rsidRPr="00744E81">
        <w:t>dla strategicznych projektów przez wprowadzanie ich na kolejne listy PCI</w:t>
      </w:r>
      <w:r w:rsidR="00DD3929" w:rsidRPr="00570679">
        <w:t>.</w:t>
      </w:r>
      <w:r>
        <w:fldChar w:fldCharType="end"/>
      </w:r>
    </w:p>
    <w:p w14:paraId="6C93D2DC" w14:textId="42F3AE6C" w:rsidR="00391F08" w:rsidRPr="00CA0E0F" w:rsidRDefault="004C2630" w:rsidP="0081799F">
      <w:pPr>
        <w:pStyle w:val="Akapitzlist"/>
        <w:numPr>
          <w:ilvl w:val="0"/>
          <w:numId w:val="6"/>
        </w:numPr>
      </w:pPr>
      <w:r>
        <w:fldChar w:fldCharType="begin"/>
      </w:r>
      <w:r>
        <w:instrText xml:space="preserve"> REF _Ref157437684 \h </w:instrText>
      </w:r>
      <w:r>
        <w:fldChar w:fldCharType="separate"/>
      </w:r>
      <w:r w:rsidR="00DD3929" w:rsidRPr="00570679">
        <w:t xml:space="preserve">Działanie </w:t>
      </w:r>
      <w:r w:rsidR="00DD3929">
        <w:rPr>
          <w:noProof/>
        </w:rPr>
        <w:t>130</w:t>
      </w:r>
      <w:r w:rsidR="00DD3929" w:rsidRPr="00570679">
        <w:t xml:space="preserve">. </w:t>
      </w:r>
      <w:r w:rsidR="00DD3929" w:rsidRPr="00FD06FE">
        <w:t>Działania</w:t>
      </w:r>
      <w:r w:rsidR="00DD3929" w:rsidRPr="00570679">
        <w:t xml:space="preserve"> w </w:t>
      </w:r>
      <w:r w:rsidR="00DD3929" w:rsidRPr="00B31627">
        <w:t>zakresie</w:t>
      </w:r>
      <w:r w:rsidR="00DD3929" w:rsidRPr="00570679">
        <w:t xml:space="preserve"> integracji oraz poprawy funkcjonowania rynku</w:t>
      </w:r>
      <w:r w:rsidR="00DD3929">
        <w:t xml:space="preserve"> energii elektrycznej</w:t>
      </w:r>
      <w:r w:rsidR="00DD3929" w:rsidRPr="00570679">
        <w:t>.</w:t>
      </w:r>
      <w:r>
        <w:fldChar w:fldCharType="end"/>
      </w:r>
      <w:r>
        <w:t xml:space="preserve"> </w:t>
      </w:r>
    </w:p>
    <w:p w14:paraId="128458B8" w14:textId="396EE16D" w:rsidR="00691EA7" w:rsidRPr="00983BF4" w:rsidRDefault="00DC1AB1" w:rsidP="00F47799">
      <w:pPr>
        <w:pStyle w:val="Nagwek3"/>
        <w:rPr>
          <w:color w:val="FFC000" w:themeColor="accent4"/>
          <w:sz w:val="36"/>
          <w:szCs w:val="36"/>
        </w:rPr>
      </w:pPr>
      <w:bookmarkStart w:id="219" w:name="_Toc159598339"/>
      <w:bookmarkStart w:id="220" w:name="_Toc179536990"/>
      <w:r w:rsidRPr="00983BF4">
        <w:rPr>
          <w:color w:val="FFC000" w:themeColor="accent4"/>
          <w:sz w:val="36"/>
          <w:szCs w:val="36"/>
        </w:rPr>
        <w:t>Sprawna i wystarczająca i</w:t>
      </w:r>
      <w:r w:rsidR="00691EA7" w:rsidRPr="00983BF4">
        <w:rPr>
          <w:color w:val="FFC000" w:themeColor="accent4"/>
          <w:sz w:val="36"/>
          <w:szCs w:val="36"/>
        </w:rPr>
        <w:t>nfrastruktura gazowa</w:t>
      </w:r>
      <w:bookmarkEnd w:id="219"/>
      <w:bookmarkEnd w:id="220"/>
    </w:p>
    <w:p w14:paraId="3C6BEAFD" w14:textId="6DCADF06" w:rsidR="005341DB" w:rsidRPr="003B0BAF" w:rsidRDefault="003B0BAF" w:rsidP="003B0BAF">
      <w:pPr>
        <w:pStyle w:val="Nagwek4"/>
        <w:rPr>
          <w:color w:val="FFC000" w:themeColor="accent4"/>
        </w:rPr>
      </w:pPr>
      <w:bookmarkStart w:id="221" w:name="_Toc159598340"/>
      <w:bookmarkStart w:id="222" w:name="_Toc179536991"/>
      <w:r w:rsidRPr="003B0BAF">
        <w:rPr>
          <w:color w:val="FFC000" w:themeColor="accent4"/>
        </w:rPr>
        <w:t>Zapewnienie odpowiedniego stanu infrastruktury gazu ziemnego</w:t>
      </w:r>
      <w:bookmarkEnd w:id="221"/>
      <w:bookmarkEnd w:id="222"/>
    </w:p>
    <w:p w14:paraId="7C481F71" w14:textId="77777777" w:rsidR="009815E7" w:rsidRDefault="009815E7" w:rsidP="009815E7">
      <w:pPr>
        <w:spacing w:after="0"/>
      </w:pPr>
      <w:r>
        <w:t>System przesyłowy gazu ziemnego składa się z dwóch współpracujących ze sobą systemów zarządzanych przez operatora systemu przesyłowego:</w:t>
      </w:r>
    </w:p>
    <w:p w14:paraId="75EB2909" w14:textId="5865801A" w:rsidR="009815E7" w:rsidRDefault="009815E7" w:rsidP="00612B5D">
      <w:pPr>
        <w:pStyle w:val="Akapitzlist"/>
        <w:numPr>
          <w:ilvl w:val="0"/>
          <w:numId w:val="33"/>
        </w:numPr>
      </w:pPr>
      <w:r>
        <w:t>krajowego systemu przesyłowego, na który składają się systemy gazu ziemnego wysokometanowego E i zaazotowanego Lw, oraz</w:t>
      </w:r>
    </w:p>
    <w:p w14:paraId="59922931" w14:textId="77777777" w:rsidR="009815E7" w:rsidRDefault="009815E7" w:rsidP="00612B5D">
      <w:pPr>
        <w:pStyle w:val="Akapitzlist"/>
        <w:numPr>
          <w:ilvl w:val="0"/>
          <w:numId w:val="33"/>
        </w:numPr>
      </w:pPr>
      <w:r>
        <w:t>systemu gazociągów tranzytowych.</w:t>
      </w:r>
    </w:p>
    <w:p w14:paraId="57431E6E" w14:textId="1340CA27" w:rsidR="009815E7" w:rsidRDefault="009815E7" w:rsidP="009815E7">
      <w:r>
        <w:t xml:space="preserve">Utrzymywanie odpowiedniego stanu sprawności i rozbudowa infrastruktury służącej do przesyłu, dystrybucji i magazynowania gazu ziemnego stanowią jeden z głównych elementów wpływających nie tylko na poziom bezpieczeństwa dostaw paliw gazowych do </w:t>
      </w:r>
      <w:r w:rsidR="007D00D3">
        <w:t>krajowych odbiorców</w:t>
      </w:r>
      <w:r>
        <w:t>, ale także na konkurencyjność gospodarki, rozwój cywilizacyjny, integrację rynkową, obniżenie emisyjności gazów cieplarnianych oraz przeciwdziałanie zanieczyszczeniu powietrza. Stan funkcjonowania i realizowana rozbudowa gazowej infrastruktury przesyłowej</w:t>
      </w:r>
      <w:r w:rsidR="007D00D3">
        <w:t>,</w:t>
      </w:r>
      <w:r>
        <w:t xml:space="preserve"> dystrybucyjnej</w:t>
      </w:r>
      <w:r w:rsidR="007D00D3">
        <w:t xml:space="preserve"> i magazynowej</w:t>
      </w:r>
      <w:r>
        <w:t xml:space="preserve"> </w:t>
      </w:r>
      <w:r w:rsidR="00963A1E">
        <w:t>są</w:t>
      </w:r>
      <w:r>
        <w:t xml:space="preserve"> monitorowan</w:t>
      </w:r>
      <w:r w:rsidR="00963A1E">
        <w:t>e</w:t>
      </w:r>
      <w:r>
        <w:t xml:space="preserve"> przez ministra właściwego do spraw energii, Pełnomocnika Rządu do spraw Strategicznej Infrastruktury Energetycznej oraz Prezesa URE.</w:t>
      </w:r>
    </w:p>
    <w:p w14:paraId="3874D14B" w14:textId="5C78B03F" w:rsidR="00F3711B" w:rsidRPr="009815E7" w:rsidRDefault="009815E7" w:rsidP="009815E7">
      <w:pPr>
        <w:pStyle w:val="Cele"/>
        <w:rPr>
          <w:b/>
          <w:bCs/>
        </w:rPr>
      </w:pPr>
      <w:r w:rsidRPr="003B0BAF">
        <w:rPr>
          <w:b/>
          <w:bCs/>
        </w:rPr>
        <w:t>Cel</w:t>
      </w:r>
      <w:r>
        <w:rPr>
          <w:b/>
          <w:bCs/>
        </w:rPr>
        <w:t xml:space="preserve">em </w:t>
      </w:r>
      <w:r w:rsidRPr="002053FB">
        <w:rPr>
          <w:b/>
          <w:bCs/>
        </w:rPr>
        <w:t>jest utrzymanie odpowiednio rozwiniętej i sprawnej infrastruktury</w:t>
      </w:r>
      <w:r>
        <w:rPr>
          <w:b/>
          <w:bCs/>
        </w:rPr>
        <w:t xml:space="preserve"> gazowej</w:t>
      </w:r>
      <w:r w:rsidRPr="002053FB">
        <w:rPr>
          <w:b/>
          <w:bCs/>
        </w:rPr>
        <w:t>, która</w:t>
      </w:r>
      <w:r>
        <w:rPr>
          <w:b/>
          <w:bCs/>
        </w:rPr>
        <w:t> zapewni</w:t>
      </w:r>
      <w:r w:rsidRPr="002053FB">
        <w:rPr>
          <w:b/>
          <w:bCs/>
        </w:rPr>
        <w:t xml:space="preserve"> odbiorcom </w:t>
      </w:r>
      <w:r>
        <w:rPr>
          <w:b/>
          <w:bCs/>
        </w:rPr>
        <w:t xml:space="preserve">krajowym </w:t>
      </w:r>
      <w:r w:rsidRPr="002053FB">
        <w:rPr>
          <w:b/>
          <w:bCs/>
        </w:rPr>
        <w:t>dostęp do surowca</w:t>
      </w:r>
      <w:r>
        <w:rPr>
          <w:b/>
          <w:bCs/>
        </w:rPr>
        <w:t>, zwiększy możliwości handlowe</w:t>
      </w:r>
      <w:r w:rsidRPr="0016741D">
        <w:rPr>
          <w:b/>
          <w:bCs/>
        </w:rPr>
        <w:t xml:space="preserve"> </w:t>
      </w:r>
      <w:r>
        <w:rPr>
          <w:b/>
          <w:bCs/>
        </w:rPr>
        <w:t>podmiotom krajowym, a podmiotom zagranicznym stworzy możliwości dywersyfikacyjne.</w:t>
      </w:r>
    </w:p>
    <w:p w14:paraId="748DF133" w14:textId="77777777" w:rsidR="00F3711B" w:rsidRDefault="00F3711B" w:rsidP="00F3711B">
      <w:pPr>
        <w:spacing w:before="240" w:after="80"/>
        <w:rPr>
          <w:rFonts w:ascii="Bahnschrift" w:hAnsi="Bahnschrift"/>
        </w:rPr>
      </w:pPr>
      <w:r w:rsidRPr="00C46DAA">
        <w:rPr>
          <w:rFonts w:ascii="Bahnschrift" w:hAnsi="Bahnschrift"/>
          <w:b/>
          <w:bCs/>
          <w:sz w:val="32"/>
          <w:szCs w:val="32"/>
        </w:rPr>
        <w:t>POLITYKA</w:t>
      </w:r>
    </w:p>
    <w:p w14:paraId="1F73C3DA" w14:textId="48FDFDBA" w:rsidR="00F3711B" w:rsidRPr="000E240E" w:rsidRDefault="009815E7" w:rsidP="00F3711B">
      <w:r>
        <w:t xml:space="preserve">Rozwój systemu gazowego </w:t>
      </w:r>
      <w:r w:rsidRPr="009815E7">
        <w:t>będzie realizowany poprzez zapewnienie warunków dla prawidłowego funkcjonowania istniejącej infrastruktury oraz realizacji nowych inwestycji w skali i w zakresie odpowiadającym potrzebom oraz trendom rynkowym.</w:t>
      </w:r>
    </w:p>
    <w:p w14:paraId="372D4CAD" w14:textId="77777777" w:rsidR="00F3711B" w:rsidRPr="00C46DAA" w:rsidRDefault="00F3711B" w:rsidP="008D41B7">
      <w:pPr>
        <w:keepNext/>
        <w:spacing w:before="240" w:after="80"/>
        <w:rPr>
          <w:rFonts w:ascii="Bahnschrift" w:hAnsi="Bahnschrift"/>
          <w:sz w:val="32"/>
          <w:szCs w:val="32"/>
        </w:rPr>
      </w:pPr>
      <w:r w:rsidRPr="00C46DAA">
        <w:rPr>
          <w:rFonts w:ascii="Bahnschrift" w:hAnsi="Bahnschrift"/>
          <w:b/>
          <w:bCs/>
          <w:sz w:val="32"/>
          <w:szCs w:val="32"/>
        </w:rPr>
        <w:t>DZIAŁANIA</w:t>
      </w:r>
    </w:p>
    <w:p w14:paraId="4413239C" w14:textId="1B6C9396" w:rsidR="00873D0E" w:rsidRDefault="00873D0E" w:rsidP="008340D5">
      <w:pPr>
        <w:pStyle w:val="Akapitzlist"/>
        <w:numPr>
          <w:ilvl w:val="0"/>
          <w:numId w:val="6"/>
        </w:numPr>
      </w:pPr>
      <w:r>
        <w:fldChar w:fldCharType="begin"/>
      </w:r>
      <w:r>
        <w:instrText xml:space="preserve"> REF _Ref157434707 \h </w:instrText>
      </w:r>
      <w:r>
        <w:fldChar w:fldCharType="separate"/>
      </w:r>
      <w:r w:rsidR="00DD3929" w:rsidRPr="00570679">
        <w:t xml:space="preserve">Działanie </w:t>
      </w:r>
      <w:r w:rsidR="00DD3929">
        <w:rPr>
          <w:noProof/>
        </w:rPr>
        <w:t>106</w:t>
      </w:r>
      <w:r w:rsidR="00DD3929" w:rsidRPr="00570679">
        <w:t xml:space="preserve">. </w:t>
      </w:r>
      <w:r w:rsidR="00DD3929">
        <w:t>Utrzymanie sprawnych połączeń międzysystemowych i terminalu LNG w Świnoujściu</w:t>
      </w:r>
      <w:r w:rsidR="00DD3929" w:rsidRPr="00570679">
        <w:t>.</w:t>
      </w:r>
      <w:r>
        <w:fldChar w:fldCharType="end"/>
      </w:r>
    </w:p>
    <w:p w14:paraId="05C53D9D" w14:textId="5A125B9A" w:rsidR="00873D0E" w:rsidRDefault="00873D0E" w:rsidP="008340D5">
      <w:pPr>
        <w:pStyle w:val="Akapitzlist"/>
        <w:numPr>
          <w:ilvl w:val="0"/>
          <w:numId w:val="6"/>
        </w:numPr>
      </w:pPr>
      <w:r>
        <w:fldChar w:fldCharType="begin"/>
      </w:r>
      <w:r>
        <w:instrText xml:space="preserve"> REF _Ref157434743 \h </w:instrText>
      </w:r>
      <w:r>
        <w:fldChar w:fldCharType="separate"/>
      </w:r>
      <w:r w:rsidR="00DD3929" w:rsidRPr="00570679">
        <w:t xml:space="preserve">Działanie </w:t>
      </w:r>
      <w:r w:rsidR="00DD3929">
        <w:rPr>
          <w:noProof/>
        </w:rPr>
        <w:t>108</w:t>
      </w:r>
      <w:r w:rsidR="00DD3929" w:rsidRPr="00570679">
        <w:t xml:space="preserve">. </w:t>
      </w:r>
      <w:r w:rsidR="00DD3929">
        <w:t>B</w:t>
      </w:r>
      <w:r w:rsidR="00DD3929" w:rsidRPr="00570679">
        <w:t>udow</w:t>
      </w:r>
      <w:r w:rsidR="00DD3929">
        <w:t>a</w:t>
      </w:r>
      <w:r w:rsidR="00DD3929" w:rsidRPr="00570679">
        <w:t xml:space="preserve"> terminal</w:t>
      </w:r>
      <w:r w:rsidR="00DD3929">
        <w:t>u</w:t>
      </w:r>
      <w:r w:rsidR="00DD3929" w:rsidRPr="00570679">
        <w:t xml:space="preserve"> FSRU w Zatoce Gdańskiej.</w:t>
      </w:r>
      <w:r>
        <w:fldChar w:fldCharType="end"/>
      </w:r>
    </w:p>
    <w:p w14:paraId="50E7F56F" w14:textId="7B75D73C" w:rsidR="00873D0E" w:rsidRDefault="00873D0E" w:rsidP="008340D5">
      <w:pPr>
        <w:pStyle w:val="Akapitzlist"/>
        <w:numPr>
          <w:ilvl w:val="0"/>
          <w:numId w:val="6"/>
        </w:numPr>
      </w:pPr>
      <w:r>
        <w:fldChar w:fldCharType="begin"/>
      </w:r>
      <w:r>
        <w:instrText xml:space="preserve"> REF _Ref159502277 \h </w:instrText>
      </w:r>
      <w:r>
        <w:fldChar w:fldCharType="separate"/>
      </w:r>
      <w:r w:rsidR="00DD3929">
        <w:t xml:space="preserve">Działanie </w:t>
      </w:r>
      <w:r w:rsidR="00DD3929">
        <w:rPr>
          <w:noProof/>
        </w:rPr>
        <w:t>109</w:t>
      </w:r>
      <w:r w:rsidR="00DD3929">
        <w:t xml:space="preserve">. </w:t>
      </w:r>
      <w:r w:rsidR="00DD3929" w:rsidRPr="00441EDE">
        <w:t>Zwiększanie pojemności i mocy odbioru systemu magazynowania gazu ziemnego</w:t>
      </w:r>
      <w:r>
        <w:fldChar w:fldCharType="end"/>
      </w:r>
      <w:r>
        <w:t>.</w:t>
      </w:r>
    </w:p>
    <w:p w14:paraId="522444DC" w14:textId="6735846A" w:rsidR="00873D0E" w:rsidRDefault="00873D0E" w:rsidP="008340D5">
      <w:pPr>
        <w:pStyle w:val="Akapitzlist"/>
        <w:numPr>
          <w:ilvl w:val="0"/>
          <w:numId w:val="6"/>
        </w:numPr>
      </w:pPr>
      <w:r>
        <w:fldChar w:fldCharType="begin"/>
      </w:r>
      <w:r>
        <w:instrText xml:space="preserve"> REF _Ref159499172 \h </w:instrText>
      </w:r>
      <w:r>
        <w:fldChar w:fldCharType="separate"/>
      </w:r>
      <w:r w:rsidR="00DD3929">
        <w:t xml:space="preserve">Działanie </w:t>
      </w:r>
      <w:r w:rsidR="00DD3929">
        <w:rPr>
          <w:noProof/>
        </w:rPr>
        <w:t>110</w:t>
      </w:r>
      <w:r w:rsidR="00DD3929">
        <w:t xml:space="preserve">. </w:t>
      </w:r>
      <w:r w:rsidR="00DD3929" w:rsidRPr="00E410E0">
        <w:t xml:space="preserve">Rozbudowa i modernizacja systemu </w:t>
      </w:r>
      <w:r w:rsidR="00DD3929">
        <w:t xml:space="preserve">gazowego </w:t>
      </w:r>
      <w:r w:rsidR="00DD3929" w:rsidRPr="00E410E0">
        <w:t>przesyłowego i</w:t>
      </w:r>
      <w:r w:rsidR="00DD3929">
        <w:t> </w:t>
      </w:r>
      <w:r w:rsidR="00DD3929" w:rsidRPr="00E410E0">
        <w:t>dystrybucyjnego zgodnie z przyjętymi planami rozwoju oraz ich aktualizacjami</w:t>
      </w:r>
      <w:r>
        <w:fldChar w:fldCharType="end"/>
      </w:r>
      <w:r>
        <w:t>.</w:t>
      </w:r>
    </w:p>
    <w:p w14:paraId="34E98A8E" w14:textId="08A84F4F" w:rsidR="00B92ECA" w:rsidRPr="00F17956" w:rsidRDefault="00B92ECA" w:rsidP="0086761A">
      <w:pPr>
        <w:pStyle w:val="Akapitzlist"/>
        <w:rPr>
          <w:b/>
          <w:bCs/>
          <w:szCs w:val="20"/>
        </w:rPr>
      </w:pPr>
    </w:p>
    <w:p w14:paraId="7A4C3C5E" w14:textId="39B1978F" w:rsidR="00691EA7" w:rsidRDefault="00DC1AB1" w:rsidP="00F47799">
      <w:pPr>
        <w:pStyle w:val="Nagwek3"/>
        <w:rPr>
          <w:color w:val="FFC000" w:themeColor="accent4"/>
        </w:rPr>
      </w:pPr>
      <w:bookmarkStart w:id="223" w:name="_Toc159598342"/>
      <w:bookmarkStart w:id="224" w:name="_Toc179536992"/>
      <w:r>
        <w:rPr>
          <w:color w:val="FFC000" w:themeColor="accent4"/>
        </w:rPr>
        <w:t>Sprawna i wystarczająca i</w:t>
      </w:r>
      <w:r w:rsidR="00691EA7" w:rsidRPr="00925327">
        <w:rPr>
          <w:color w:val="FFC000" w:themeColor="accent4"/>
        </w:rPr>
        <w:t>nfrastruktura paliwowa</w:t>
      </w:r>
      <w:bookmarkEnd w:id="223"/>
      <w:bookmarkEnd w:id="224"/>
    </w:p>
    <w:p w14:paraId="266EE1E1" w14:textId="25EFCF41" w:rsidR="00CF5E02" w:rsidRPr="00CF5E02" w:rsidRDefault="00CF5E02" w:rsidP="00CF5E02">
      <w:pPr>
        <w:pStyle w:val="Nagwek4"/>
        <w:rPr>
          <w:color w:val="FFC000" w:themeColor="accent4"/>
        </w:rPr>
      </w:pPr>
      <w:bookmarkStart w:id="225" w:name="_Toc179536993"/>
      <w:r w:rsidRPr="00CF5E02">
        <w:rPr>
          <w:color w:val="FFC000" w:themeColor="accent4"/>
        </w:rPr>
        <w:t>Zapewnienie odpowiedniego stanu i rozwoju infrastruktury przesyłu i dystrybucji paliw</w:t>
      </w:r>
      <w:bookmarkEnd w:id="225"/>
    </w:p>
    <w:p w14:paraId="52698800" w14:textId="77777777" w:rsidR="0086761A" w:rsidRDefault="0086761A" w:rsidP="0086761A">
      <w:bookmarkStart w:id="226" w:name="_Toc159598344"/>
      <w:r w:rsidRPr="00D20B47">
        <w:rPr>
          <w:noProof/>
        </w:rPr>
        <mc:AlternateContent>
          <mc:Choice Requires="wps">
            <w:drawing>
              <wp:anchor distT="0" distB="0" distL="114300" distR="114300" simplePos="0" relativeHeight="251767808" behindDoc="1" locked="0" layoutInCell="1" allowOverlap="1" wp14:anchorId="564AFABF" wp14:editId="1582526C">
                <wp:simplePos x="0" y="0"/>
                <wp:positionH relativeFrom="margin">
                  <wp:align>right</wp:align>
                </wp:positionH>
                <wp:positionV relativeFrom="paragraph">
                  <wp:posOffset>69083</wp:posOffset>
                </wp:positionV>
                <wp:extent cx="2620010" cy="1963420"/>
                <wp:effectExtent l="19050" t="57150" r="123190" b="71120"/>
                <wp:wrapSquare wrapText="bothSides"/>
                <wp:docPr id="2089625638" name="Prostokąt: zaokrąglone rogi 1"/>
                <wp:cNvGraphicFramePr/>
                <a:graphic xmlns:a="http://schemas.openxmlformats.org/drawingml/2006/main">
                  <a:graphicData uri="http://schemas.microsoft.com/office/word/2010/wordprocessingShape">
                    <wps:wsp>
                      <wps:cNvSpPr/>
                      <wps:spPr>
                        <a:xfrm>
                          <a:off x="0" y="0"/>
                          <a:ext cx="2620010" cy="1963420"/>
                        </a:xfrm>
                        <a:prstGeom prst="roundRect">
                          <a:avLst>
                            <a:gd name="adj" fmla="val 11857"/>
                          </a:avLst>
                        </a:prstGeom>
                        <a:solidFill>
                          <a:sysClr val="window" lastClr="FFFFFF"/>
                        </a:solidFill>
                        <a:ln w="6350" cap="flat" cmpd="sng" algn="ctr">
                          <a:solidFill>
                            <a:srgbClr val="C00000"/>
                          </a:solidFill>
                          <a:prstDash val="solid"/>
                          <a:miter lim="800000"/>
                          <a:extLst>
                            <a:ext uri="{C807C97D-BFC1-408E-A445-0C87EB9F89A2}">
                              <ask:lineSketchStyleProps xmlns:ask="http://schemas.microsoft.com/office/drawing/2018/sketchyshapes" sd="3209426022">
                                <a:custGeom>
                                  <a:avLst/>
                                  <a:gdLst>
                                    <a:gd name="connsiteX0" fmla="*/ 0 w 2969895"/>
                                    <a:gd name="connsiteY0" fmla="*/ 369497 h 2597150"/>
                                    <a:gd name="connsiteX1" fmla="*/ 369497 w 2969895"/>
                                    <a:gd name="connsiteY1" fmla="*/ 0 h 2597150"/>
                                    <a:gd name="connsiteX2" fmla="*/ 860295 w 2969895"/>
                                    <a:gd name="connsiteY2" fmla="*/ 0 h 2597150"/>
                                    <a:gd name="connsiteX3" fmla="*/ 1373402 w 2969895"/>
                                    <a:gd name="connsiteY3" fmla="*/ 0 h 2597150"/>
                                    <a:gd name="connsiteX4" fmla="*/ 1908819 w 2969895"/>
                                    <a:gd name="connsiteY4" fmla="*/ 0 h 2597150"/>
                                    <a:gd name="connsiteX5" fmla="*/ 2600398 w 2969895"/>
                                    <a:gd name="connsiteY5" fmla="*/ 0 h 2597150"/>
                                    <a:gd name="connsiteX6" fmla="*/ 2969895 w 2969895"/>
                                    <a:gd name="connsiteY6" fmla="*/ 369497 h 2597150"/>
                                    <a:gd name="connsiteX7" fmla="*/ 2969895 w 2969895"/>
                                    <a:gd name="connsiteY7" fmla="*/ 933138 h 2597150"/>
                                    <a:gd name="connsiteX8" fmla="*/ 2969895 w 2969895"/>
                                    <a:gd name="connsiteY8" fmla="*/ 1571105 h 2597150"/>
                                    <a:gd name="connsiteX9" fmla="*/ 2969895 w 2969895"/>
                                    <a:gd name="connsiteY9" fmla="*/ 2227653 h 2597150"/>
                                    <a:gd name="connsiteX10" fmla="*/ 2600398 w 2969895"/>
                                    <a:gd name="connsiteY10" fmla="*/ 2597150 h 2597150"/>
                                    <a:gd name="connsiteX11" fmla="*/ 2087291 w 2969895"/>
                                    <a:gd name="connsiteY11" fmla="*/ 2597150 h 2597150"/>
                                    <a:gd name="connsiteX12" fmla="*/ 1596493 w 2969895"/>
                                    <a:gd name="connsiteY12" fmla="*/ 2597150 h 2597150"/>
                                    <a:gd name="connsiteX13" fmla="*/ 1083385 w 2969895"/>
                                    <a:gd name="connsiteY13" fmla="*/ 2597150 h 2597150"/>
                                    <a:gd name="connsiteX14" fmla="*/ 369497 w 2969895"/>
                                    <a:gd name="connsiteY14" fmla="*/ 2597150 h 2597150"/>
                                    <a:gd name="connsiteX15" fmla="*/ 0 w 2969895"/>
                                    <a:gd name="connsiteY15" fmla="*/ 2227653 h 2597150"/>
                                    <a:gd name="connsiteX16" fmla="*/ 0 w 2969895"/>
                                    <a:gd name="connsiteY16" fmla="*/ 1664012 h 2597150"/>
                                    <a:gd name="connsiteX17" fmla="*/ 0 w 2969895"/>
                                    <a:gd name="connsiteY17" fmla="*/ 1007464 h 2597150"/>
                                    <a:gd name="connsiteX18" fmla="*/ 0 w 2969895"/>
                                    <a:gd name="connsiteY18" fmla="*/ 369497 h 25971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Lst>
                                  <a:rect l="l" t="t" r="r" b="b"/>
                                  <a:pathLst>
                                    <a:path w="2969895" h="2597150" fill="none" extrusionOk="0">
                                      <a:moveTo>
                                        <a:pt x="0" y="369497"/>
                                      </a:moveTo>
                                      <a:cubicBezTo>
                                        <a:pt x="-21648" y="122196"/>
                                        <a:pt x="151284" y="20440"/>
                                        <a:pt x="369497" y="0"/>
                                      </a:cubicBezTo>
                                      <a:cubicBezTo>
                                        <a:pt x="522987" y="20037"/>
                                        <a:pt x="761634" y="-14955"/>
                                        <a:pt x="860295" y="0"/>
                                      </a:cubicBezTo>
                                      <a:cubicBezTo>
                                        <a:pt x="958956" y="14955"/>
                                        <a:pt x="1258306" y="-1385"/>
                                        <a:pt x="1373402" y="0"/>
                                      </a:cubicBezTo>
                                      <a:cubicBezTo>
                                        <a:pt x="1488498" y="1385"/>
                                        <a:pt x="1708357" y="-23685"/>
                                        <a:pt x="1908819" y="0"/>
                                      </a:cubicBezTo>
                                      <a:cubicBezTo>
                                        <a:pt x="2109281" y="23685"/>
                                        <a:pt x="2348083" y="10816"/>
                                        <a:pt x="2600398" y="0"/>
                                      </a:cubicBezTo>
                                      <a:cubicBezTo>
                                        <a:pt x="2768901" y="15078"/>
                                        <a:pt x="2966036" y="150633"/>
                                        <a:pt x="2969895" y="369497"/>
                                      </a:cubicBezTo>
                                      <a:cubicBezTo>
                                        <a:pt x="2962113" y="608285"/>
                                        <a:pt x="2992646" y="718113"/>
                                        <a:pt x="2969895" y="933138"/>
                                      </a:cubicBezTo>
                                      <a:cubicBezTo>
                                        <a:pt x="2947144" y="1148163"/>
                                        <a:pt x="2959903" y="1379042"/>
                                        <a:pt x="2969895" y="1571105"/>
                                      </a:cubicBezTo>
                                      <a:cubicBezTo>
                                        <a:pt x="2979887" y="1763168"/>
                                        <a:pt x="2979459" y="1952072"/>
                                        <a:pt x="2969895" y="2227653"/>
                                      </a:cubicBezTo>
                                      <a:cubicBezTo>
                                        <a:pt x="2972534" y="2425813"/>
                                        <a:pt x="2839732" y="2580296"/>
                                        <a:pt x="2600398" y="2597150"/>
                                      </a:cubicBezTo>
                                      <a:cubicBezTo>
                                        <a:pt x="2371648" y="2583364"/>
                                        <a:pt x="2211376" y="2579538"/>
                                        <a:pt x="2087291" y="2597150"/>
                                      </a:cubicBezTo>
                                      <a:cubicBezTo>
                                        <a:pt x="1963206" y="2614762"/>
                                        <a:pt x="1722052" y="2580167"/>
                                        <a:pt x="1596493" y="2597150"/>
                                      </a:cubicBezTo>
                                      <a:cubicBezTo>
                                        <a:pt x="1470934" y="2614133"/>
                                        <a:pt x="1334604" y="2607859"/>
                                        <a:pt x="1083385" y="2597150"/>
                                      </a:cubicBezTo>
                                      <a:cubicBezTo>
                                        <a:pt x="832166" y="2586441"/>
                                        <a:pt x="530773" y="2610674"/>
                                        <a:pt x="369497" y="2597150"/>
                                      </a:cubicBezTo>
                                      <a:cubicBezTo>
                                        <a:pt x="155534" y="2581945"/>
                                        <a:pt x="17352" y="2459324"/>
                                        <a:pt x="0" y="2227653"/>
                                      </a:cubicBezTo>
                                      <a:cubicBezTo>
                                        <a:pt x="-17492" y="1985602"/>
                                        <a:pt x="10018" y="1857958"/>
                                        <a:pt x="0" y="1664012"/>
                                      </a:cubicBezTo>
                                      <a:cubicBezTo>
                                        <a:pt x="-10018" y="1470066"/>
                                        <a:pt x="30211" y="1274151"/>
                                        <a:pt x="0" y="1007464"/>
                                      </a:cubicBezTo>
                                      <a:cubicBezTo>
                                        <a:pt x="-30211" y="740777"/>
                                        <a:pt x="28398" y="678939"/>
                                        <a:pt x="0" y="369497"/>
                                      </a:cubicBezTo>
                                      <a:close/>
                                    </a:path>
                                    <a:path w="2969895" h="2597150" stroke="0" extrusionOk="0">
                                      <a:moveTo>
                                        <a:pt x="0" y="369497"/>
                                      </a:moveTo>
                                      <a:cubicBezTo>
                                        <a:pt x="34577" y="178421"/>
                                        <a:pt x="167617" y="23472"/>
                                        <a:pt x="369497" y="0"/>
                                      </a:cubicBezTo>
                                      <a:cubicBezTo>
                                        <a:pt x="518833" y="25358"/>
                                        <a:pt x="763926" y="-12862"/>
                                        <a:pt x="927222" y="0"/>
                                      </a:cubicBezTo>
                                      <a:cubicBezTo>
                                        <a:pt x="1090519" y="12862"/>
                                        <a:pt x="1283092" y="13454"/>
                                        <a:pt x="1529566" y="0"/>
                                      </a:cubicBezTo>
                                      <a:cubicBezTo>
                                        <a:pt x="1776040" y="-13454"/>
                                        <a:pt x="2346815" y="-6698"/>
                                        <a:pt x="2600398" y="0"/>
                                      </a:cubicBezTo>
                                      <a:cubicBezTo>
                                        <a:pt x="2790254" y="-14900"/>
                                        <a:pt x="2963476" y="163312"/>
                                        <a:pt x="2969895" y="369497"/>
                                      </a:cubicBezTo>
                                      <a:cubicBezTo>
                                        <a:pt x="2964010" y="618454"/>
                                        <a:pt x="2992138" y="705432"/>
                                        <a:pt x="2969895" y="933138"/>
                                      </a:cubicBezTo>
                                      <a:cubicBezTo>
                                        <a:pt x="2947652" y="1160844"/>
                                        <a:pt x="2959065" y="1396088"/>
                                        <a:pt x="2969895" y="1552523"/>
                                      </a:cubicBezTo>
                                      <a:cubicBezTo>
                                        <a:pt x="2980725" y="1708958"/>
                                        <a:pt x="2989525" y="1922101"/>
                                        <a:pt x="2969895" y="2227653"/>
                                      </a:cubicBezTo>
                                      <a:cubicBezTo>
                                        <a:pt x="2961485" y="2426742"/>
                                        <a:pt x="2843982" y="2584275"/>
                                        <a:pt x="2600398" y="2597150"/>
                                      </a:cubicBezTo>
                                      <a:cubicBezTo>
                                        <a:pt x="2446371" y="2597226"/>
                                        <a:pt x="2156238" y="2611024"/>
                                        <a:pt x="2042673" y="2597150"/>
                                      </a:cubicBezTo>
                                      <a:cubicBezTo>
                                        <a:pt x="1929108" y="2583276"/>
                                        <a:pt x="1682141" y="2616607"/>
                                        <a:pt x="1484948" y="2597150"/>
                                      </a:cubicBezTo>
                                      <a:cubicBezTo>
                                        <a:pt x="1287756" y="2577693"/>
                                        <a:pt x="1127330" y="2623505"/>
                                        <a:pt x="927222" y="2597150"/>
                                      </a:cubicBezTo>
                                      <a:cubicBezTo>
                                        <a:pt x="727114" y="2570795"/>
                                        <a:pt x="553257" y="2623034"/>
                                        <a:pt x="369497" y="2597150"/>
                                      </a:cubicBezTo>
                                      <a:cubicBezTo>
                                        <a:pt x="194263" y="2631399"/>
                                        <a:pt x="3410" y="2439480"/>
                                        <a:pt x="0" y="2227653"/>
                                      </a:cubicBezTo>
                                      <a:cubicBezTo>
                                        <a:pt x="-13465" y="2026099"/>
                                        <a:pt x="2425" y="1821961"/>
                                        <a:pt x="0" y="1645431"/>
                                      </a:cubicBezTo>
                                      <a:cubicBezTo>
                                        <a:pt x="-2425" y="1468901"/>
                                        <a:pt x="-3089" y="1229156"/>
                                        <a:pt x="0" y="1063209"/>
                                      </a:cubicBezTo>
                                      <a:cubicBezTo>
                                        <a:pt x="3089" y="897262"/>
                                        <a:pt x="-3659" y="513368"/>
                                        <a:pt x="0" y="369497"/>
                                      </a:cubicBezTo>
                                      <a:close/>
                                    </a:path>
                                  </a:pathLst>
                                </a:custGeom>
                                <ask:type>
                                  <ask:lineSketchNone/>
                                </ask:type>
                              </ask:lineSketchStyleProps>
                            </a:ext>
                          </a:extLst>
                        </a:ln>
                        <a:effectLst>
                          <a:outerShdw blurRad="50800" dist="38100" algn="l" rotWithShape="0">
                            <a:prstClr val="black">
                              <a:alpha val="40000"/>
                            </a:prstClr>
                          </a:outerShdw>
                        </a:effectLst>
                      </wps:spPr>
                      <wps:txbx>
                        <w:txbxContent>
                          <w:p w14:paraId="0AAB870C" w14:textId="77777777" w:rsidR="0086761A" w:rsidRPr="004E21CF" w:rsidRDefault="0086761A" w:rsidP="0086761A">
                            <w:pPr>
                              <w:pStyle w:val="Ramka"/>
                            </w:pPr>
                            <w:r w:rsidRPr="00793CBE">
                              <w:t>Krajowy system prz</w:t>
                            </w:r>
                            <w:r>
                              <w:t>esyłu i dystrybucji paliw ciekłych zasilany jest produkcją w zakładach rafineryjnych w Płocku i Gdańsku, a także importem drogą morską i lądową.</w:t>
                            </w:r>
                          </w:p>
                        </w:txbxContent>
                      </wps:txbx>
                      <wps:bodyPr rot="0" spcFirstLastPara="0" vertOverflow="overflow" horzOverflow="overflow" vert="horz" wrap="square" lIns="72000" tIns="90000" rIns="72000" bIns="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564AFABF" id="_x0000_s1108" style="position:absolute;left:0;text-align:left;margin-left:155.1pt;margin-top:5.45pt;width:206.3pt;height:154.6pt;z-index:-25154867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arcsize="777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" fillcolor="window" strokecolor="#c00000" strokeweight=".5pt">
                <v:stroke joinstyle="miter"/>
                <v:shadow on="t" color="black" opacity="26214f" origin="-.5" offset="3pt,0"/>
                <v:textbox style="mso-fit-shape-to-text:t" inset="2mm,2.5mm,2mm,0">
                  <w:txbxContent>
                    <w:p w14:paraId="0AAB870C" w14:textId="77777777" w:rsidR="0086761A" w:rsidRPr="004E21CF" w:rsidRDefault="0086761A" w:rsidP="0086761A">
                      <w:pPr>
                        <w:pStyle w:val="Ramka"/>
                      </w:pPr>
                      <w:r w:rsidRPr="00793CBE">
                        <w:t>Krajowy system prz</w:t>
                      </w:r>
                      <w:r>
                        <w:t>esyłu i dystrybucji paliw ciekłych zasilany jest produkcją w zakładach rafineryjnych w Płocku i Gdańsku, a także importem drogą morską i lądową.</w:t>
                      </w:r>
                    </w:p>
                  </w:txbxContent>
                </v:textbox>
                <w10:wrap type="square" anchorx="margin"/>
              </v:roundrect>
            </w:pict>
          </mc:Fallback>
        </mc:AlternateContent>
      </w:r>
      <w:r w:rsidRPr="00D20B47">
        <w:t xml:space="preserve">Zapewnienie odpowiedniego stanu, rozbudowa infrastruktury </w:t>
      </w:r>
      <w:r>
        <w:t>dystrybucji i przesyłu</w:t>
      </w:r>
      <w:r w:rsidRPr="00D20B47">
        <w:t xml:space="preserve"> oraz budowa nowych połączeń międzysystemowych to czynniki wpływające na obecną i perspektywiczną pewność dostaw </w:t>
      </w:r>
      <w:r>
        <w:t>paliw</w:t>
      </w:r>
      <w:r w:rsidRPr="00D20B47">
        <w:t xml:space="preserve"> do odbiorców. </w:t>
      </w:r>
    </w:p>
    <w:p w14:paraId="3593473C" w14:textId="77777777" w:rsidR="0086761A" w:rsidRDefault="0086761A" w:rsidP="0086761A">
      <w:r>
        <w:t>W rezultacie zbrojnej a</w:t>
      </w:r>
      <w:r w:rsidRPr="00D22DF6">
        <w:t>gresj</w:t>
      </w:r>
      <w:r>
        <w:t>i Rosji</w:t>
      </w:r>
      <w:r w:rsidRPr="00D22DF6">
        <w:t xml:space="preserve"> wobec Ukrainy</w:t>
      </w:r>
      <w:r>
        <w:t>, Polska w 2023 r. zaprzestała sprowadzania paliw ciekłych z Rosji z wyjątkiem gazu płynnego LPG, którego import z Rosji całkowicie zakończy się do 20 grudnia 2024 r.</w:t>
      </w:r>
    </w:p>
    <w:p w14:paraId="6E209D77" w14:textId="1DDB9074" w:rsidR="0086761A" w:rsidRDefault="0086761A" w:rsidP="0086761A">
      <w:r>
        <w:t xml:space="preserve">Zmiany w strukturze dostaw paliw ciekłych do Polski sprawiły, że kluczowe w tej kwestii stały się dostawy paliw przez terminale paliwowe w </w:t>
      </w:r>
      <w:r w:rsidR="0043256C">
        <w:t>p</w:t>
      </w:r>
      <w:r>
        <w:t xml:space="preserve">ortach </w:t>
      </w:r>
      <w:r w:rsidR="0043256C">
        <w:t>m</w:t>
      </w:r>
      <w:r>
        <w:t>orskich w Szczecinie, Świnoujściu, Gdańsku i Gdyni. Wzrosło również znaczenie dostaw lądowych z Niemiec, Czech, Słowacji oraz Litwy. Zmiana punktu ciężkości dostaw stawia przed Polską nowe wyzwania logistyczne w zakresie transportu drogowego i kolejowego paliw ciekłych.</w:t>
      </w:r>
    </w:p>
    <w:p w14:paraId="7445C1CF" w14:textId="6D6F9C0A" w:rsidR="0086761A" w:rsidRDefault="0086761A" w:rsidP="0086761A">
      <w:r w:rsidRPr="005B1858">
        <w:t>W lutym 2023 r</w:t>
      </w:r>
      <w:r w:rsidR="003B4135">
        <w:t>.</w:t>
      </w:r>
      <w:r w:rsidRPr="005B1858">
        <w:t xml:space="preserve"> GK PERN i Orlen otworzyły nowy rurociąg produktowy Boronów-Trzebinia, zwiększający bezpieczeństwo energetyczne południowej części Polski,</w:t>
      </w:r>
      <w:r>
        <w:t xml:space="preserve"> </w:t>
      </w:r>
      <w:r w:rsidRPr="005B1858">
        <w:t>a także urealniający plany potencjalnego przedłużenia systemu rurociągów</w:t>
      </w:r>
      <w:r w:rsidRPr="00630405">
        <w:rPr>
          <w:rFonts w:ascii="Arial Narrow" w:hAnsi="Arial Narrow" w:cs="Times New Roman"/>
          <w:kern w:val="0"/>
          <w:szCs w:val="20"/>
          <w14:ligatures w14:val="none"/>
        </w:rPr>
        <w:t xml:space="preserve"> </w:t>
      </w:r>
      <w:r w:rsidRPr="00630405">
        <w:t>Europejskiej Sieci Rurociągów Paliwowych (CEPS</w:t>
      </w:r>
      <w:r w:rsidR="003B4135">
        <w:t>, ang.</w:t>
      </w:r>
      <w:r w:rsidRPr="00630405">
        <w:t xml:space="preserve"> </w:t>
      </w:r>
      <w:r w:rsidRPr="00630405">
        <w:rPr>
          <w:i/>
          <w:iCs/>
        </w:rPr>
        <w:t>Central Europe Pipeline System</w:t>
      </w:r>
      <w:r w:rsidRPr="00630405">
        <w:t>)</w:t>
      </w:r>
      <w:r>
        <w:t xml:space="preserve"> do Polski, co </w:t>
      </w:r>
      <w:r w:rsidRPr="00630405">
        <w:t>może mieć pozytywny wpływ na zabezpieczenie paliwowe ściany wschodniej NATO.</w:t>
      </w:r>
    </w:p>
    <w:p w14:paraId="33290B79" w14:textId="602ACE26" w:rsidR="0086761A" w:rsidRPr="00E45F2E" w:rsidRDefault="0086761A" w:rsidP="0086761A">
      <w:pPr>
        <w:pStyle w:val="Cele"/>
        <w:rPr>
          <w:b/>
          <w:shd w:val="clear" w:color="auto" w:fill="F2F2F2" w:themeFill="background1" w:themeFillShade="F2"/>
        </w:rPr>
      </w:pPr>
      <w:r w:rsidRPr="00B377B2">
        <w:rPr>
          <w:rStyle w:val="CeleZnak"/>
          <w:b/>
        </w:rPr>
        <w:t xml:space="preserve">Polska wyznacza na 2030 r. cel </w:t>
      </w:r>
      <w:r>
        <w:rPr>
          <w:rStyle w:val="CeleZnak"/>
          <w:b/>
        </w:rPr>
        <w:t xml:space="preserve">dalszego </w:t>
      </w:r>
      <w:r w:rsidR="00A744D0" w:rsidRPr="00A744D0">
        <w:rPr>
          <w:rStyle w:val="CeleZnak"/>
          <w:b/>
        </w:rPr>
        <w:t>zapewnienia stabilności funkcjonowania systemów przesyłu i dystrybucji paliw ciekłych oraz ich dalszej rozbudowy.</w:t>
      </w:r>
    </w:p>
    <w:p w14:paraId="48AA02BD" w14:textId="5AB34233" w:rsidR="0086761A" w:rsidRDefault="0086761A" w:rsidP="0086761A">
      <w:pPr>
        <w:spacing w:before="240" w:after="80"/>
        <w:rPr>
          <w:rFonts w:ascii="Bahnschrift" w:hAnsi="Bahnschrift"/>
        </w:rPr>
      </w:pPr>
      <w:r w:rsidRPr="00C46DAA">
        <w:rPr>
          <w:rFonts w:ascii="Bahnschrift" w:hAnsi="Bahnschrift"/>
          <w:b/>
          <w:bCs/>
          <w:sz w:val="32"/>
          <w:szCs w:val="32"/>
        </w:rPr>
        <w:t>POLITYKA</w:t>
      </w:r>
    </w:p>
    <w:p w14:paraId="3D37E813" w14:textId="77777777" w:rsidR="0086761A" w:rsidRDefault="0086761A" w:rsidP="0086761A">
      <w:r>
        <w:t xml:space="preserve">W związku ze zmianą struktury dostaw paliw, nadrzędnym celem w zakresie systemów przesyłu i dystrybucji jest zapewnienie ich stabilnego funkcjonowania oraz zapewnienie odpowiedniej ilości paliw na rynku. </w:t>
      </w:r>
      <w:r w:rsidRPr="00D423ED">
        <w:t xml:space="preserve">Polska </w:t>
      </w:r>
      <w:r>
        <w:t>będzie</w:t>
      </w:r>
      <w:r w:rsidRPr="00D423ED">
        <w:t xml:space="preserve"> kontynuować dotychczasową politykę bezpieczeństwa paliwowego przede wszystkim z uwagi na prognozowany dalszy wzrost krajowego zapotrzebowania na paliwa, </w:t>
      </w:r>
      <w:r>
        <w:br/>
      </w:r>
      <w:r w:rsidRPr="00D423ED">
        <w:t>ale te</w:t>
      </w:r>
      <w:r w:rsidRPr="00D423ED">
        <w:rPr>
          <w:rFonts w:hint="eastAsia"/>
        </w:rPr>
        <w:t>ż</w:t>
      </w:r>
      <w:r w:rsidRPr="00D423ED">
        <w:t xml:space="preserve"> ze</w:t>
      </w:r>
      <w:r>
        <w:t> </w:t>
      </w:r>
      <w:r w:rsidRPr="00D423ED">
        <w:t>wzgl</w:t>
      </w:r>
      <w:r w:rsidRPr="00D423ED">
        <w:rPr>
          <w:rFonts w:hint="eastAsia"/>
        </w:rPr>
        <w:t>ę</w:t>
      </w:r>
      <w:r w:rsidRPr="00D423ED">
        <w:t>du na interes polityczny Polski oraz sojuszniczy.</w:t>
      </w:r>
    </w:p>
    <w:p w14:paraId="312BB714" w14:textId="77777777" w:rsidR="0086761A" w:rsidRPr="007F4FEC" w:rsidRDefault="0086761A" w:rsidP="0086761A">
      <w:r w:rsidRPr="007F4FEC">
        <w:t>Cel będzie realizowany przez:</w:t>
      </w:r>
    </w:p>
    <w:p w14:paraId="751B505B" w14:textId="77777777" w:rsidR="0086761A" w:rsidRPr="00DC5728" w:rsidRDefault="0086761A" w:rsidP="00612B5D">
      <w:pPr>
        <w:pStyle w:val="Akapitzlist"/>
        <w:numPr>
          <w:ilvl w:val="0"/>
          <w:numId w:val="37"/>
        </w:numPr>
        <w:jc w:val="left"/>
      </w:pPr>
      <w:r w:rsidRPr="00DC5728">
        <w:t>utrzymani</w:t>
      </w:r>
      <w:r>
        <w:t>e</w:t>
      </w:r>
      <w:r w:rsidRPr="00DC5728">
        <w:t xml:space="preserve"> sprawnego zaplecza logistycznego z systemami państw sąsiadujących (Niemcy, Czechy, Słowacja, Ukraina, Litwa) oraz morskimi terminalami paliwowymi;</w:t>
      </w:r>
    </w:p>
    <w:p w14:paraId="33E6A7F3" w14:textId="45C6AD86" w:rsidR="0086761A" w:rsidRPr="00DC5728" w:rsidRDefault="0086761A" w:rsidP="00612B5D">
      <w:pPr>
        <w:pStyle w:val="Akapitzlist"/>
        <w:numPr>
          <w:ilvl w:val="0"/>
          <w:numId w:val="37"/>
        </w:numPr>
        <w:jc w:val="left"/>
      </w:pPr>
      <w:r w:rsidRPr="00DC5728">
        <w:t>zapewnieni</w:t>
      </w:r>
      <w:r>
        <w:t>e</w:t>
      </w:r>
      <w:r w:rsidRPr="00DC5728">
        <w:t xml:space="preserve"> funkcjonowania oraz rozw</w:t>
      </w:r>
      <w:r>
        <w:t>ój</w:t>
      </w:r>
      <w:r w:rsidRPr="00DC5728">
        <w:t xml:space="preserve"> zdolności przeładunkowych morskich terminali paliwowych</w:t>
      </w:r>
      <w:r>
        <w:t xml:space="preserve"> (również w zakresie LPG)</w:t>
      </w:r>
      <w:r w:rsidRPr="00DC5728">
        <w:t xml:space="preserve"> w Szczecinie, Świnoujściu</w:t>
      </w:r>
      <w:r>
        <w:t>, Gdańsku</w:t>
      </w:r>
      <w:r w:rsidRPr="00DC5728">
        <w:t xml:space="preserve"> oraz Gdyni</w:t>
      </w:r>
      <w:r>
        <w:t xml:space="preserve"> włącznie z</w:t>
      </w:r>
      <w:r w:rsidR="00103318">
        <w:t> </w:t>
      </w:r>
      <w:r>
        <w:t>bazą wydawczą w Dębogórzu</w:t>
      </w:r>
      <w:r w:rsidRPr="00DC5728">
        <w:t>;</w:t>
      </w:r>
    </w:p>
    <w:p w14:paraId="32C5D68B" w14:textId="77777777" w:rsidR="0086761A" w:rsidRDefault="0086761A" w:rsidP="00612B5D">
      <w:pPr>
        <w:pStyle w:val="Akapitzlist"/>
        <w:numPr>
          <w:ilvl w:val="0"/>
          <w:numId w:val="37"/>
        </w:numPr>
      </w:pPr>
      <w:r>
        <w:t>rozbudowę pojemności baz paliw;</w:t>
      </w:r>
    </w:p>
    <w:p w14:paraId="6AC44DFD" w14:textId="77777777" w:rsidR="0086761A" w:rsidRDefault="0086761A" w:rsidP="00612B5D">
      <w:pPr>
        <w:pStyle w:val="Akapitzlist"/>
        <w:numPr>
          <w:ilvl w:val="0"/>
          <w:numId w:val="37"/>
        </w:numPr>
      </w:pPr>
      <w:r>
        <w:t xml:space="preserve">działania w zakresie </w:t>
      </w:r>
      <w:r w:rsidRPr="003064AB">
        <w:t xml:space="preserve">przedłużenia systemu rurociągów </w:t>
      </w:r>
      <w:r>
        <w:t>paliwowych CEPS do Polski;</w:t>
      </w:r>
    </w:p>
    <w:p w14:paraId="07F0C54B" w14:textId="77777777" w:rsidR="0086761A" w:rsidRPr="006E5292" w:rsidRDefault="0086761A" w:rsidP="00612B5D">
      <w:pPr>
        <w:pStyle w:val="Akapitzlist"/>
        <w:numPr>
          <w:ilvl w:val="0"/>
          <w:numId w:val="37"/>
        </w:numPr>
      </w:pPr>
      <w:r>
        <w:t>cykliczną analizę potrzeb rynku w zakresie pojemności magazynowych dla ropy i paliw.</w:t>
      </w:r>
    </w:p>
    <w:p w14:paraId="3ACD94C1" w14:textId="77777777" w:rsidR="0086761A" w:rsidRPr="000E240E" w:rsidRDefault="0086761A" w:rsidP="0086761A"/>
    <w:p w14:paraId="7BD08707" w14:textId="77777777" w:rsidR="0086761A" w:rsidRPr="00C46DAA" w:rsidRDefault="0086761A" w:rsidP="0086761A">
      <w:pPr>
        <w:spacing w:before="240" w:after="80"/>
        <w:rPr>
          <w:rFonts w:ascii="Bahnschrift" w:hAnsi="Bahnschrift"/>
          <w:sz w:val="32"/>
          <w:szCs w:val="32"/>
        </w:rPr>
      </w:pPr>
      <w:r w:rsidRPr="00C46DAA">
        <w:rPr>
          <w:rFonts w:ascii="Bahnschrift" w:hAnsi="Bahnschrift"/>
          <w:b/>
          <w:bCs/>
          <w:sz w:val="32"/>
          <w:szCs w:val="32"/>
        </w:rPr>
        <w:t>DZIAŁANIA</w:t>
      </w:r>
    </w:p>
    <w:p w14:paraId="7C11E09D" w14:textId="153F6CF9" w:rsidR="006B0EB9" w:rsidRDefault="006B0EB9" w:rsidP="0086761A">
      <w:pPr>
        <w:pStyle w:val="Akapitzlist"/>
        <w:numPr>
          <w:ilvl w:val="0"/>
          <w:numId w:val="6"/>
        </w:numPr>
      </w:pPr>
      <w:r>
        <w:fldChar w:fldCharType="begin"/>
      </w:r>
      <w:r>
        <w:instrText xml:space="preserve"> REF _Ref160030796 \h </w:instrText>
      </w:r>
      <w:r>
        <w:fldChar w:fldCharType="separate"/>
      </w:r>
      <w:r w:rsidR="00DD3929" w:rsidRPr="004C4C9A">
        <w:t xml:space="preserve">Działanie </w:t>
      </w:r>
      <w:r w:rsidR="00DD3929">
        <w:rPr>
          <w:noProof/>
        </w:rPr>
        <w:t>115</w:t>
      </w:r>
      <w:r w:rsidR="00DD3929" w:rsidRPr="004C4C9A">
        <w:t>.</w:t>
      </w:r>
      <w:r w:rsidR="00DD3929">
        <w:rPr>
          <w:i/>
          <w:iCs/>
        </w:rPr>
        <w:t xml:space="preserve"> </w:t>
      </w:r>
      <w:r w:rsidR="00DD3929">
        <w:t>Z</w:t>
      </w:r>
      <w:r w:rsidR="00DD3929" w:rsidRPr="00CB16D4">
        <w:t>apewnienie sprawnie funkcjonującej logistyki dostaw paliw, wspieranie rozwoju infrastruktury przeładunkowej, przesyłowej i magazynowej</w:t>
      </w:r>
      <w:r w:rsidR="00DD3929">
        <w:t xml:space="preserve"> oraz </w:t>
      </w:r>
      <w:r w:rsidR="00DD3929" w:rsidRPr="00CB16D4">
        <w:t>działań zmierzających do przedłużenia systemu Europejskiej Sieci Rurociągów Paliwowych (CEPS – Central Europe Pipeline System) do Polski.</w:t>
      </w:r>
      <w:r>
        <w:fldChar w:fldCharType="end"/>
      </w:r>
    </w:p>
    <w:p w14:paraId="7118428E" w14:textId="13E9FA99" w:rsidR="006B0EB9" w:rsidRDefault="006B0EB9" w:rsidP="006B0EB9">
      <w:pPr>
        <w:pStyle w:val="Akapitzlist"/>
        <w:numPr>
          <w:ilvl w:val="0"/>
          <w:numId w:val="6"/>
        </w:numPr>
      </w:pPr>
      <w:r>
        <w:fldChar w:fldCharType="begin"/>
      </w:r>
      <w:r>
        <w:instrText xml:space="preserve"> REF _Ref160030451 \h </w:instrText>
      </w:r>
      <w:r>
        <w:fldChar w:fldCharType="separate"/>
      </w:r>
      <w:r w:rsidR="00DD3929" w:rsidRPr="00CB16D4">
        <w:t xml:space="preserve">Działanie </w:t>
      </w:r>
      <w:r w:rsidR="00DD3929">
        <w:rPr>
          <w:noProof/>
        </w:rPr>
        <w:t>116</w:t>
      </w:r>
      <w:r w:rsidR="00DD3929" w:rsidRPr="00CB16D4">
        <w:t>.</w:t>
      </w:r>
      <w:r w:rsidR="00DD3929">
        <w:t xml:space="preserve"> </w:t>
      </w:r>
      <w:r w:rsidR="00DD3929" w:rsidRPr="00CB16D4">
        <w:t>Monitorowanie potrzeb magazynowych w zakresie ropy naftowej i paliw ciekłych.</w:t>
      </w:r>
      <w:r>
        <w:fldChar w:fldCharType="end"/>
      </w:r>
    </w:p>
    <w:p w14:paraId="6666D214" w14:textId="2FE01565" w:rsidR="006B0EB9" w:rsidRDefault="00126A0B" w:rsidP="006B0EB9">
      <w:pPr>
        <w:pStyle w:val="Akapitzlist"/>
        <w:numPr>
          <w:ilvl w:val="0"/>
          <w:numId w:val="6"/>
        </w:numPr>
      </w:pPr>
      <w:r>
        <w:fldChar w:fldCharType="begin"/>
      </w:r>
      <w:r>
        <w:instrText xml:space="preserve"> REF _Ref157434814 \h </w:instrText>
      </w:r>
      <w:r>
        <w:fldChar w:fldCharType="separate"/>
      </w:r>
      <w:r w:rsidR="00DD3929" w:rsidRPr="00570679">
        <w:t xml:space="preserve">Działanie </w:t>
      </w:r>
      <w:r w:rsidR="00DD3929">
        <w:rPr>
          <w:noProof/>
        </w:rPr>
        <w:t>120</w:t>
      </w:r>
      <w:r w:rsidR="00DD3929" w:rsidRPr="00570679">
        <w:t xml:space="preserve">. Efektywna gospodarka surowcami </w:t>
      </w:r>
      <w:r w:rsidR="00DD3929">
        <w:t>ważnymi dla krajowej i unijnej gospodarki</w:t>
      </w:r>
      <w:r w:rsidR="00DD3929" w:rsidRPr="00570679">
        <w:t>.</w:t>
      </w:r>
      <w:r>
        <w:fldChar w:fldCharType="end"/>
      </w:r>
    </w:p>
    <w:p w14:paraId="59B4E4D2" w14:textId="2C107D0D" w:rsidR="00691EA7" w:rsidRDefault="00DC1AB1" w:rsidP="00103318">
      <w:pPr>
        <w:pStyle w:val="Nagwek3"/>
        <w:spacing w:before="720"/>
        <w:rPr>
          <w:color w:val="FFC000" w:themeColor="accent4"/>
        </w:rPr>
      </w:pPr>
      <w:bookmarkStart w:id="227" w:name="_Toc179536994"/>
      <w:r>
        <w:rPr>
          <w:color w:val="FFC000" w:themeColor="accent4"/>
        </w:rPr>
        <w:t>Rozwój energetyki rozproszonej</w:t>
      </w:r>
      <w:bookmarkEnd w:id="226"/>
      <w:bookmarkEnd w:id="227"/>
      <w:r>
        <w:rPr>
          <w:color w:val="FFC000" w:themeColor="accent4"/>
        </w:rPr>
        <w:t xml:space="preserve"> </w:t>
      </w:r>
    </w:p>
    <w:p w14:paraId="59A1BA4A" w14:textId="6963536D" w:rsidR="00925327" w:rsidRDefault="00DC1AB1" w:rsidP="00103318">
      <w:pPr>
        <w:pStyle w:val="Nagwek4"/>
        <w:spacing w:before="240"/>
        <w:rPr>
          <w:color w:val="FFC000" w:themeColor="accent4"/>
        </w:rPr>
      </w:pPr>
      <w:bookmarkStart w:id="228" w:name="_Toc159598345"/>
      <w:bookmarkStart w:id="229" w:name="_Toc179536995"/>
      <w:r w:rsidRPr="00DC1AB1">
        <w:rPr>
          <w:color w:val="FFC000" w:themeColor="accent4"/>
        </w:rPr>
        <w:t>Rozwój i integracja prosumentów</w:t>
      </w:r>
      <w:bookmarkEnd w:id="228"/>
      <w:bookmarkEnd w:id="229"/>
    </w:p>
    <w:p w14:paraId="78E2A7B8" w14:textId="60DBBF4E" w:rsidR="00857C13" w:rsidRDefault="006421E0" w:rsidP="00857C13">
      <w:r>
        <w:t xml:space="preserve">Definicja </w:t>
      </w:r>
      <w:r w:rsidRPr="00DC01D8">
        <w:rPr>
          <w:b/>
          <w:bCs/>
        </w:rPr>
        <w:t xml:space="preserve">prosumenta </w:t>
      </w:r>
      <w:r>
        <w:t xml:space="preserve">pojawiła się w polskim systemie prawnym po raz pierwszy w 2016 r. (ustawa o odnawialnych źródłach energii). </w:t>
      </w:r>
      <w:r w:rsidR="00857C13">
        <w:t xml:space="preserve">W dalszej kolejności wprowadzony został </w:t>
      </w:r>
      <w:r w:rsidR="00857C13" w:rsidRPr="00857C13">
        <w:rPr>
          <w:b/>
          <w:bCs/>
        </w:rPr>
        <w:t>prosument zbiorowy</w:t>
      </w:r>
      <w:r w:rsidR="00857C13">
        <w:t xml:space="preserve"> </w:t>
      </w:r>
      <w:r w:rsidR="00857C13" w:rsidRPr="00857C13">
        <w:rPr>
          <w:b/>
          <w:bCs/>
        </w:rPr>
        <w:t>i lokatorski</w:t>
      </w:r>
      <w:r w:rsidR="00857C13">
        <w:t xml:space="preserve">, co umożliwiło włączenie do systemu mieszkańców budynków wielorodzinnych. Poza nimi </w:t>
      </w:r>
      <w:r w:rsidR="0021070C">
        <w:t>będzie również funkcjonował</w:t>
      </w:r>
      <w:r w:rsidR="00857C13">
        <w:t xml:space="preserve"> tzw. </w:t>
      </w:r>
      <w:r w:rsidR="00857C13" w:rsidRPr="00665822">
        <w:rPr>
          <w:b/>
          <w:bCs/>
        </w:rPr>
        <w:t>prosument wirtualny</w:t>
      </w:r>
      <w:r w:rsidR="00857C13">
        <w:t xml:space="preserve">, </w:t>
      </w:r>
      <w:r w:rsidR="0021070C">
        <w:t>umożliwi</w:t>
      </w:r>
      <w:r w:rsidR="00857C13">
        <w:t xml:space="preserve"> posiadanie własnej mikroinstalacji osobom, które nie mają na nią miejsca w swoim gospodarstwie.</w:t>
      </w:r>
    </w:p>
    <w:p w14:paraId="777016A6" w14:textId="2C967CC5" w:rsidR="0068127F" w:rsidRDefault="006421E0" w:rsidP="0068127F">
      <w:r>
        <w:t xml:space="preserve">Na koniec 2023 r. w Polsce energię na własne potrzeby wytwarzało </w:t>
      </w:r>
      <w:r w:rsidR="00E30DFC">
        <w:t>blisko 1,4</w:t>
      </w:r>
      <w:r>
        <w:t xml:space="preserve"> </w:t>
      </w:r>
      <w:r w:rsidR="004324FC">
        <w:t>mln</w:t>
      </w:r>
      <w:r>
        <w:t xml:space="preserve"> prosumentów</w:t>
      </w:r>
      <w:r w:rsidR="00E30DFC">
        <w:t xml:space="preserve"> energii odnawialnej, w oparciu o ok. 10,7 GW za</w:t>
      </w:r>
      <w:r w:rsidR="004324FC">
        <w:t>i</w:t>
      </w:r>
      <w:r w:rsidR="00E30DFC">
        <w:t>nstalow</w:t>
      </w:r>
      <w:r w:rsidR="004324FC">
        <w:t>an</w:t>
      </w:r>
      <w:r w:rsidR="00E30DFC">
        <w:t xml:space="preserve">ych niemal wyłącznie w </w:t>
      </w:r>
      <w:r w:rsidR="004324FC">
        <w:t>mikroinstalacjach</w:t>
      </w:r>
      <w:r w:rsidR="00E30DFC">
        <w:t xml:space="preserve"> </w:t>
      </w:r>
      <w:r w:rsidR="004324FC">
        <w:t>fotowoltaicznych</w:t>
      </w:r>
      <w:r>
        <w:rPr>
          <w:rStyle w:val="Odwoanieprzypisudolnego"/>
        </w:rPr>
        <w:footnoteReference w:id="84"/>
      </w:r>
      <w:r>
        <w:t>.</w:t>
      </w:r>
      <w:r w:rsidR="004324FC" w:rsidRPr="004324FC">
        <w:t xml:space="preserve"> </w:t>
      </w:r>
      <w:r w:rsidR="004324FC">
        <w:t>Szczególnie dynamiczny rozwój miał miejsce w latach 2019–2022, kiedy na krajowym rynku energii działalność rozpoczęło ponad 1 mln nowych prosumentów.</w:t>
      </w:r>
      <w:r w:rsidR="00DC01D8">
        <w:t xml:space="preserve"> </w:t>
      </w:r>
    </w:p>
    <w:p w14:paraId="34F3A85B" w14:textId="605C1694" w:rsidR="004324FC" w:rsidRDefault="006402F1" w:rsidP="0068127F">
      <w:r>
        <w:t xml:space="preserve">Niezwykle dynamiczny rozwój energetyki prosumenckiej wymagał zmiany systemu rozliczania prosumentów, tak aby zapewnić </w:t>
      </w:r>
      <w:r w:rsidRPr="006402F1">
        <w:t xml:space="preserve">stabilny rozwój energetyki rozproszonej </w:t>
      </w:r>
      <w:r>
        <w:t xml:space="preserve">oraz sprawiedliwy podział kosztów </w:t>
      </w:r>
      <w:r w:rsidRPr="006402F1">
        <w:t xml:space="preserve">utrzymania przez wszystkich uczestników rynku energii oraz </w:t>
      </w:r>
      <w:r>
        <w:t xml:space="preserve">by zapewnić adekwatne </w:t>
      </w:r>
      <w:r w:rsidRPr="006402F1">
        <w:t>korzyści po stronie prosumentów</w:t>
      </w:r>
      <w:r>
        <w:t>.</w:t>
      </w:r>
      <w:r w:rsidRPr="006402F1">
        <w:t xml:space="preserve"> </w:t>
      </w:r>
      <w:r>
        <w:t>W związku z tym o</w:t>
      </w:r>
      <w:r w:rsidR="004324FC">
        <w:t xml:space="preserve">d </w:t>
      </w:r>
      <w:r w:rsidR="0021070C">
        <w:t xml:space="preserve">kwietnia </w:t>
      </w:r>
      <w:r w:rsidR="004324FC">
        <w:t xml:space="preserve">2022 r. energia wprowadzona przez prosumentów do sieci elektroenergetycznej i z niej pobrana jest rozliczana w ramach </w:t>
      </w:r>
      <w:r w:rsidR="004324FC" w:rsidRPr="004324FC">
        <w:rPr>
          <w:b/>
          <w:bCs/>
        </w:rPr>
        <w:t>wartościowego</w:t>
      </w:r>
      <w:r w:rsidR="004324FC">
        <w:t xml:space="preserve"> </w:t>
      </w:r>
      <w:r w:rsidR="004324FC" w:rsidRPr="004324FC">
        <w:rPr>
          <w:b/>
          <w:bCs/>
        </w:rPr>
        <w:t>systemu net-billing</w:t>
      </w:r>
      <w:r w:rsidR="004324FC">
        <w:t xml:space="preserve"> (wcześniej net-metering)</w:t>
      </w:r>
      <w:r>
        <w:t xml:space="preserve">. Potrzeba zmiany systemu wynikała także z konieczności implementacji tego rozwiązania do polskiego systemu prawnego zgodnie z dyrektywą </w:t>
      </w:r>
      <w:r w:rsidR="00E92839">
        <w:t xml:space="preserve">UE </w:t>
      </w:r>
      <w:r>
        <w:t>2019/9414 w sprawie wspólnych zasad rynku wewnętrznego energii elektrycznej.</w:t>
      </w:r>
    </w:p>
    <w:p w14:paraId="4864C5DD" w14:textId="6A3FFC0D" w:rsidR="005C5DF0" w:rsidRDefault="005C5DF0" w:rsidP="0068127F">
      <w:r w:rsidRPr="005C5DF0">
        <w:t xml:space="preserve">Tak jak w przypadku wielkoskalowych źródeł OZE, tak i dla mikroinstalacji, wąskim gardłem </w:t>
      </w:r>
      <w:r w:rsidR="00B65DEF">
        <w:t>wpływającym na tempo ich</w:t>
      </w:r>
      <w:r w:rsidR="00B65DEF" w:rsidRPr="005C5DF0">
        <w:t xml:space="preserve"> </w:t>
      </w:r>
      <w:r w:rsidRPr="005C5DF0">
        <w:t xml:space="preserve">rozwoju są sieci elektroenergetyczne – kolejno przesyłowe i dystrybucyjne. </w:t>
      </w:r>
      <w:r w:rsidR="00DC01D8">
        <w:t xml:space="preserve">Dlatego dalszy </w:t>
      </w:r>
      <w:r w:rsidRPr="005C5DF0">
        <w:t>rozw</w:t>
      </w:r>
      <w:r w:rsidR="00DC01D8">
        <w:t>ój</w:t>
      </w:r>
      <w:r w:rsidRPr="005C5DF0">
        <w:t xml:space="preserve"> tego segmentu rynku jest ściśle powiązane z inwestycjami w sieci oraz zwiększeniem możliwości magazynowania energii</w:t>
      </w:r>
      <w:r w:rsidR="00DC01D8">
        <w:t xml:space="preserve">. </w:t>
      </w:r>
      <w:r w:rsidR="00ED63E6">
        <w:t>Sprzężenie m</w:t>
      </w:r>
      <w:r w:rsidR="00DC01D8">
        <w:t>agazyn</w:t>
      </w:r>
      <w:r w:rsidR="00ED63E6">
        <w:t>ów z instalacjami wytwórczymi pozwala na to, by możliwe było przyłączanie większej liczby prosumentów, ale bez istotnego negatywnego wpływu na zarządzenie pracą sieci – zarówno w okresach dużej produkcji energii z OZE, jak i w okresach niskiej generacji</w:t>
      </w:r>
      <w:r w:rsidR="00ED63E6">
        <w:rPr>
          <w:rStyle w:val="Odwoanieprzypisudolnego"/>
        </w:rPr>
        <w:footnoteReference w:id="85"/>
      </w:r>
      <w:r w:rsidR="00ED63E6">
        <w:t xml:space="preserve">. </w:t>
      </w:r>
      <w:r w:rsidR="009805EB">
        <w:t>Znaczenie dla rozwoju prosumeryzmu będzie mieć także wdrażanie dyrektywy RED III (art. 16–16e) w obszarze uproszczeń administracyjnych, choć będzie to wyzwanie organizacyjne.</w:t>
      </w:r>
    </w:p>
    <w:p w14:paraId="3AFF8723" w14:textId="4EB4EB7A" w:rsidR="00647F2A" w:rsidRPr="00B377B2" w:rsidRDefault="00E92839" w:rsidP="00647F2A">
      <w:pPr>
        <w:pStyle w:val="Cele"/>
      </w:pPr>
      <w:r>
        <w:rPr>
          <w:b/>
          <w:bCs/>
        </w:rPr>
        <w:t>Ocenia</w:t>
      </w:r>
      <w:r w:rsidR="0068127F">
        <w:rPr>
          <w:b/>
          <w:bCs/>
        </w:rPr>
        <w:t xml:space="preserve"> się, że</w:t>
      </w:r>
      <w:r w:rsidR="00647F2A" w:rsidRPr="0068127F">
        <w:rPr>
          <w:b/>
          <w:bCs/>
        </w:rPr>
        <w:t xml:space="preserve"> w 2030 r. </w:t>
      </w:r>
      <w:r w:rsidR="0068127F" w:rsidRPr="0068127F">
        <w:rPr>
          <w:b/>
          <w:bCs/>
        </w:rPr>
        <w:t>w Polsce może funkcjonować ok. 2 mln prosumentów</w:t>
      </w:r>
      <w:r w:rsidR="0068127F">
        <w:t xml:space="preserve">. </w:t>
      </w:r>
      <w:r w:rsidR="00647F2A" w:rsidRPr="00080BA7">
        <w:rPr>
          <w:i/>
          <w:iCs/>
        </w:rPr>
        <w:t>[szacunki nie mają charakteru celu]</w:t>
      </w:r>
    </w:p>
    <w:p w14:paraId="4F67075C" w14:textId="77777777" w:rsidR="00647F2A" w:rsidRDefault="00647F2A" w:rsidP="00DC01D8">
      <w:pPr>
        <w:pStyle w:val="Polityka"/>
      </w:pPr>
      <w:r w:rsidRPr="00C46DAA">
        <w:t>POLITYKA</w:t>
      </w:r>
    </w:p>
    <w:p w14:paraId="0C80A9ED" w14:textId="7116DC8A" w:rsidR="00647F2A" w:rsidRDefault="00DC01D8" w:rsidP="00647F2A">
      <w:r>
        <w:t xml:space="preserve">Nadal wspierany będzie rozwój energetyki prosumenckiej poprzez </w:t>
      </w:r>
      <w:r w:rsidRPr="00DC01D8">
        <w:t xml:space="preserve">rozwijanie programów dofinansowujących </w:t>
      </w:r>
      <w:r w:rsidRPr="00857C13">
        <w:rPr>
          <w:b/>
          <w:bCs/>
        </w:rPr>
        <w:t>mikroinstalacje fotowoltaiczne, ale wraz z magazynami energii</w:t>
      </w:r>
      <w:r w:rsidR="00857C13">
        <w:t>.</w:t>
      </w:r>
    </w:p>
    <w:p w14:paraId="4CC62CC1" w14:textId="497953BD" w:rsidR="00857C13" w:rsidRDefault="00857C13" w:rsidP="00647F2A">
      <w:r w:rsidRPr="00857C13">
        <w:t xml:space="preserve">Pożądanym kierunkiem zmian w rozwoju energetyki prosumenckiej jest uczynienie z prosumentów </w:t>
      </w:r>
      <w:r w:rsidRPr="002C5C76">
        <w:rPr>
          <w:b/>
          <w:bCs/>
        </w:rPr>
        <w:t>świadomych</w:t>
      </w:r>
      <w:r w:rsidRPr="00857C13">
        <w:t xml:space="preserve"> uczestników rynku</w:t>
      </w:r>
      <w:r>
        <w:t xml:space="preserve">, co jest warunkiem </w:t>
      </w:r>
      <w:r w:rsidRPr="00857C13">
        <w:t>dalsz</w:t>
      </w:r>
      <w:r>
        <w:t>ego</w:t>
      </w:r>
      <w:r w:rsidRPr="00857C13">
        <w:t xml:space="preserve"> dynamiczn</w:t>
      </w:r>
      <w:r>
        <w:t>ego</w:t>
      </w:r>
      <w:r w:rsidRPr="00857C13">
        <w:t xml:space="preserve"> rozw</w:t>
      </w:r>
      <w:r>
        <w:t>oju energetyki prosume</w:t>
      </w:r>
      <w:r w:rsidR="00527FE6">
        <w:t>n</w:t>
      </w:r>
      <w:r>
        <w:t>ckiej</w:t>
      </w:r>
      <w:r w:rsidRPr="00857C13">
        <w:t>. Z wykorzystaniem magazynów energii będą oni odpowiednio zarządzać swoim popytem (DSR), aby w jak największym stopniu konsumować energię z własnej instalacji</w:t>
      </w:r>
      <w:r>
        <w:t xml:space="preserve"> – </w:t>
      </w:r>
      <w:r w:rsidRPr="00857C13">
        <w:t>co w efekcie będzie odciążało sieci dystrybucyjne</w:t>
      </w:r>
      <w:r>
        <w:t xml:space="preserve">. </w:t>
      </w:r>
      <w:r w:rsidR="002C5C76">
        <w:t xml:space="preserve">Dużym wsparciem dla prosumentów w tym obszarze będzie rozwój </w:t>
      </w:r>
      <w:r w:rsidR="002C5C76" w:rsidRPr="002C5C76">
        <w:rPr>
          <w:b/>
          <w:bCs/>
        </w:rPr>
        <w:t>inteligentnych sieci</w:t>
      </w:r>
      <w:r w:rsidR="002C5C76">
        <w:t>. Ma to p</w:t>
      </w:r>
      <w:r>
        <w:t>ozwoli</w:t>
      </w:r>
      <w:r w:rsidR="002C5C76">
        <w:t>ć</w:t>
      </w:r>
      <w:r>
        <w:t xml:space="preserve"> także na zredukowanie potrzeb budowy dodatkowych mocy rezerwowych oraz wymuszania istotnego ograniczania pracy innych jednostek wytwórczych. </w:t>
      </w:r>
    </w:p>
    <w:p w14:paraId="31DEE70C" w14:textId="794504C5" w:rsidR="00857C13" w:rsidRDefault="00857C13" w:rsidP="00647F2A">
      <w:r w:rsidRPr="00857C13">
        <w:t xml:space="preserve">Zachętą ekonomiczną do takich działań będzie </w:t>
      </w:r>
      <w:r w:rsidRPr="00857C13">
        <w:rPr>
          <w:b/>
          <w:bCs/>
        </w:rPr>
        <w:t>rozliczenie po cenach godzinowych</w:t>
      </w:r>
      <w:r w:rsidRPr="00857C13">
        <w:t xml:space="preserve">, które w naturalny sposób premiować będzie możliwie najwyższy poziom </w:t>
      </w:r>
      <w:r w:rsidRPr="00857C13">
        <w:rPr>
          <w:b/>
          <w:bCs/>
        </w:rPr>
        <w:t>autokonsumpcji oraz wprowadzenie energii do sieci w czasie, gdy jest na nią większe zapotrzebowanie</w:t>
      </w:r>
      <w:r w:rsidRPr="00857C13">
        <w:t>, wspomagając tym samym bilansowanie systemu elektroenergetycznego.</w:t>
      </w:r>
      <w:r w:rsidR="002C5C76">
        <w:t xml:space="preserve"> </w:t>
      </w:r>
    </w:p>
    <w:p w14:paraId="7E323508" w14:textId="659DA563" w:rsidR="0099039E" w:rsidRDefault="0099039E" w:rsidP="00647F2A">
      <w:r>
        <w:t xml:space="preserve">Polityka regulacyjna i wsparcie finansowe będą ukierunkowane również </w:t>
      </w:r>
      <w:r w:rsidR="00B65DEF">
        <w:t xml:space="preserve">na </w:t>
      </w:r>
      <w:r w:rsidRPr="0099039E">
        <w:rPr>
          <w:b/>
          <w:bCs/>
        </w:rPr>
        <w:t>działania operatorów sieci dystrybucyjnych mające na celu rozbudowę i modernizację sieci</w:t>
      </w:r>
      <w:r>
        <w:t xml:space="preserve">, tak aby były lepiej przystosowane do rosnącego udziału prosumentów w rynku. Rosnąca moc zainstalowana i ilość mikroinstalacji zmienia charakterystykę pracy systemu na generację rozproszoną, co wymaga zastosowania nowych rozwiązań i pracy sieci w trybie dwukierunkowym.  </w:t>
      </w:r>
    </w:p>
    <w:p w14:paraId="594CD3AB" w14:textId="4900BEB7" w:rsidR="00B65DEF" w:rsidRDefault="00B65DEF" w:rsidP="00647F2A">
      <w:r w:rsidRPr="00FA3BDC">
        <w:t xml:space="preserve">Dużym wsparciem dla podmiotów zainteresowanych inwestycjami </w:t>
      </w:r>
      <w:r>
        <w:t xml:space="preserve">OZE </w:t>
      </w:r>
      <w:r w:rsidRPr="00FA3BDC">
        <w:t xml:space="preserve">będzie uruchomienie </w:t>
      </w:r>
      <w:r w:rsidRPr="00B65DEF">
        <w:rPr>
          <w:b/>
          <w:bCs/>
        </w:rPr>
        <w:t>Krajowego Punktu Kontaktowego ds. OZE</w:t>
      </w:r>
      <w:r w:rsidR="00755335">
        <w:t xml:space="preserve"> (KPK OZE)</w:t>
      </w:r>
      <w:r w:rsidR="00755335" w:rsidRPr="00FA3BDC">
        <w:t xml:space="preserve">. </w:t>
      </w:r>
      <w:r w:rsidR="00755335">
        <w:t xml:space="preserve">Punkt będzie </w:t>
      </w:r>
      <w:r w:rsidR="00755335" w:rsidRPr="00FA3BDC">
        <w:t>działa</w:t>
      </w:r>
      <w:r w:rsidR="00755335">
        <w:t>ł</w:t>
      </w:r>
      <w:r w:rsidR="00755335" w:rsidRPr="00FA3BDC">
        <w:t xml:space="preserve"> w</w:t>
      </w:r>
      <w:r w:rsidR="00755335">
        <w:t> </w:t>
      </w:r>
      <w:r w:rsidR="00755335" w:rsidRPr="00FA3BDC">
        <w:t xml:space="preserve">ramach </w:t>
      </w:r>
      <w:r w:rsidR="00755335">
        <w:t xml:space="preserve">specjalnej </w:t>
      </w:r>
      <w:r w:rsidR="00755335" w:rsidRPr="00FA3BDC">
        <w:t xml:space="preserve">strony internetowej, </w:t>
      </w:r>
      <w:r w:rsidR="00755335">
        <w:t xml:space="preserve">na której </w:t>
      </w:r>
      <w:r w:rsidR="00755335" w:rsidRPr="00FA3BDC">
        <w:t>udostępni</w:t>
      </w:r>
      <w:r w:rsidR="00755335">
        <w:t>ony zostanie</w:t>
      </w:r>
      <w:r w:rsidR="00755335" w:rsidRPr="00FA3BDC">
        <w:t xml:space="preserve"> specjalny podręcznik, który dostarczy inwestorom kompleksowej wiedzy na temat proces</w:t>
      </w:r>
      <w:r w:rsidR="00755335">
        <w:t>ów</w:t>
      </w:r>
      <w:r w:rsidR="00755335" w:rsidRPr="00FA3BDC">
        <w:t xml:space="preserve"> inwestycyjn</w:t>
      </w:r>
      <w:r w:rsidR="00755335">
        <w:t>ych w instalacje OZE</w:t>
      </w:r>
      <w:r w:rsidRPr="00FA3BDC">
        <w:t xml:space="preserve">. Dodatkowo, będzie </w:t>
      </w:r>
      <w:r>
        <w:t xml:space="preserve">umożliwiać </w:t>
      </w:r>
      <w:r w:rsidRPr="00FA3BDC">
        <w:t>zwróc</w:t>
      </w:r>
      <w:r>
        <w:t>enie</w:t>
      </w:r>
      <w:r w:rsidRPr="00FA3BDC">
        <w:t xml:space="preserve"> się do punktu o indywidualną pomoc </w:t>
      </w:r>
      <w:r>
        <w:t>za sprawą</w:t>
      </w:r>
      <w:r w:rsidRPr="00FA3BDC">
        <w:t xml:space="preserve"> formularza kontaktowego.</w:t>
      </w:r>
      <w:r>
        <w:t xml:space="preserve"> KPK OZE przeznaczony będzie głównie dla prosumentów oraz podmiotów nieprofesjonalnych chcących uczestniczyć w rynku OZE.</w:t>
      </w:r>
    </w:p>
    <w:p w14:paraId="3F039096" w14:textId="77777777" w:rsidR="00647F2A" w:rsidRPr="00C46DAA" w:rsidRDefault="00647F2A" w:rsidP="00DC01D8">
      <w:pPr>
        <w:pStyle w:val="Polityka"/>
      </w:pPr>
      <w:r w:rsidRPr="00C46DAA">
        <w:t>DZIAŁANIA</w:t>
      </w:r>
    </w:p>
    <w:p w14:paraId="0D8F71B0" w14:textId="2DA5AC9D" w:rsidR="006F6990" w:rsidRDefault="006F6990" w:rsidP="008340D5">
      <w:pPr>
        <w:pStyle w:val="Akapitzlist"/>
        <w:numPr>
          <w:ilvl w:val="0"/>
          <w:numId w:val="6"/>
        </w:numPr>
        <w:rPr>
          <w:szCs w:val="20"/>
        </w:rPr>
      </w:pPr>
      <w:r>
        <w:rPr>
          <w:szCs w:val="20"/>
        </w:rPr>
        <w:fldChar w:fldCharType="begin"/>
      </w:r>
      <w:r>
        <w:rPr>
          <w:szCs w:val="20"/>
        </w:rPr>
        <w:instrText xml:space="preserve"> REF _Ref159078277 \h </w:instrText>
      </w:r>
      <w:r>
        <w:rPr>
          <w:szCs w:val="20"/>
        </w:rPr>
      </w:r>
      <w:r>
        <w:rPr>
          <w:szCs w:val="20"/>
        </w:rPr>
        <w:fldChar w:fldCharType="separate"/>
      </w:r>
      <w:r w:rsidR="00DD3929" w:rsidRPr="00F12C9E">
        <w:t xml:space="preserve">Działanie </w:t>
      </w:r>
      <w:r w:rsidR="00DD3929">
        <w:rPr>
          <w:noProof/>
        </w:rPr>
        <w:t>2</w:t>
      </w:r>
      <w:r w:rsidR="00DD3929" w:rsidRPr="00F12C9E">
        <w:t>.</w:t>
      </w:r>
      <w:r w:rsidR="00DD3929" w:rsidRPr="003248FD">
        <w:t xml:space="preserve"> </w:t>
      </w:r>
      <w:r w:rsidR="00DD3929" w:rsidRPr="00F12C9E">
        <w:t>Instrument finansowy – obowiązek zakupu energii elektrycznej wytwarzanej w</w:t>
      </w:r>
      <w:r w:rsidR="00DD3929">
        <w:t> </w:t>
      </w:r>
      <w:r w:rsidR="00DD3929" w:rsidRPr="00F12C9E">
        <w:t>instalacjach OZE</w:t>
      </w:r>
      <w:r w:rsidR="00DD3929">
        <w:t xml:space="preserve"> (z określonym progiem mocy)</w:t>
      </w:r>
      <w:r w:rsidR="00DD3929" w:rsidRPr="00F12C9E">
        <w:t>.</w:t>
      </w:r>
      <w:r>
        <w:rPr>
          <w:szCs w:val="20"/>
        </w:rPr>
        <w:fldChar w:fldCharType="end"/>
      </w:r>
    </w:p>
    <w:p w14:paraId="1A9A8D63" w14:textId="0A8DDA24" w:rsidR="006F6990" w:rsidRDefault="006F6990" w:rsidP="008340D5">
      <w:pPr>
        <w:pStyle w:val="Akapitzlist"/>
        <w:numPr>
          <w:ilvl w:val="0"/>
          <w:numId w:val="6"/>
        </w:numPr>
        <w:rPr>
          <w:szCs w:val="20"/>
        </w:rPr>
      </w:pPr>
      <w:r>
        <w:rPr>
          <w:szCs w:val="20"/>
        </w:rPr>
        <w:fldChar w:fldCharType="begin"/>
      </w:r>
      <w:r>
        <w:rPr>
          <w:szCs w:val="20"/>
        </w:rPr>
        <w:instrText xml:space="preserve"> REF _Ref157420175 \h </w:instrText>
      </w:r>
      <w:r>
        <w:rPr>
          <w:szCs w:val="20"/>
        </w:rPr>
      </w:r>
      <w:r>
        <w:rPr>
          <w:szCs w:val="20"/>
        </w:rPr>
        <w:fldChar w:fldCharType="separate"/>
      </w:r>
      <w:r w:rsidR="00DD3929" w:rsidRPr="00F12C9E">
        <w:t xml:space="preserve">Działanie </w:t>
      </w:r>
      <w:r w:rsidR="00DD3929">
        <w:rPr>
          <w:noProof/>
        </w:rPr>
        <w:t>11</w:t>
      </w:r>
      <w:r w:rsidR="00DD3929" w:rsidRPr="00F12C9E">
        <w:t xml:space="preserve">. Instrument finansowy – Program Priorytetowy NFOŚiGW – </w:t>
      </w:r>
      <w:r w:rsidR="00DD3929">
        <w:t>„</w:t>
      </w:r>
      <w:r w:rsidR="00DD3929" w:rsidRPr="00F12C9E">
        <w:t>Mój Prąd</w:t>
      </w:r>
      <w:r w:rsidR="00DD3929">
        <w:t>”</w:t>
      </w:r>
      <w:r w:rsidR="00DD3929" w:rsidRPr="00F12C9E">
        <w:t>.</w:t>
      </w:r>
      <w:r>
        <w:rPr>
          <w:szCs w:val="20"/>
        </w:rPr>
        <w:fldChar w:fldCharType="end"/>
      </w:r>
    </w:p>
    <w:p w14:paraId="7504F6BA" w14:textId="7C17A90C" w:rsidR="006F6990" w:rsidRDefault="006F6990" w:rsidP="008340D5">
      <w:pPr>
        <w:pStyle w:val="Akapitzlist"/>
        <w:numPr>
          <w:ilvl w:val="0"/>
          <w:numId w:val="6"/>
        </w:numPr>
        <w:rPr>
          <w:szCs w:val="20"/>
        </w:rPr>
      </w:pPr>
      <w:r>
        <w:rPr>
          <w:szCs w:val="20"/>
        </w:rPr>
        <w:fldChar w:fldCharType="begin"/>
      </w:r>
      <w:r>
        <w:rPr>
          <w:szCs w:val="20"/>
        </w:rPr>
        <w:instrText xml:space="preserve"> REF _Ref157420182 \h </w:instrText>
      </w:r>
      <w:r>
        <w:rPr>
          <w:szCs w:val="20"/>
        </w:rPr>
      </w:r>
      <w:r>
        <w:rPr>
          <w:szCs w:val="20"/>
        </w:rPr>
        <w:fldChar w:fldCharType="separate"/>
      </w:r>
      <w:r w:rsidR="00DD3929" w:rsidRPr="00F12C9E">
        <w:t xml:space="preserve">Działanie </w:t>
      </w:r>
      <w:r w:rsidR="00DD3929">
        <w:rPr>
          <w:noProof/>
        </w:rPr>
        <w:t>12</w:t>
      </w:r>
      <w:r w:rsidR="00DD3929" w:rsidRPr="00F12C9E">
        <w:t xml:space="preserve">. Instrument finansowy – Program Priorytetowy NFOŚiGW – </w:t>
      </w:r>
      <w:r w:rsidR="00DD3929">
        <w:t>„</w:t>
      </w:r>
      <w:r w:rsidR="00DD3929" w:rsidRPr="00F12C9E">
        <w:t>Energia Plus</w:t>
      </w:r>
      <w:r w:rsidR="00DD3929">
        <w:t>”</w:t>
      </w:r>
      <w:r w:rsidR="00DD3929" w:rsidRPr="00F12C9E">
        <w:t>.</w:t>
      </w:r>
      <w:r>
        <w:rPr>
          <w:szCs w:val="20"/>
        </w:rPr>
        <w:fldChar w:fldCharType="end"/>
      </w:r>
    </w:p>
    <w:p w14:paraId="7AEBB0FA" w14:textId="3C024EB7" w:rsidR="006F6990" w:rsidRDefault="006F6990" w:rsidP="008340D5">
      <w:pPr>
        <w:pStyle w:val="Akapitzlist"/>
        <w:numPr>
          <w:ilvl w:val="0"/>
          <w:numId w:val="6"/>
        </w:numPr>
        <w:rPr>
          <w:szCs w:val="20"/>
        </w:rPr>
      </w:pPr>
      <w:r>
        <w:rPr>
          <w:szCs w:val="20"/>
        </w:rPr>
        <w:fldChar w:fldCharType="begin"/>
      </w:r>
      <w:r>
        <w:rPr>
          <w:szCs w:val="20"/>
        </w:rPr>
        <w:instrText xml:space="preserve"> REF _Ref157420357 \h </w:instrText>
      </w:r>
      <w:r>
        <w:rPr>
          <w:szCs w:val="20"/>
        </w:rPr>
      </w:r>
      <w:r>
        <w:rPr>
          <w:szCs w:val="20"/>
        </w:rPr>
        <w:fldChar w:fldCharType="separate"/>
      </w:r>
      <w:r w:rsidR="00DD3929" w:rsidRPr="00F12C9E">
        <w:t xml:space="preserve">Działanie </w:t>
      </w:r>
      <w:r w:rsidR="00DD3929">
        <w:rPr>
          <w:noProof/>
        </w:rPr>
        <w:t>16</w:t>
      </w:r>
      <w:r w:rsidR="00DD3929" w:rsidRPr="00F12C9E">
        <w:t>. Instrument finansowy – Program Priorytetowy NFOŚiGW – „Agroenergia</w:t>
      </w:r>
      <w:r w:rsidR="00DD3929">
        <w:t>”</w:t>
      </w:r>
      <w:r w:rsidR="00DD3929" w:rsidRPr="00F12C9E">
        <w:t>.</w:t>
      </w:r>
      <w:r>
        <w:rPr>
          <w:szCs w:val="20"/>
        </w:rPr>
        <w:fldChar w:fldCharType="end"/>
      </w:r>
    </w:p>
    <w:p w14:paraId="386AD258" w14:textId="0C86AC0D" w:rsidR="006F6990" w:rsidRDefault="006F6990" w:rsidP="008340D5">
      <w:pPr>
        <w:pStyle w:val="Akapitzlist"/>
        <w:numPr>
          <w:ilvl w:val="0"/>
          <w:numId w:val="6"/>
        </w:numPr>
        <w:rPr>
          <w:szCs w:val="20"/>
        </w:rPr>
      </w:pPr>
      <w:r>
        <w:rPr>
          <w:szCs w:val="20"/>
        </w:rPr>
        <w:fldChar w:fldCharType="begin"/>
      </w:r>
      <w:r>
        <w:rPr>
          <w:szCs w:val="20"/>
        </w:rPr>
        <w:instrText xml:space="preserve"> REF _Ref157420961 \h </w:instrText>
      </w:r>
      <w:r>
        <w:rPr>
          <w:szCs w:val="20"/>
        </w:rPr>
      </w:r>
      <w:r>
        <w:rPr>
          <w:szCs w:val="20"/>
        </w:rPr>
        <w:fldChar w:fldCharType="separate"/>
      </w:r>
      <w:r w:rsidR="00DD3929" w:rsidRPr="00F12C9E">
        <w:t xml:space="preserve">Działanie </w:t>
      </w:r>
      <w:r w:rsidR="00DD3929">
        <w:rPr>
          <w:noProof/>
        </w:rPr>
        <w:t>17</w:t>
      </w:r>
      <w:r w:rsidR="00DD3929" w:rsidRPr="00F12C9E">
        <w:t>. Instrument finansowy – inne programy NFOŚiGW wspierające rozwój OZE.</w:t>
      </w:r>
      <w:r>
        <w:rPr>
          <w:szCs w:val="20"/>
        </w:rPr>
        <w:fldChar w:fldCharType="end"/>
      </w:r>
    </w:p>
    <w:p w14:paraId="75AC92EC" w14:textId="54CFC023" w:rsidR="006F6990" w:rsidRDefault="006F6990" w:rsidP="008340D5">
      <w:pPr>
        <w:pStyle w:val="Akapitzlist"/>
        <w:numPr>
          <w:ilvl w:val="0"/>
          <w:numId w:val="6"/>
        </w:numPr>
        <w:rPr>
          <w:szCs w:val="20"/>
        </w:rPr>
      </w:pPr>
      <w:r>
        <w:rPr>
          <w:szCs w:val="20"/>
        </w:rPr>
        <w:fldChar w:fldCharType="begin"/>
      </w:r>
      <w:r>
        <w:rPr>
          <w:szCs w:val="20"/>
        </w:rPr>
        <w:instrText xml:space="preserve"> REF _Ref157421165 \h </w:instrText>
      </w:r>
      <w:r>
        <w:rPr>
          <w:szCs w:val="20"/>
        </w:rPr>
      </w:r>
      <w:r>
        <w:rPr>
          <w:szCs w:val="20"/>
        </w:rPr>
        <w:fldChar w:fldCharType="separate"/>
      </w:r>
      <w:r w:rsidR="00DD3929" w:rsidRPr="00F12C9E">
        <w:t xml:space="preserve">Działanie </w:t>
      </w:r>
      <w:r w:rsidR="00DD3929">
        <w:rPr>
          <w:noProof/>
        </w:rPr>
        <w:t>18</w:t>
      </w:r>
      <w:r w:rsidR="00DD3929" w:rsidRPr="00F12C9E">
        <w:t xml:space="preserve">. Instrument finansowy – </w:t>
      </w:r>
      <w:r w:rsidR="00DD3929">
        <w:t>i</w:t>
      </w:r>
      <w:r w:rsidR="00DD3929" w:rsidRPr="00F12C9E">
        <w:t>nne instrumenty wspierające rozwój OZE.</w:t>
      </w:r>
      <w:r>
        <w:rPr>
          <w:szCs w:val="20"/>
        </w:rPr>
        <w:fldChar w:fldCharType="end"/>
      </w:r>
    </w:p>
    <w:p w14:paraId="5086E9C7" w14:textId="2A8D5499" w:rsidR="00B65DEF" w:rsidRDefault="00B65DEF" w:rsidP="008340D5">
      <w:pPr>
        <w:pStyle w:val="Akapitzlist"/>
        <w:numPr>
          <w:ilvl w:val="0"/>
          <w:numId w:val="6"/>
        </w:numPr>
        <w:rPr>
          <w:szCs w:val="20"/>
        </w:rPr>
      </w:pPr>
      <w:r>
        <w:rPr>
          <w:szCs w:val="20"/>
        </w:rPr>
        <w:fldChar w:fldCharType="begin"/>
      </w:r>
      <w:r>
        <w:rPr>
          <w:szCs w:val="20"/>
        </w:rPr>
        <w:instrText xml:space="preserve"> REF _Ref159078615 </w:instrText>
      </w:r>
      <w:r>
        <w:rPr>
          <w:szCs w:val="20"/>
        </w:rPr>
        <w:fldChar w:fldCharType="separate"/>
      </w:r>
      <w:r w:rsidR="00DD3929" w:rsidRPr="00F12C9E">
        <w:t xml:space="preserve">Działanie </w:t>
      </w:r>
      <w:r w:rsidR="00DD3929">
        <w:rPr>
          <w:noProof/>
        </w:rPr>
        <w:t>19</w:t>
      </w:r>
      <w:r w:rsidR="00DD3929" w:rsidRPr="00F12C9E">
        <w:t>.</w:t>
      </w:r>
      <w:r w:rsidR="00DD3929">
        <w:t xml:space="preserve"> Krajowy Punkt Kontaktowy do spraw odnawialnych źródeł energii.</w:t>
      </w:r>
      <w:r>
        <w:rPr>
          <w:szCs w:val="20"/>
        </w:rPr>
        <w:fldChar w:fldCharType="end"/>
      </w:r>
      <w:r>
        <w:rPr>
          <w:szCs w:val="20"/>
        </w:rPr>
        <w:t xml:space="preserve"> </w:t>
      </w:r>
    </w:p>
    <w:p w14:paraId="5702AC06" w14:textId="7EA146CC" w:rsidR="00B65DEF" w:rsidRDefault="00B65DEF" w:rsidP="008340D5">
      <w:pPr>
        <w:pStyle w:val="Akapitzlist"/>
        <w:numPr>
          <w:ilvl w:val="0"/>
          <w:numId w:val="6"/>
        </w:numPr>
        <w:rPr>
          <w:szCs w:val="20"/>
        </w:rPr>
      </w:pPr>
      <w:r>
        <w:rPr>
          <w:szCs w:val="20"/>
        </w:rPr>
        <w:fldChar w:fldCharType="begin"/>
      </w:r>
      <w:r>
        <w:rPr>
          <w:szCs w:val="20"/>
        </w:rPr>
        <w:instrText xml:space="preserve"> REF _Ref175558287 </w:instrText>
      </w:r>
      <w:r>
        <w:rPr>
          <w:szCs w:val="20"/>
        </w:rPr>
        <w:fldChar w:fldCharType="separate"/>
      </w:r>
      <w:r w:rsidR="00DD3929">
        <w:t xml:space="preserve">Działanie </w:t>
      </w:r>
      <w:r w:rsidR="00DD3929">
        <w:rPr>
          <w:noProof/>
        </w:rPr>
        <w:t>20</w:t>
      </w:r>
      <w:r w:rsidR="00DD3929">
        <w:t>. Zapewnienie możliwości funkcjonowania obszarów przyspieszonego rozwoju OZE.</w:t>
      </w:r>
      <w:r>
        <w:rPr>
          <w:szCs w:val="20"/>
        </w:rPr>
        <w:fldChar w:fldCharType="end"/>
      </w:r>
    </w:p>
    <w:p w14:paraId="3683E379" w14:textId="51A48E02" w:rsidR="006F6990" w:rsidRDefault="006F6990" w:rsidP="008340D5">
      <w:pPr>
        <w:pStyle w:val="Akapitzlist"/>
        <w:numPr>
          <w:ilvl w:val="0"/>
          <w:numId w:val="6"/>
        </w:numPr>
        <w:rPr>
          <w:szCs w:val="20"/>
        </w:rPr>
      </w:pPr>
      <w:r>
        <w:rPr>
          <w:szCs w:val="20"/>
        </w:rPr>
        <w:fldChar w:fldCharType="begin"/>
      </w:r>
      <w:r>
        <w:rPr>
          <w:szCs w:val="20"/>
        </w:rPr>
        <w:instrText xml:space="preserve"> REF _Ref157420374 \h </w:instrText>
      </w:r>
      <w:r>
        <w:rPr>
          <w:szCs w:val="20"/>
        </w:rPr>
      </w:r>
      <w:r>
        <w:rPr>
          <w:szCs w:val="20"/>
        </w:rPr>
        <w:fldChar w:fldCharType="separate"/>
      </w:r>
      <w:r w:rsidR="00DD3929" w:rsidRPr="00F12C9E">
        <w:t xml:space="preserve">Działanie </w:t>
      </w:r>
      <w:r w:rsidR="00DD3929">
        <w:rPr>
          <w:noProof/>
        </w:rPr>
        <w:t>23</w:t>
      </w:r>
      <w:r w:rsidR="00DD3929" w:rsidRPr="00F12C9E">
        <w:t>. Instrument finansowy – Program Priorytetowy NFOŚiGW – „Czyste Powietrze</w:t>
      </w:r>
      <w:r w:rsidR="00DD3929">
        <w:t>”</w:t>
      </w:r>
      <w:r w:rsidR="00DD3929" w:rsidRPr="00F12C9E">
        <w:t>.</w:t>
      </w:r>
      <w:r>
        <w:rPr>
          <w:szCs w:val="20"/>
        </w:rPr>
        <w:fldChar w:fldCharType="end"/>
      </w:r>
    </w:p>
    <w:p w14:paraId="134D550D" w14:textId="2A5BCB7F" w:rsidR="006F6990" w:rsidRDefault="006F6990" w:rsidP="008340D5">
      <w:pPr>
        <w:pStyle w:val="Akapitzlist"/>
        <w:numPr>
          <w:ilvl w:val="0"/>
          <w:numId w:val="6"/>
        </w:numPr>
        <w:rPr>
          <w:szCs w:val="20"/>
        </w:rPr>
      </w:pPr>
      <w:r>
        <w:rPr>
          <w:szCs w:val="20"/>
        </w:rPr>
        <w:fldChar w:fldCharType="begin"/>
      </w:r>
      <w:r>
        <w:rPr>
          <w:szCs w:val="20"/>
        </w:rPr>
        <w:instrText xml:space="preserve"> REF _Ref157421134 \h </w:instrText>
      </w:r>
      <w:r>
        <w:rPr>
          <w:szCs w:val="20"/>
        </w:rPr>
      </w:r>
      <w:r>
        <w:rPr>
          <w:szCs w:val="20"/>
        </w:rPr>
        <w:fldChar w:fldCharType="separate"/>
      </w:r>
      <w:r w:rsidR="00DD3929" w:rsidRPr="00F12C9E">
        <w:t xml:space="preserve">Działanie </w:t>
      </w:r>
      <w:r w:rsidR="00DD3929">
        <w:rPr>
          <w:noProof/>
        </w:rPr>
        <w:t>78</w:t>
      </w:r>
      <w:r w:rsidR="00DD3929" w:rsidRPr="00F12C9E">
        <w:t xml:space="preserve">. Instrument finansowy – Program NFOŚiGW </w:t>
      </w:r>
      <w:r w:rsidR="00DD3929">
        <w:t>„</w:t>
      </w:r>
      <w:r w:rsidR="00DD3929" w:rsidRPr="00F12C9E">
        <w:t>Energia dla wsi</w:t>
      </w:r>
      <w:r w:rsidR="00DD3929">
        <w:t>”</w:t>
      </w:r>
      <w:r w:rsidR="00DD3929" w:rsidRPr="00F12C9E">
        <w:t>.</w:t>
      </w:r>
      <w:r>
        <w:rPr>
          <w:szCs w:val="20"/>
        </w:rPr>
        <w:fldChar w:fldCharType="end"/>
      </w:r>
    </w:p>
    <w:p w14:paraId="4CEBB638" w14:textId="3E6953E8" w:rsidR="00DC1AB1" w:rsidRDefault="00DC1AB1" w:rsidP="00DC1AB1">
      <w:pPr>
        <w:pStyle w:val="Nagwek4"/>
        <w:rPr>
          <w:color w:val="FFC000" w:themeColor="accent4"/>
        </w:rPr>
      </w:pPr>
      <w:bookmarkStart w:id="230" w:name="_Toc159598346"/>
      <w:bookmarkStart w:id="231" w:name="_Toc179536996"/>
      <w:r w:rsidRPr="00DC1AB1">
        <w:rPr>
          <w:color w:val="FFC000" w:themeColor="accent4"/>
        </w:rPr>
        <w:t>Rozwój i integracja energetycznych społeczności lokalnych</w:t>
      </w:r>
      <w:bookmarkEnd w:id="230"/>
      <w:bookmarkEnd w:id="231"/>
    </w:p>
    <w:p w14:paraId="0B915AD6" w14:textId="11B22CCC" w:rsidR="00647F2A" w:rsidRDefault="00E55079" w:rsidP="00E55079">
      <w:r w:rsidRPr="00E55079">
        <w:t>Rozwój energetyki obywatelskiej, opartej o wspólnoty lokalne jest jednym z głównych kierunków transformacji energetycznej</w:t>
      </w:r>
      <w:r>
        <w:t>,</w:t>
      </w:r>
      <w:r w:rsidRPr="00E55079">
        <w:t xml:space="preserve"> a odpowiedni dobór technologii wytwarzania energii z odnawialnych źródeł, bazujący na istniejącym lokalnie potencjale OZE może zapewnić społecznościom lokalnym samowystarczalność</w:t>
      </w:r>
      <w:r w:rsidR="005E7739">
        <w:t>, a na obszarach wiejskich istotnie poprawić pewność dostaw energii</w:t>
      </w:r>
      <w:r w:rsidRPr="00E55079">
        <w:t>. Kluczowe znaczenie w tym procesie ma rozproszenie jednostek wytwórczych oraz rozmieszczenie ich blisko odbiorców, co pozwala na racjonalne i efektywne wykorzystanie istniejącego lokalnie potencjału OZE, a</w:t>
      </w:r>
      <w:r w:rsidR="005E7739">
        <w:t> </w:t>
      </w:r>
      <w:r w:rsidRPr="00E55079">
        <w:t>także wpływa na ograniczenie strat w</w:t>
      </w:r>
      <w:r w:rsidR="009139E7">
        <w:t> </w:t>
      </w:r>
      <w:r w:rsidRPr="00E55079">
        <w:t>przesyle i dystrybucji energii elektrycznej.</w:t>
      </w:r>
      <w:r w:rsidR="008E10AC" w:rsidRPr="008E10AC">
        <w:t xml:space="preserve"> </w:t>
      </w:r>
      <w:r w:rsidR="008E10AC">
        <w:t>Zakres funkcjonowania inicjatyw lokalnych i prosumeryzmu określiła dyrektywa RED II</w:t>
      </w:r>
      <w:r w:rsidR="008E10AC">
        <w:rPr>
          <w:rStyle w:val="Odwoanieprzypisudolnego"/>
        </w:rPr>
        <w:footnoteReference w:id="86"/>
      </w:r>
      <w:r w:rsidR="008E10AC">
        <w:t xml:space="preserve">, a dyrektywa RED III określa dalsze zmiany mające przyczynić się do ich głębszej popularyzacji. </w:t>
      </w:r>
    </w:p>
    <w:p w14:paraId="3C2544B7" w14:textId="69A0BC7F" w:rsidR="006C276E" w:rsidRDefault="00E55079" w:rsidP="00E55079">
      <w:r w:rsidRPr="00E55079">
        <w:t xml:space="preserve">Prekursorami takich działań na krajowym rynku, mają być w szczególności </w:t>
      </w:r>
      <w:r w:rsidRPr="00E55079">
        <w:rPr>
          <w:b/>
          <w:bCs/>
        </w:rPr>
        <w:t>klastry energii i spółdzielnie energetyczne</w:t>
      </w:r>
      <w:r w:rsidRPr="00E55079">
        <w:t xml:space="preserve">, które organizują się, aby dla dobra członków swej społeczności wytwarzać, dystrybuować i magazynować energię elektryczną na własne potrzeby. </w:t>
      </w:r>
      <w:r w:rsidR="008E10AC">
        <w:t xml:space="preserve">W 2023 r. zdefiniowano także </w:t>
      </w:r>
      <w:r w:rsidR="009A2F5D" w:rsidRPr="009A2F5D">
        <w:rPr>
          <w:b/>
          <w:bCs/>
        </w:rPr>
        <w:t>obywatelskie</w:t>
      </w:r>
      <w:r w:rsidR="009A2F5D">
        <w:t xml:space="preserve"> </w:t>
      </w:r>
      <w:r w:rsidR="008E10AC" w:rsidRPr="008E10AC">
        <w:rPr>
          <w:b/>
          <w:bCs/>
        </w:rPr>
        <w:t>społeczności energetyczne</w:t>
      </w:r>
      <w:r w:rsidR="008E10AC" w:rsidRPr="008E10AC">
        <w:t xml:space="preserve">, </w:t>
      </w:r>
      <w:r w:rsidR="009A2F5D">
        <w:t>które mogą wytwarzać i sprzedawać energię elektryczną</w:t>
      </w:r>
      <w:r w:rsidR="00D86B46">
        <w:t xml:space="preserve"> z OZE</w:t>
      </w:r>
      <w:r w:rsidR="009A2F5D">
        <w:t xml:space="preserve">, ale </w:t>
      </w:r>
      <w:r w:rsidR="009A2F5D" w:rsidRPr="009A2F5D">
        <w:t>za główny cel ma</w:t>
      </w:r>
      <w:r w:rsidR="009A2F5D">
        <w:t>ją</w:t>
      </w:r>
      <w:r w:rsidR="009A2F5D" w:rsidRPr="009A2F5D">
        <w:t xml:space="preserve"> zapewnienie korzyści środowiskowych, gospodarczych lub społecznych dla swoich członków, udziałowców lub wspólników lub obszarów lokalnych, na których </w:t>
      </w:r>
      <w:r w:rsidR="00D86B46">
        <w:t>funkcjonują</w:t>
      </w:r>
      <w:r w:rsidR="009A2F5D">
        <w:t>.</w:t>
      </w:r>
    </w:p>
    <w:p w14:paraId="71E6E07E" w14:textId="392460EC" w:rsidR="00E55079" w:rsidRDefault="00E55079" w:rsidP="00E55079">
      <w:r>
        <w:t xml:space="preserve">W rozwoju </w:t>
      </w:r>
      <w:r w:rsidR="008E10AC">
        <w:t xml:space="preserve">lokalnych </w:t>
      </w:r>
      <w:r w:rsidRPr="00E55079">
        <w:t xml:space="preserve">społeczności </w:t>
      </w:r>
      <w:r>
        <w:t xml:space="preserve">energetycznych niezwykle ważne jest dążenie do ich </w:t>
      </w:r>
      <w:r w:rsidRPr="00E92839">
        <w:rPr>
          <w:b/>
          <w:bCs/>
        </w:rPr>
        <w:t>samowystarczalności</w:t>
      </w:r>
      <w:r>
        <w:t xml:space="preserve">, </w:t>
      </w:r>
      <w:r w:rsidR="009A7D3E">
        <w:t>tak aby rezerwowanie dla nich mocy spoza ich „systemu” było ograniczone do minimum</w:t>
      </w:r>
      <w:r w:rsidR="009A2F5D">
        <w:t xml:space="preserve"> – powinny być wsparcie</w:t>
      </w:r>
      <w:r w:rsidR="00127CFA">
        <w:t>m</w:t>
      </w:r>
      <w:r w:rsidR="009A2F5D">
        <w:t xml:space="preserve">, a nie </w:t>
      </w:r>
      <w:r w:rsidR="009A7D3E">
        <w:t xml:space="preserve">dodatkowym obciążeniem </w:t>
      </w:r>
      <w:r w:rsidR="009A2F5D">
        <w:t>dla operatorów systemów dystrybucyjnych</w:t>
      </w:r>
      <w:r w:rsidRPr="00E55079">
        <w:t>.</w:t>
      </w:r>
      <w:r w:rsidR="009A2F5D">
        <w:t xml:space="preserve"> </w:t>
      </w:r>
      <w:r w:rsidR="008B1E24" w:rsidRPr="008B1E24">
        <w:t>Ich głównym celem powinno być pokrycie swoich potrzeb energetycznych w oparciu o własne źródła wytwórcze</w:t>
      </w:r>
      <w:r w:rsidR="008B1E24">
        <w:t>.</w:t>
      </w:r>
    </w:p>
    <w:p w14:paraId="086F298C" w14:textId="32FAF34A" w:rsidR="009805EB" w:rsidRDefault="009805EB" w:rsidP="00B65DEF">
      <w:pPr>
        <w:spacing w:after="240"/>
      </w:pPr>
      <w:r>
        <w:t>Dyrektywa RED III (a</w:t>
      </w:r>
      <w:r w:rsidRPr="009805EB">
        <w:t>rt. 16–16e</w:t>
      </w:r>
      <w:r>
        <w:t xml:space="preserve">) określiła </w:t>
      </w:r>
      <w:r w:rsidRPr="00665822">
        <w:t>obowiązk</w:t>
      </w:r>
      <w:r>
        <w:t>i</w:t>
      </w:r>
      <w:r w:rsidRPr="00665822">
        <w:t xml:space="preserve"> utworzenia w </w:t>
      </w:r>
      <w:r>
        <w:t xml:space="preserve">państwach </w:t>
      </w:r>
      <w:r w:rsidRPr="00665822">
        <w:t xml:space="preserve">członkowskich </w:t>
      </w:r>
      <w:r w:rsidRPr="009805EB">
        <w:rPr>
          <w:b/>
          <w:bCs/>
        </w:rPr>
        <w:t>nowych możliwości dla przyspieszenia inwestycji w OZE poprzez usprawnienie procesu inwestycyjnego</w:t>
      </w:r>
      <w:r w:rsidRPr="00665822">
        <w:t xml:space="preserve"> </w:t>
      </w:r>
      <w:r w:rsidRPr="009805EB">
        <w:rPr>
          <w:b/>
          <w:bCs/>
        </w:rPr>
        <w:t>dla OZE</w:t>
      </w:r>
      <w:r w:rsidRPr="00665822">
        <w:t xml:space="preserve"> (procedury wydawania pozwoleń na nowe inwestycje)</w:t>
      </w:r>
      <w:r>
        <w:t>. Będzie to miało niezwykle istotne znaczenie dla rozwoju energetyki lokalnej, ale będzie wymagało bardzo dużego wysiłku po stronie administracyjnej.</w:t>
      </w:r>
    </w:p>
    <w:p w14:paraId="2CCED27F" w14:textId="4C12ACF0" w:rsidR="00647F2A" w:rsidRPr="00B377B2" w:rsidRDefault="00E92839" w:rsidP="00647F2A">
      <w:pPr>
        <w:pStyle w:val="Cele"/>
      </w:pPr>
      <w:r>
        <w:rPr>
          <w:rStyle w:val="CeleZnak"/>
          <w:b/>
        </w:rPr>
        <w:t xml:space="preserve">Szacuje się, że w 2030 r. w </w:t>
      </w:r>
      <w:r w:rsidR="009139E7">
        <w:rPr>
          <w:rStyle w:val="CeleZnak"/>
          <w:b/>
        </w:rPr>
        <w:t>Polsce</w:t>
      </w:r>
      <w:r>
        <w:rPr>
          <w:rStyle w:val="CeleZnak"/>
          <w:b/>
        </w:rPr>
        <w:t xml:space="preserve"> może </w:t>
      </w:r>
      <w:r w:rsidR="009139E7">
        <w:rPr>
          <w:rStyle w:val="CeleZnak"/>
          <w:b/>
        </w:rPr>
        <w:t>funkcjonować</w:t>
      </w:r>
      <w:r>
        <w:rPr>
          <w:rStyle w:val="CeleZnak"/>
          <w:b/>
        </w:rPr>
        <w:t xml:space="preserve"> ok. 300 społeczności energetycznych</w:t>
      </w:r>
      <w:r w:rsidR="00647F2A">
        <w:t xml:space="preserve"> </w:t>
      </w:r>
      <w:r w:rsidR="00647F2A" w:rsidRPr="00080BA7">
        <w:rPr>
          <w:i/>
          <w:iCs/>
        </w:rPr>
        <w:t>[szacunki nie mają charakteru celu]</w:t>
      </w:r>
    </w:p>
    <w:p w14:paraId="6E3FCB03" w14:textId="77777777" w:rsidR="00647F2A" w:rsidRDefault="00647F2A" w:rsidP="00E92839">
      <w:pPr>
        <w:pStyle w:val="Polityka"/>
      </w:pPr>
      <w:r w:rsidRPr="00C46DAA">
        <w:t>POLITYKA</w:t>
      </w:r>
    </w:p>
    <w:p w14:paraId="205C27E1" w14:textId="20FDBC0B" w:rsidR="00647F2A" w:rsidRDefault="00C824FD" w:rsidP="00647F2A">
      <w:r w:rsidRPr="00C824FD">
        <w:t xml:space="preserve">Wzmocnienie roli klastrów energii i spółdzielni energetycznych w krajowym systemie energetycznym zostanie zapewnione przez określenie przejrzystych zasad współpracy w ramach klastrów energii, obejmujących </w:t>
      </w:r>
      <w:r w:rsidRPr="00DC5627">
        <w:rPr>
          <w:b/>
          <w:bCs/>
        </w:rPr>
        <w:t xml:space="preserve">usprawnienia administracyjno-prawne i </w:t>
      </w:r>
      <w:r w:rsidR="009139E7">
        <w:rPr>
          <w:b/>
          <w:bCs/>
        </w:rPr>
        <w:t>specjalny</w:t>
      </w:r>
      <w:r w:rsidRPr="00DC5627">
        <w:rPr>
          <w:b/>
          <w:bCs/>
        </w:rPr>
        <w:t xml:space="preserve"> system wsparcia</w:t>
      </w:r>
      <w:r w:rsidRPr="00C824FD">
        <w:t>, a także poprzez stymulowanie rozwoju spółdzielni energetycznych</w:t>
      </w:r>
      <w:r w:rsidR="00D86B46">
        <w:t>, wspierających rozwój energetyki rozproszonej na obszarach wiejskich</w:t>
      </w:r>
      <w:r w:rsidRPr="00C824FD">
        <w:t>.</w:t>
      </w:r>
      <w:r w:rsidR="000647DB">
        <w:t xml:space="preserve"> Dążyć się będzie do tego, aby społeczności energetyczne rozwijały się w kierunku </w:t>
      </w:r>
      <w:r w:rsidR="000647DB" w:rsidRPr="005E7739">
        <w:rPr>
          <w:b/>
          <w:bCs/>
        </w:rPr>
        <w:t>samowystarczaln</w:t>
      </w:r>
      <w:r w:rsidR="000647DB">
        <w:rPr>
          <w:b/>
          <w:bCs/>
        </w:rPr>
        <w:t>ości</w:t>
      </w:r>
      <w:r w:rsidR="000647DB" w:rsidRPr="005E7739">
        <w:t>.</w:t>
      </w:r>
    </w:p>
    <w:p w14:paraId="6A23EAC9" w14:textId="7BC499A2" w:rsidR="00B65DEF" w:rsidRDefault="009139E7" w:rsidP="00647F2A">
      <w:r>
        <w:t xml:space="preserve">Kluczowe dla rozwoju społeczności lokalnych </w:t>
      </w:r>
      <w:r w:rsidRPr="002C5C76">
        <w:rPr>
          <w:b/>
          <w:bCs/>
        </w:rPr>
        <w:t>będzie ich promocja</w:t>
      </w:r>
      <w:r>
        <w:t xml:space="preserve"> </w:t>
      </w:r>
      <w:r w:rsidRPr="002C5C76">
        <w:rPr>
          <w:b/>
          <w:bCs/>
        </w:rPr>
        <w:t>w jednostkach samorządu terytorialnego</w:t>
      </w:r>
      <w:r w:rsidR="005E7739">
        <w:rPr>
          <w:b/>
          <w:bCs/>
        </w:rPr>
        <w:t xml:space="preserve"> </w:t>
      </w:r>
      <w:r w:rsidRPr="002C5C76">
        <w:rPr>
          <w:b/>
          <w:bCs/>
        </w:rPr>
        <w:t>oraz usprawnienie procesu inwestycyjnego</w:t>
      </w:r>
      <w:r w:rsidR="002C5C76">
        <w:t xml:space="preserve">. </w:t>
      </w:r>
      <w:r>
        <w:t xml:space="preserve"> </w:t>
      </w:r>
      <w:r w:rsidR="006C276E">
        <w:t>Dążyć się będzie do przyspieszenia ścieżki wydawania pozwoleń dla nowych inwestycji, ale realn</w:t>
      </w:r>
      <w:r w:rsidR="009A2F5D">
        <w:t>a</w:t>
      </w:r>
      <w:r w:rsidR="006C276E">
        <w:t xml:space="preserve"> implementacja do polskiego prawa przepisów dyrektywy RED III będzie wymagać wprowadzenia wielu głębokich zmian organizacyjno-administracyjnych.</w:t>
      </w:r>
      <w:r w:rsidR="00B65DEF">
        <w:t xml:space="preserve"> </w:t>
      </w:r>
      <w:r w:rsidR="00B65DEF" w:rsidRPr="00FA3BDC">
        <w:t xml:space="preserve">Dużym wsparciem dla podmiotów zainteresowanych inwestycjami będzie uruchomienie Krajowego Punktu Kontaktowego </w:t>
      </w:r>
      <w:r w:rsidR="00B65DEF">
        <w:t>ds. OZE (KPK OZE)</w:t>
      </w:r>
      <w:r w:rsidR="00B65DEF" w:rsidRPr="00FA3BDC">
        <w:t xml:space="preserve">.  </w:t>
      </w:r>
      <w:r w:rsidR="00B65DEF">
        <w:t xml:space="preserve">będzie </w:t>
      </w:r>
      <w:r w:rsidR="00B65DEF" w:rsidRPr="00FA3BDC">
        <w:t>działa</w:t>
      </w:r>
      <w:r w:rsidR="00B65DEF">
        <w:t>ł</w:t>
      </w:r>
      <w:r w:rsidR="00B65DEF" w:rsidRPr="00FA3BDC">
        <w:t xml:space="preserve"> w ramach </w:t>
      </w:r>
      <w:r w:rsidR="00B65DEF">
        <w:t xml:space="preserve">specjalnej </w:t>
      </w:r>
      <w:r w:rsidR="00B65DEF" w:rsidRPr="00FA3BDC">
        <w:t xml:space="preserve">strony internetowej, </w:t>
      </w:r>
      <w:r w:rsidR="00B65DEF">
        <w:t xml:space="preserve">na której </w:t>
      </w:r>
      <w:r w:rsidR="00B65DEF" w:rsidRPr="00FA3BDC">
        <w:t>udostępni</w:t>
      </w:r>
      <w:r w:rsidR="00B65DEF">
        <w:t>ony zostanie</w:t>
      </w:r>
      <w:r w:rsidR="00B65DEF" w:rsidRPr="00FA3BDC">
        <w:t xml:space="preserve"> specjalny podręcznik, który dostarczy inwestorom kompleksowej wiedzy na temat proces</w:t>
      </w:r>
      <w:r w:rsidR="00B65DEF">
        <w:t>ów</w:t>
      </w:r>
      <w:r w:rsidR="00B65DEF" w:rsidRPr="00FA3BDC">
        <w:t xml:space="preserve"> inwestycyjn</w:t>
      </w:r>
      <w:r w:rsidR="00B65DEF">
        <w:t>ych w instalacje OZE</w:t>
      </w:r>
      <w:r w:rsidR="00B65DEF" w:rsidRPr="00FA3BDC">
        <w:t xml:space="preserve">. Dodatkowo, będzie </w:t>
      </w:r>
      <w:r w:rsidR="00B65DEF">
        <w:t>umożliwiać</w:t>
      </w:r>
      <w:r w:rsidR="00B65DEF" w:rsidRPr="00FA3BDC">
        <w:t xml:space="preserve"> zwróc</w:t>
      </w:r>
      <w:r w:rsidR="00B65DEF">
        <w:t>enie</w:t>
      </w:r>
      <w:r w:rsidR="00B65DEF" w:rsidRPr="00FA3BDC">
        <w:t xml:space="preserve"> się do punktu o indywidualną pomoc </w:t>
      </w:r>
      <w:r w:rsidR="00B65DEF">
        <w:t>za sprawą</w:t>
      </w:r>
      <w:r w:rsidR="00B65DEF" w:rsidRPr="00FA3BDC">
        <w:t xml:space="preserve"> formularza kontaktowego.</w:t>
      </w:r>
      <w:r w:rsidR="00B65DEF">
        <w:t xml:space="preserve"> KPK OZE przeznaczony będzie głównie dla prosumentów oraz podmiotów nieprofesjonalnych chcących uczestniczyć w rynku OZE, w tym członkom społeczności energetycznych</w:t>
      </w:r>
      <w:r w:rsidR="00755335">
        <w:t>.</w:t>
      </w:r>
    </w:p>
    <w:p w14:paraId="76C12B8C" w14:textId="773310E6" w:rsidR="009A2F5D" w:rsidRDefault="005E7739" w:rsidP="00647F2A">
      <w:r>
        <w:t xml:space="preserve">Kontynuowane będą działania w zakresie </w:t>
      </w:r>
      <w:r w:rsidRPr="005E7739">
        <w:rPr>
          <w:b/>
          <w:bCs/>
        </w:rPr>
        <w:t>inteligentnych rozwiązań</w:t>
      </w:r>
      <w:r>
        <w:t>, które pozwolą na sprawne i świadome zarządzanie w obszarze bilansowania potrzeb i produkcji energii przez te podmioty</w:t>
      </w:r>
      <w:r w:rsidR="009A7D3E">
        <w:t>.</w:t>
      </w:r>
      <w:r>
        <w:t xml:space="preserve"> </w:t>
      </w:r>
      <w:r w:rsidR="009A7D3E">
        <w:t xml:space="preserve">Dodatkowo, na rozwój tego segmentu rynku pozytywnie wpłynie </w:t>
      </w:r>
      <w:r w:rsidR="009A2F5D">
        <w:t>modernizacja systemów zarządzania systemami dystrybucyjnymi, jak również rozwój w kierunku inteligentnych sieci.</w:t>
      </w:r>
    </w:p>
    <w:p w14:paraId="6C12E9F5" w14:textId="77777777" w:rsidR="00647F2A" w:rsidRPr="00C46DAA" w:rsidRDefault="00647F2A" w:rsidP="00E92839">
      <w:pPr>
        <w:pStyle w:val="Polityka"/>
      </w:pPr>
      <w:bookmarkStart w:id="232" w:name="_Hlk157435730"/>
      <w:r w:rsidRPr="00C46DAA">
        <w:t>DZIAŁANIA</w:t>
      </w:r>
    </w:p>
    <w:p w14:paraId="2A5DD7E0" w14:textId="1D12631A" w:rsidR="00F41CCF" w:rsidRDefault="00F41CCF" w:rsidP="00895CCA">
      <w:pPr>
        <w:pStyle w:val="Akapitzlist"/>
        <w:numPr>
          <w:ilvl w:val="0"/>
          <w:numId w:val="6"/>
        </w:numPr>
      </w:pPr>
      <w:r>
        <w:fldChar w:fldCharType="begin"/>
      </w:r>
      <w:r>
        <w:instrText xml:space="preserve"> REF _Ref157420357 \h </w:instrText>
      </w:r>
      <w:r>
        <w:fldChar w:fldCharType="separate"/>
      </w:r>
      <w:r w:rsidR="00DD3929" w:rsidRPr="00F12C9E">
        <w:t xml:space="preserve">Działanie </w:t>
      </w:r>
      <w:r w:rsidR="00DD3929">
        <w:rPr>
          <w:noProof/>
        </w:rPr>
        <w:t>16</w:t>
      </w:r>
      <w:r w:rsidR="00DD3929" w:rsidRPr="00F12C9E">
        <w:t>. Instrument finansowy – Program Priorytetowy NFOŚiGW – „Agroenergia</w:t>
      </w:r>
      <w:r w:rsidR="00DD3929">
        <w:t>”</w:t>
      </w:r>
      <w:r w:rsidR="00DD3929" w:rsidRPr="00F12C9E">
        <w:t>.</w:t>
      </w:r>
      <w:r>
        <w:fldChar w:fldCharType="end"/>
      </w:r>
    </w:p>
    <w:p w14:paraId="726597D2" w14:textId="1FC9E21D" w:rsidR="00F41CCF" w:rsidRDefault="00F41CCF" w:rsidP="00895CCA">
      <w:pPr>
        <w:pStyle w:val="Akapitzlist"/>
        <w:numPr>
          <w:ilvl w:val="0"/>
          <w:numId w:val="6"/>
        </w:numPr>
      </w:pPr>
      <w:r>
        <w:fldChar w:fldCharType="begin"/>
      </w:r>
      <w:r>
        <w:instrText xml:space="preserve"> REF _Ref157421165 \h </w:instrText>
      </w:r>
      <w:r>
        <w:fldChar w:fldCharType="separate"/>
      </w:r>
      <w:r w:rsidR="00DD3929" w:rsidRPr="00F12C9E">
        <w:t xml:space="preserve">Działanie </w:t>
      </w:r>
      <w:r w:rsidR="00DD3929">
        <w:rPr>
          <w:noProof/>
        </w:rPr>
        <w:t>18</w:t>
      </w:r>
      <w:r w:rsidR="00DD3929" w:rsidRPr="00F12C9E">
        <w:t xml:space="preserve">. Instrument finansowy – </w:t>
      </w:r>
      <w:r w:rsidR="00DD3929">
        <w:t>i</w:t>
      </w:r>
      <w:r w:rsidR="00DD3929" w:rsidRPr="00F12C9E">
        <w:t>nne instrumenty wspierające rozwój OZE.</w:t>
      </w:r>
      <w:r>
        <w:fldChar w:fldCharType="end"/>
      </w:r>
    </w:p>
    <w:p w14:paraId="5438980F" w14:textId="672DD72F" w:rsidR="005B4882" w:rsidRDefault="005C2642" w:rsidP="00895CCA">
      <w:pPr>
        <w:pStyle w:val="Akapitzlist"/>
        <w:numPr>
          <w:ilvl w:val="0"/>
          <w:numId w:val="6"/>
        </w:numPr>
      </w:pPr>
      <w:r>
        <w:fldChar w:fldCharType="begin"/>
      </w:r>
      <w:r>
        <w:instrText xml:space="preserve"> REF _Ref159078615 </w:instrText>
      </w:r>
      <w:r>
        <w:fldChar w:fldCharType="separate"/>
      </w:r>
      <w:r w:rsidR="00DD3929" w:rsidRPr="00F12C9E">
        <w:t xml:space="preserve">Działanie </w:t>
      </w:r>
      <w:r w:rsidR="00DD3929">
        <w:rPr>
          <w:noProof/>
        </w:rPr>
        <w:t>19</w:t>
      </w:r>
      <w:r w:rsidR="00DD3929" w:rsidRPr="00F12C9E">
        <w:t>.</w:t>
      </w:r>
      <w:r w:rsidR="00DD3929">
        <w:t xml:space="preserve"> Krajowy Punkt Kontaktowy do spraw odnawialnych źródeł energii.</w:t>
      </w:r>
      <w:r>
        <w:fldChar w:fldCharType="end"/>
      </w:r>
    </w:p>
    <w:p w14:paraId="2699717E" w14:textId="488617CB" w:rsidR="005B4882" w:rsidRDefault="005C2642" w:rsidP="00895CCA">
      <w:pPr>
        <w:pStyle w:val="Akapitzlist"/>
        <w:numPr>
          <w:ilvl w:val="0"/>
          <w:numId w:val="6"/>
        </w:numPr>
      </w:pPr>
      <w:r>
        <w:fldChar w:fldCharType="begin"/>
      </w:r>
      <w:r>
        <w:instrText xml:space="preserve"> REF _Ref175558287 </w:instrText>
      </w:r>
      <w:r>
        <w:fldChar w:fldCharType="separate"/>
      </w:r>
      <w:r w:rsidR="00DD3929">
        <w:t xml:space="preserve">Działanie </w:t>
      </w:r>
      <w:r w:rsidR="00DD3929">
        <w:rPr>
          <w:noProof/>
        </w:rPr>
        <w:t>20</w:t>
      </w:r>
      <w:r w:rsidR="00DD3929">
        <w:t>. Zapewnienie możliwości funkcjonowania obszarów przyspieszonego rozwoju OZE.</w:t>
      </w:r>
      <w:r>
        <w:fldChar w:fldCharType="end"/>
      </w:r>
    </w:p>
    <w:p w14:paraId="609A1276" w14:textId="3BAC762A" w:rsidR="00F41CCF" w:rsidRDefault="00F41CCF" w:rsidP="00895CCA">
      <w:pPr>
        <w:pStyle w:val="Akapitzlist"/>
        <w:numPr>
          <w:ilvl w:val="0"/>
          <w:numId w:val="6"/>
        </w:numPr>
      </w:pPr>
      <w:r>
        <w:fldChar w:fldCharType="begin"/>
      </w:r>
      <w:r>
        <w:instrText xml:space="preserve"> REF _Ref157421134 \h </w:instrText>
      </w:r>
      <w:r>
        <w:fldChar w:fldCharType="separate"/>
      </w:r>
      <w:r w:rsidR="00DD3929" w:rsidRPr="00F12C9E">
        <w:t xml:space="preserve">Działanie </w:t>
      </w:r>
      <w:r w:rsidR="00DD3929">
        <w:rPr>
          <w:noProof/>
        </w:rPr>
        <w:t>78</w:t>
      </w:r>
      <w:r w:rsidR="00DD3929" w:rsidRPr="00F12C9E">
        <w:t xml:space="preserve">. Instrument finansowy – Program NFOŚiGW </w:t>
      </w:r>
      <w:r w:rsidR="00DD3929">
        <w:t>„</w:t>
      </w:r>
      <w:r w:rsidR="00DD3929" w:rsidRPr="00F12C9E">
        <w:t>Energia dla wsi</w:t>
      </w:r>
      <w:r w:rsidR="00DD3929">
        <w:t>”</w:t>
      </w:r>
      <w:r w:rsidR="00DD3929" w:rsidRPr="00F12C9E">
        <w:t>.</w:t>
      </w:r>
      <w:r>
        <w:fldChar w:fldCharType="end"/>
      </w:r>
    </w:p>
    <w:p w14:paraId="5E01D533" w14:textId="4B32E951" w:rsidR="00691EA7" w:rsidRDefault="009714FB" w:rsidP="00DC1AB1">
      <w:pPr>
        <w:pStyle w:val="Nagwek3"/>
        <w:rPr>
          <w:color w:val="FFC000" w:themeColor="accent4"/>
        </w:rPr>
      </w:pPr>
      <w:bookmarkStart w:id="233" w:name="_Toc159598347"/>
      <w:bookmarkStart w:id="234" w:name="_Toc179536997"/>
      <w:bookmarkEnd w:id="232"/>
      <w:r>
        <w:rPr>
          <w:color w:val="FFC000" w:themeColor="accent4"/>
        </w:rPr>
        <w:t>Sprawiedliwa transformacja i ochrona konsumentów</w:t>
      </w:r>
      <w:bookmarkEnd w:id="233"/>
      <w:bookmarkEnd w:id="234"/>
    </w:p>
    <w:p w14:paraId="35F74817" w14:textId="5B9CB184" w:rsidR="00982E9E" w:rsidRDefault="00982E9E" w:rsidP="00982E9E">
      <w:r>
        <w:t>Transformacja do gospodarki niskoemisyjnej przyniesie wiele korzyści</w:t>
      </w:r>
      <w:r w:rsidR="00527FE6">
        <w:t xml:space="preserve"> (jak np. zmniejszenie negatywnego wpływu sektorów na środowisko, redukcja kosztów wytwarzania energii</w:t>
      </w:r>
      <w:r>
        <w:t>,</w:t>
      </w:r>
      <w:r w:rsidR="00527FE6">
        <w:t xml:space="preserve"> unowocześnienie gospodarki, poprawa jakości życia, i in.), </w:t>
      </w:r>
      <w:r>
        <w:t xml:space="preserve"> ale jak każda zmiana wymaga uważnego przeprowadzenia, tak aby zniwelować potencjalne negatywne skutki zmian. Z tego względu silnie podkreślana jest konieczność zapewnienia </w:t>
      </w:r>
      <w:r w:rsidRPr="00A152B7">
        <w:rPr>
          <w:b/>
          <w:bCs/>
        </w:rPr>
        <w:t>sprawiedliwego wymiaru</w:t>
      </w:r>
      <w:r>
        <w:t xml:space="preserve"> transformacji, który powinien uwzględniać dwa aspekty – oba zostały ujęte w tym obszarze.</w:t>
      </w:r>
    </w:p>
    <w:p w14:paraId="6A95631C" w14:textId="20DD5329" w:rsidR="00982E9E" w:rsidRDefault="00982E9E" w:rsidP="00982E9E">
      <w:r>
        <w:t>W pierwszej kolejności na uwagę zasługuje to, że</w:t>
      </w:r>
      <w:r w:rsidR="00CE6C29">
        <w:t xml:space="preserve"> wbrew obawom</w:t>
      </w:r>
      <w:r w:rsidR="00A2613E">
        <w:t>,</w:t>
      </w:r>
      <w:r>
        <w:t xml:space="preserve"> transformacja </w:t>
      </w:r>
      <w:r w:rsidR="00CE6C29">
        <w:t>nie musi</w:t>
      </w:r>
      <w:r>
        <w:t xml:space="preserve"> skutkować wzrostem cen energii. </w:t>
      </w:r>
      <w:r w:rsidR="00CE6C29">
        <w:t xml:space="preserve">Wręcz przeciwnie, oba scenariusze WEM i WAM pokazują konsekwentny spadek kosztów wytwarzania energii </w:t>
      </w:r>
      <w:r w:rsidR="00A2613E">
        <w:t xml:space="preserve">elektrycznej </w:t>
      </w:r>
      <w:r w:rsidR="00CE6C29">
        <w:t>nawet o 13% do 2030</w:t>
      </w:r>
      <w:r w:rsidR="00A2613E">
        <w:t xml:space="preserve"> r.</w:t>
      </w:r>
      <w:r w:rsidR="00CE6C29">
        <w:t xml:space="preserve"> i o 33% do 2040</w:t>
      </w:r>
      <w:r w:rsidR="00A2613E">
        <w:t xml:space="preserve"> r.</w:t>
      </w:r>
      <w:r w:rsidR="00CE6C29">
        <w:t xml:space="preserve"> (</w:t>
      </w:r>
      <w:r w:rsidR="00A2613E">
        <w:t>w </w:t>
      </w:r>
      <w:r w:rsidR="00CE6C29">
        <w:t>scenariusz</w:t>
      </w:r>
      <w:r w:rsidR="00A2613E">
        <w:t>u</w:t>
      </w:r>
      <w:r w:rsidR="00CE6C29">
        <w:t xml:space="preserve"> WAM)</w:t>
      </w:r>
      <w:r w:rsidR="00A2613E">
        <w:t xml:space="preserve"> w porównaniu z prognozami na 2025 r</w:t>
      </w:r>
      <w:r w:rsidR="00CE6C29">
        <w:t>. Ten efekt, przy jednocześnie istotnym wsparciu inwestycyjnym ze środków publicznych (krajowych i unijnych) dostępnych w perspektywie 2024-2030, może i powi</w:t>
      </w:r>
      <w:r w:rsidR="00A2613E">
        <w:t>nien</w:t>
      </w:r>
      <w:r w:rsidR="00CE6C29">
        <w:t xml:space="preserve"> przełożyć się na </w:t>
      </w:r>
      <w:r w:rsidR="00E90BB3">
        <w:t xml:space="preserve">realną stabilizację i docelowy </w:t>
      </w:r>
      <w:r w:rsidR="00CE6C29">
        <w:t xml:space="preserve">spadek cen energii. </w:t>
      </w:r>
      <w:r w:rsidR="00E90BB3">
        <w:t>Niemniej jednak w procesie transformacji szczególnie</w:t>
      </w:r>
      <w:r>
        <w:t xml:space="preserve"> konieczne jest zabezpieczenie grup społecznych najbardziej narażonych na </w:t>
      </w:r>
      <w:r w:rsidRPr="00FE77FE">
        <w:rPr>
          <w:b/>
          <w:bCs/>
        </w:rPr>
        <w:t>ubóstwo energ</w:t>
      </w:r>
      <w:r>
        <w:rPr>
          <w:b/>
          <w:bCs/>
        </w:rPr>
        <w:t>e</w:t>
      </w:r>
      <w:r w:rsidRPr="00FE77FE">
        <w:rPr>
          <w:b/>
          <w:bCs/>
        </w:rPr>
        <w:t>tyczne</w:t>
      </w:r>
      <w:r>
        <w:t>.</w:t>
      </w:r>
    </w:p>
    <w:p w14:paraId="00081154" w14:textId="65CC1F70" w:rsidR="00982E9E" w:rsidRDefault="00982E9E" w:rsidP="00982E9E">
      <w:r>
        <w:t xml:space="preserve">Drugim aspektem w kontekście sprawiedliwej transformacji jest </w:t>
      </w:r>
      <w:r w:rsidRPr="00FE77FE">
        <w:rPr>
          <w:b/>
          <w:bCs/>
        </w:rPr>
        <w:t>zapewnieni</w:t>
      </w:r>
      <w:r w:rsidR="00415AD5">
        <w:rPr>
          <w:b/>
          <w:bCs/>
        </w:rPr>
        <w:t>e</w:t>
      </w:r>
      <w:r w:rsidRPr="00FE77FE">
        <w:rPr>
          <w:b/>
          <w:bCs/>
        </w:rPr>
        <w:t xml:space="preserve"> wsparcia regionom</w:t>
      </w:r>
      <w:r>
        <w:t xml:space="preserve"> </w:t>
      </w:r>
      <w:r w:rsidRPr="00FE77FE">
        <w:rPr>
          <w:b/>
          <w:bCs/>
        </w:rPr>
        <w:t>węglowym</w:t>
      </w:r>
      <w:r w:rsidR="00EB6EC3">
        <w:t xml:space="preserve"> oraz innym </w:t>
      </w:r>
      <w:r w:rsidR="00EB6EC3" w:rsidRPr="00310F10">
        <w:rPr>
          <w:b/>
          <w:bCs/>
        </w:rPr>
        <w:t>regionom przemysłowym</w:t>
      </w:r>
      <w:r w:rsidR="00EB6EC3">
        <w:rPr>
          <w:b/>
          <w:bCs/>
        </w:rPr>
        <w:t xml:space="preserve"> o wysokiej intensywności emisji CO</w:t>
      </w:r>
      <w:r w:rsidR="00EB6EC3" w:rsidRPr="00310F10">
        <w:rPr>
          <w:b/>
          <w:bCs/>
          <w:vertAlign w:val="subscript"/>
        </w:rPr>
        <w:t>2</w:t>
      </w:r>
      <w:r>
        <w:t>, tak aby negatywnym skutkiem nie stały się problemy społeczno-gospodarcze tych regionów.</w:t>
      </w:r>
    </w:p>
    <w:p w14:paraId="508D630F" w14:textId="77777777" w:rsidR="00982E9E" w:rsidRDefault="00982E9E" w:rsidP="00982E9E">
      <w:pPr>
        <w:pStyle w:val="Nagwek4"/>
        <w:rPr>
          <w:color w:val="FFC000" w:themeColor="accent4"/>
        </w:rPr>
      </w:pPr>
      <w:bookmarkStart w:id="235" w:name="_Toc159598348"/>
      <w:bookmarkStart w:id="236" w:name="_Ref174547848"/>
      <w:bookmarkStart w:id="237" w:name="_Ref174547854"/>
      <w:bookmarkStart w:id="238" w:name="_Ref174547858"/>
      <w:bookmarkStart w:id="239" w:name="_Toc179536998"/>
      <w:r>
        <w:rPr>
          <w:color w:val="FFC000" w:themeColor="accent4"/>
        </w:rPr>
        <w:t>Redukcja ubóstwa energetycznego</w:t>
      </w:r>
      <w:bookmarkEnd w:id="235"/>
      <w:bookmarkEnd w:id="236"/>
      <w:bookmarkEnd w:id="237"/>
      <w:bookmarkEnd w:id="238"/>
      <w:bookmarkEnd w:id="239"/>
    </w:p>
    <w:p w14:paraId="1937B058" w14:textId="67A3F4D4" w:rsidR="00114D74" w:rsidRDefault="00114D74" w:rsidP="00114D74">
      <w:r>
        <w:t xml:space="preserve">Ubóstwo energetyczne rozumiane </w:t>
      </w:r>
      <w:r w:rsidR="00415AD5">
        <w:t xml:space="preserve">jest </w:t>
      </w:r>
      <w:r>
        <w:t>jako sytuacja, w której gospodarstwo domowe nie jest w stanie zapewnić sobie wystarczającego poziomu ciepła, chłodu, oświetlania oraz energii elektrycznej do zasilania urządzeń elektrycznych. Zjawisko to jest złożonym zagadnieniem łączącym kwestie społeczne, techniczne i ekonomiczne. Ubóstwo energetyczne dotyka zarówno obszary wiejskie, jak i miejskie, domy jednorodzinne i budynki wielomieszkaniowe. Z racji swej złożoności, skuteczne zwalczanie tego negatywnego zjawiska wymaga dokładnej identyfikacji jego przyczyn i proponowania rozwiązań dopasowanych do indywidualnej sytuacji gospodarstwa domowego.</w:t>
      </w:r>
    </w:p>
    <w:p w14:paraId="0C6F6656" w14:textId="77777777" w:rsidR="00994922" w:rsidRPr="00994922" w:rsidRDefault="00994922" w:rsidP="00994922">
      <w:pPr>
        <w:rPr>
          <w:b/>
          <w:bCs/>
        </w:rPr>
      </w:pPr>
      <w:r w:rsidRPr="00994922">
        <w:rPr>
          <w:b/>
          <w:bCs/>
        </w:rPr>
        <w:t>Możemy wyróżnić trzy kluczowe przyczyny ubóstwa energetycznego:</w:t>
      </w:r>
    </w:p>
    <w:p w14:paraId="28B59B47" w14:textId="73522866" w:rsidR="00994922" w:rsidRPr="00994922" w:rsidRDefault="00705105" w:rsidP="00612B5D">
      <w:pPr>
        <w:numPr>
          <w:ilvl w:val="0"/>
          <w:numId w:val="53"/>
        </w:numPr>
      </w:pPr>
      <w:r w:rsidRPr="00DD5F88">
        <w:rPr>
          <w:b/>
          <w:bCs/>
          <w:u w:val="words"/>
        </w:rPr>
        <w:t>w</w:t>
      </w:r>
      <w:r w:rsidR="00994922" w:rsidRPr="00DD5F88">
        <w:rPr>
          <w:b/>
          <w:bCs/>
        </w:rPr>
        <w:t>ysokie koszty energii</w:t>
      </w:r>
      <w:r w:rsidR="00994922" w:rsidRPr="00994922">
        <w:t xml:space="preserve"> –</w:t>
      </w:r>
      <w:r w:rsidR="00A56AEB">
        <w:t xml:space="preserve"> m</w:t>
      </w:r>
      <w:r w:rsidR="00DD5F88">
        <w:t>ogą wynikać zarówno z niskiej jakości tkanki mieszkaniowej (niskiej efektywności energetycznej budynków</w:t>
      </w:r>
      <w:r w:rsidR="00A56AEB">
        <w:t xml:space="preserve"> i urządzeń</w:t>
      </w:r>
      <w:r w:rsidR="00DD5F88">
        <w:t xml:space="preserve">), dostępności </w:t>
      </w:r>
      <w:r w:rsidR="00A56AEB">
        <w:t xml:space="preserve">i cen </w:t>
      </w:r>
      <w:r w:rsidR="00DD5F88">
        <w:t>nośników energii, ale także czynników behawioralnych (złe nawyki i przyzwyczajenia odbiorców energii)</w:t>
      </w:r>
      <w:r w:rsidR="00A56AEB">
        <w:t>;</w:t>
      </w:r>
    </w:p>
    <w:p w14:paraId="3AAE5E8F" w14:textId="7C5E1742" w:rsidR="00685B5D" w:rsidRDefault="00705105" w:rsidP="00612B5D">
      <w:pPr>
        <w:numPr>
          <w:ilvl w:val="0"/>
          <w:numId w:val="53"/>
        </w:numPr>
      </w:pPr>
      <w:r w:rsidRPr="00EF547F">
        <w:rPr>
          <w:b/>
          <w:bCs/>
        </w:rPr>
        <w:t>n</w:t>
      </w:r>
      <w:r w:rsidR="00994922" w:rsidRPr="00EF547F">
        <w:rPr>
          <w:b/>
          <w:bCs/>
        </w:rPr>
        <w:t>iskie dochody</w:t>
      </w:r>
      <w:r w:rsidR="00994922" w:rsidRPr="00994922">
        <w:t xml:space="preserve"> </w:t>
      </w:r>
      <w:r w:rsidR="00EF547F">
        <w:t xml:space="preserve">– </w:t>
      </w:r>
      <w:r w:rsidR="00994922" w:rsidRPr="00994922">
        <w:t xml:space="preserve">ubóstwo energetyczne często dotyka gospodarstwa domowe o niskich dochodach. Przyjmuje się, że </w:t>
      </w:r>
      <w:r w:rsidR="00685B5D">
        <w:t xml:space="preserve">dotyczy to gospodarstw domowych, których dochody po odliczeniu wydatków mieszkaniowych (ang. </w:t>
      </w:r>
      <w:r w:rsidR="00685B5D" w:rsidRPr="00685B5D">
        <w:rPr>
          <w:i/>
          <w:iCs/>
        </w:rPr>
        <w:t>After Housing Cost</w:t>
      </w:r>
      <w:r w:rsidR="00685B5D">
        <w:t xml:space="preserve"> – AHC) wynoszą mniej niż 60% mediany dochodów AHC w populacji;</w:t>
      </w:r>
    </w:p>
    <w:p w14:paraId="62A8293B" w14:textId="463582EB" w:rsidR="00994922" w:rsidRDefault="00705105" w:rsidP="00612B5D">
      <w:pPr>
        <w:numPr>
          <w:ilvl w:val="0"/>
          <w:numId w:val="53"/>
        </w:numPr>
      </w:pPr>
      <w:r w:rsidRPr="00685B5D">
        <w:rPr>
          <w:b/>
          <w:bCs/>
        </w:rPr>
        <w:t>z</w:t>
      </w:r>
      <w:r w:rsidR="00994922" w:rsidRPr="00685B5D">
        <w:rPr>
          <w:b/>
          <w:bCs/>
        </w:rPr>
        <w:t>ły stan techniczny budynku</w:t>
      </w:r>
      <w:r w:rsidR="00994922" w:rsidRPr="00994922">
        <w:t xml:space="preserve"> –</w:t>
      </w:r>
      <w:r w:rsidR="007E5E1D">
        <w:t xml:space="preserve"> </w:t>
      </w:r>
      <w:r w:rsidR="00994922" w:rsidRPr="00994922">
        <w:t xml:space="preserve">przeciekające dachy, wilgoć, pleśń oraz brak odpowiedniej izolacji, </w:t>
      </w:r>
      <w:r w:rsidR="00685B5D">
        <w:t>skutkują</w:t>
      </w:r>
      <w:r w:rsidR="00994922" w:rsidRPr="00994922">
        <w:t xml:space="preserve"> </w:t>
      </w:r>
      <w:r w:rsidR="00685B5D">
        <w:t>niską</w:t>
      </w:r>
      <w:r w:rsidR="00994922" w:rsidRPr="00994922">
        <w:t xml:space="preserve"> </w:t>
      </w:r>
      <w:r w:rsidR="00D171B9">
        <w:t xml:space="preserve">klasą </w:t>
      </w:r>
      <w:r w:rsidR="00994922" w:rsidRPr="00994922">
        <w:t>efektywności energetycznej</w:t>
      </w:r>
      <w:r w:rsidR="007E5E1D">
        <w:t xml:space="preserve"> budynku</w:t>
      </w:r>
      <w:r w:rsidR="00D171B9">
        <w:t>. Są</w:t>
      </w:r>
      <w:r w:rsidR="007E5E1D">
        <w:t xml:space="preserve"> </w:t>
      </w:r>
      <w:r w:rsidR="00E90BB3">
        <w:t xml:space="preserve">to </w:t>
      </w:r>
      <w:r w:rsidR="00994922" w:rsidRPr="00994922">
        <w:t>problemy strukturalne powodują</w:t>
      </w:r>
      <w:r w:rsidR="007E5E1D">
        <w:t>ce</w:t>
      </w:r>
      <w:r w:rsidR="00994922" w:rsidRPr="00994922">
        <w:t>, że więcej energii jest potrzebne do ogrzania budynku, co zwiększa koszty i pogłębia ubóstwo energetyczne.</w:t>
      </w:r>
    </w:p>
    <w:tbl>
      <w:tblPr>
        <w:tblpPr w:leftFromText="141" w:rightFromText="141" w:vertAnchor="text" w:horzAnchor="margin" w:tblpXSpec="right" w:tblpY="14"/>
        <w:tblW w:w="2972" w:type="pct"/>
        <w:tblBorders>
          <w:top w:val="single" w:sz="4" w:space="0" w:color="auto"/>
          <w:left w:val="single" w:sz="4" w:space="0" w:color="auto"/>
          <w:bottom w:val="single" w:sz="4" w:space="0" w:color="auto"/>
          <w:right w:val="single" w:sz="4" w:space="0" w:color="auto"/>
        </w:tblBorders>
        <w:tblCellMar>
          <w:top w:w="57" w:type="dxa"/>
          <w:left w:w="70" w:type="dxa"/>
          <w:bottom w:w="57" w:type="dxa"/>
          <w:right w:w="70" w:type="dxa"/>
        </w:tblCellMar>
        <w:tblLook w:val="04A0" w:firstRow="1" w:lastRow="0" w:firstColumn="1" w:lastColumn="0" w:noHBand="0" w:noVBand="1"/>
      </w:tblPr>
      <w:tblGrid>
        <w:gridCol w:w="4390"/>
        <w:gridCol w:w="996"/>
      </w:tblGrid>
      <w:tr w:rsidR="006462B0" w:rsidRPr="00860A2E" w14:paraId="4A46C51B" w14:textId="77777777" w:rsidTr="006462B0">
        <w:trPr>
          <w:trHeight w:val="361"/>
        </w:trPr>
        <w:tc>
          <w:tcPr>
            <w:tcW w:w="4390" w:type="dxa"/>
            <w:tcBorders>
              <w:top w:val="single" w:sz="4" w:space="0" w:color="auto"/>
              <w:bottom w:val="single" w:sz="4" w:space="0" w:color="auto"/>
              <w:right w:val="dotted" w:sz="4" w:space="0" w:color="auto"/>
            </w:tcBorders>
            <w:shd w:val="clear" w:color="auto" w:fill="auto"/>
            <w:vAlign w:val="center"/>
          </w:tcPr>
          <w:p w14:paraId="155E7BD0" w14:textId="22C86C70" w:rsidR="006462B0" w:rsidRPr="005B2997" w:rsidRDefault="006462B0" w:rsidP="006462B0">
            <w:pPr>
              <w:spacing w:after="0" w:line="240" w:lineRule="auto"/>
              <w:jc w:val="left"/>
              <w:rPr>
                <w:b/>
                <w:bCs/>
                <w:color w:val="2F5496" w:themeColor="accent1" w:themeShade="BF"/>
                <w:sz w:val="18"/>
                <w:szCs w:val="18"/>
                <w:lang w:eastAsia="pl-PL"/>
              </w:rPr>
            </w:pPr>
            <w:r w:rsidRPr="00D15495">
              <w:rPr>
                <w:b/>
                <w:bCs/>
                <w:color w:val="2F5496" w:themeColor="accent1" w:themeShade="BF"/>
                <w:szCs w:val="20"/>
                <w:lang w:eastAsia="pl-PL"/>
              </w:rPr>
              <w:t xml:space="preserve">Średnia dla </w:t>
            </w:r>
            <w:r>
              <w:rPr>
                <w:b/>
                <w:bCs/>
                <w:color w:val="2F5496" w:themeColor="accent1" w:themeShade="BF"/>
                <w:szCs w:val="20"/>
                <w:lang w:eastAsia="pl-PL"/>
              </w:rPr>
              <w:t>czterech</w:t>
            </w:r>
            <w:r w:rsidRPr="00D15495">
              <w:rPr>
                <w:b/>
                <w:bCs/>
                <w:color w:val="2F5496" w:themeColor="accent1" w:themeShade="BF"/>
                <w:szCs w:val="20"/>
                <w:lang w:eastAsia="pl-PL"/>
              </w:rPr>
              <w:t xml:space="preserve"> wskaźników ubóstwa energetycznego za 2019 r. </w:t>
            </w:r>
          </w:p>
        </w:tc>
        <w:tc>
          <w:tcPr>
            <w:tcW w:w="996" w:type="dxa"/>
            <w:tcBorders>
              <w:top w:val="single" w:sz="4" w:space="0" w:color="auto"/>
              <w:left w:val="dotted" w:sz="4" w:space="0" w:color="auto"/>
              <w:bottom w:val="single" w:sz="4" w:space="0" w:color="auto"/>
            </w:tcBorders>
            <w:vAlign w:val="center"/>
          </w:tcPr>
          <w:p w14:paraId="64C08F4F" w14:textId="77777777" w:rsidR="006462B0" w:rsidRPr="00192CC1" w:rsidRDefault="006462B0" w:rsidP="006462B0">
            <w:pPr>
              <w:spacing w:after="0" w:line="240" w:lineRule="auto"/>
              <w:jc w:val="center"/>
              <w:rPr>
                <w:b/>
                <w:bCs/>
                <w:color w:val="2F5496" w:themeColor="accent1" w:themeShade="BF"/>
                <w:sz w:val="18"/>
                <w:szCs w:val="18"/>
              </w:rPr>
            </w:pPr>
            <w:r w:rsidRPr="006462B0">
              <w:rPr>
                <w:b/>
                <w:bCs/>
                <w:color w:val="2F5496" w:themeColor="accent1" w:themeShade="BF"/>
                <w:sz w:val="22"/>
              </w:rPr>
              <w:t>9,05%</w:t>
            </w:r>
          </w:p>
        </w:tc>
      </w:tr>
      <w:tr w:rsidR="006462B0" w:rsidRPr="00860A2E" w14:paraId="019C9824" w14:textId="77777777" w:rsidTr="006462B0">
        <w:trPr>
          <w:trHeight w:val="232"/>
        </w:trPr>
        <w:tc>
          <w:tcPr>
            <w:tcW w:w="4390" w:type="dxa"/>
            <w:tcBorders>
              <w:top w:val="single" w:sz="4" w:space="0" w:color="auto"/>
              <w:right w:val="dotted" w:sz="4" w:space="0" w:color="auto"/>
            </w:tcBorders>
            <w:vAlign w:val="center"/>
          </w:tcPr>
          <w:p w14:paraId="18047CDF" w14:textId="77777777" w:rsidR="006462B0" w:rsidRPr="005B2997" w:rsidRDefault="006462B0" w:rsidP="00612B5D">
            <w:pPr>
              <w:pStyle w:val="Akapitzlist"/>
              <w:numPr>
                <w:ilvl w:val="0"/>
                <w:numId w:val="55"/>
              </w:numPr>
              <w:spacing w:after="0" w:line="240" w:lineRule="auto"/>
              <w:ind w:left="346" w:hanging="141"/>
              <w:jc w:val="left"/>
              <w:rPr>
                <w:rFonts w:cs="Calibri"/>
                <w:color w:val="000000"/>
                <w:sz w:val="18"/>
                <w:szCs w:val="18"/>
              </w:rPr>
            </w:pPr>
            <w:r w:rsidRPr="005B2997">
              <w:rPr>
                <w:sz w:val="18"/>
                <w:szCs w:val="18"/>
              </w:rPr>
              <w:t>niezdolność utrzymania odpowiedniej temperatury pomieszczeń</w:t>
            </w:r>
            <w:r>
              <w:rPr>
                <w:sz w:val="18"/>
                <w:szCs w:val="18"/>
              </w:rPr>
              <w:t xml:space="preserve"> </w:t>
            </w:r>
            <w:r w:rsidRPr="005B2997">
              <w:rPr>
                <w:sz w:val="18"/>
                <w:szCs w:val="18"/>
              </w:rPr>
              <w:t>[ilc_mdes01]</w:t>
            </w:r>
          </w:p>
        </w:tc>
        <w:tc>
          <w:tcPr>
            <w:tcW w:w="996" w:type="dxa"/>
            <w:tcBorders>
              <w:top w:val="single" w:sz="4" w:space="0" w:color="auto"/>
              <w:left w:val="dotted" w:sz="4" w:space="0" w:color="auto"/>
            </w:tcBorders>
            <w:vAlign w:val="center"/>
          </w:tcPr>
          <w:p w14:paraId="7F37253D" w14:textId="77777777" w:rsidR="006462B0" w:rsidRPr="005B2997" w:rsidRDefault="006462B0" w:rsidP="006462B0">
            <w:pPr>
              <w:spacing w:after="0" w:line="240" w:lineRule="auto"/>
              <w:jc w:val="center"/>
              <w:rPr>
                <w:rFonts w:cs="Arial"/>
                <w:b/>
                <w:bCs/>
                <w:sz w:val="18"/>
                <w:szCs w:val="18"/>
              </w:rPr>
            </w:pPr>
            <w:r w:rsidRPr="005B2997">
              <w:rPr>
                <w:rFonts w:cs="Arial"/>
                <w:b/>
                <w:bCs/>
                <w:sz w:val="18"/>
                <w:szCs w:val="18"/>
              </w:rPr>
              <w:t>4,2%</w:t>
            </w:r>
          </w:p>
        </w:tc>
      </w:tr>
      <w:tr w:rsidR="006462B0" w:rsidRPr="00860A2E" w14:paraId="249B7176" w14:textId="77777777" w:rsidTr="006462B0">
        <w:trPr>
          <w:trHeight w:val="232"/>
        </w:trPr>
        <w:tc>
          <w:tcPr>
            <w:tcW w:w="4390" w:type="dxa"/>
            <w:tcBorders>
              <w:right w:val="dotted" w:sz="4" w:space="0" w:color="auto"/>
            </w:tcBorders>
            <w:vAlign w:val="center"/>
          </w:tcPr>
          <w:p w14:paraId="6F853DAB" w14:textId="77777777" w:rsidR="006462B0" w:rsidRPr="005B2997" w:rsidRDefault="006462B0" w:rsidP="00612B5D">
            <w:pPr>
              <w:pStyle w:val="Akapitzlist"/>
              <w:numPr>
                <w:ilvl w:val="0"/>
                <w:numId w:val="55"/>
              </w:numPr>
              <w:spacing w:after="0" w:line="240" w:lineRule="auto"/>
              <w:ind w:left="346" w:hanging="141"/>
              <w:jc w:val="left"/>
              <w:rPr>
                <w:color w:val="000000"/>
                <w:sz w:val="18"/>
                <w:szCs w:val="18"/>
                <w:lang w:eastAsia="pl-PL"/>
              </w:rPr>
            </w:pPr>
            <w:r w:rsidRPr="005B2997">
              <w:rPr>
                <w:sz w:val="18"/>
                <w:szCs w:val="18"/>
              </w:rPr>
              <w:t>zaległość w rachunkach za energię</w:t>
            </w:r>
            <w:r>
              <w:rPr>
                <w:sz w:val="18"/>
                <w:szCs w:val="18"/>
              </w:rPr>
              <w:t xml:space="preserve"> </w:t>
            </w:r>
            <w:r w:rsidRPr="005B2997">
              <w:rPr>
                <w:sz w:val="18"/>
                <w:szCs w:val="18"/>
              </w:rPr>
              <w:t>[ilc_mdes07]</w:t>
            </w:r>
          </w:p>
        </w:tc>
        <w:tc>
          <w:tcPr>
            <w:tcW w:w="996" w:type="dxa"/>
            <w:tcBorders>
              <w:left w:val="dotted" w:sz="4" w:space="0" w:color="auto"/>
            </w:tcBorders>
            <w:vAlign w:val="center"/>
          </w:tcPr>
          <w:p w14:paraId="659BC9D9" w14:textId="77777777" w:rsidR="006462B0" w:rsidRPr="005B2997" w:rsidRDefault="006462B0" w:rsidP="006462B0">
            <w:pPr>
              <w:spacing w:after="0" w:line="240" w:lineRule="auto"/>
              <w:jc w:val="center"/>
              <w:rPr>
                <w:rFonts w:cs="Arial"/>
                <w:b/>
                <w:bCs/>
                <w:sz w:val="18"/>
                <w:szCs w:val="18"/>
              </w:rPr>
            </w:pPr>
            <w:r w:rsidRPr="005B2997">
              <w:rPr>
                <w:rFonts w:cs="Arial"/>
                <w:b/>
                <w:bCs/>
                <w:sz w:val="18"/>
                <w:szCs w:val="18"/>
              </w:rPr>
              <w:t>5,8%</w:t>
            </w:r>
          </w:p>
        </w:tc>
      </w:tr>
      <w:tr w:rsidR="006462B0" w:rsidRPr="00860A2E" w14:paraId="08B23359" w14:textId="77777777" w:rsidTr="006462B0">
        <w:trPr>
          <w:trHeight w:val="232"/>
        </w:trPr>
        <w:tc>
          <w:tcPr>
            <w:tcW w:w="4390" w:type="dxa"/>
            <w:tcBorders>
              <w:right w:val="dotted" w:sz="4" w:space="0" w:color="auto"/>
            </w:tcBorders>
            <w:vAlign w:val="center"/>
          </w:tcPr>
          <w:p w14:paraId="7A5C775B" w14:textId="77777777" w:rsidR="006462B0" w:rsidRPr="005B2997" w:rsidRDefault="006462B0" w:rsidP="00612B5D">
            <w:pPr>
              <w:pStyle w:val="Akapitzlist"/>
              <w:numPr>
                <w:ilvl w:val="0"/>
                <w:numId w:val="55"/>
              </w:numPr>
              <w:spacing w:after="0" w:line="240" w:lineRule="auto"/>
              <w:ind w:left="346" w:hanging="141"/>
              <w:jc w:val="left"/>
              <w:rPr>
                <w:color w:val="000000"/>
                <w:sz w:val="18"/>
                <w:szCs w:val="18"/>
                <w:lang w:eastAsia="pl-PL"/>
              </w:rPr>
            </w:pPr>
            <w:r w:rsidRPr="005B2997">
              <w:rPr>
                <w:sz w:val="18"/>
                <w:szCs w:val="18"/>
              </w:rPr>
              <w:t>całkowita liczba ludności mieszkająca w mieszkaniu z przeciekającym dachem, zawilgoconymi ścianami, podłogami i fundamentami lub przegniłymi okienicami lub podłogą</w:t>
            </w:r>
            <w:r>
              <w:rPr>
                <w:sz w:val="18"/>
                <w:szCs w:val="18"/>
              </w:rPr>
              <w:t xml:space="preserve"> </w:t>
            </w:r>
            <w:r w:rsidRPr="005B2997">
              <w:rPr>
                <w:sz w:val="18"/>
                <w:szCs w:val="18"/>
              </w:rPr>
              <w:t>[ilc_mhod01]</w:t>
            </w:r>
          </w:p>
        </w:tc>
        <w:tc>
          <w:tcPr>
            <w:tcW w:w="996" w:type="dxa"/>
            <w:tcBorders>
              <w:left w:val="dotted" w:sz="4" w:space="0" w:color="auto"/>
            </w:tcBorders>
            <w:vAlign w:val="center"/>
          </w:tcPr>
          <w:p w14:paraId="485BE6CD" w14:textId="77777777" w:rsidR="006462B0" w:rsidRPr="005B2997" w:rsidRDefault="006462B0" w:rsidP="006462B0">
            <w:pPr>
              <w:spacing w:after="0" w:line="240" w:lineRule="auto"/>
              <w:jc w:val="center"/>
              <w:rPr>
                <w:rFonts w:cs="Arial"/>
                <w:b/>
                <w:bCs/>
                <w:sz w:val="18"/>
                <w:szCs w:val="18"/>
              </w:rPr>
            </w:pPr>
            <w:r w:rsidRPr="005B2997">
              <w:rPr>
                <w:rFonts w:cs="Arial"/>
                <w:b/>
                <w:bCs/>
                <w:sz w:val="18"/>
                <w:szCs w:val="18"/>
              </w:rPr>
              <w:t>10,8%</w:t>
            </w:r>
          </w:p>
        </w:tc>
      </w:tr>
      <w:tr w:rsidR="006462B0" w:rsidRPr="00860A2E" w14:paraId="528DF0AA" w14:textId="77777777" w:rsidTr="006462B0">
        <w:trPr>
          <w:trHeight w:val="232"/>
        </w:trPr>
        <w:tc>
          <w:tcPr>
            <w:tcW w:w="4390" w:type="dxa"/>
            <w:tcBorders>
              <w:bottom w:val="single" w:sz="4" w:space="0" w:color="auto"/>
              <w:right w:val="dotted" w:sz="4" w:space="0" w:color="auto"/>
            </w:tcBorders>
            <w:vAlign w:val="center"/>
          </w:tcPr>
          <w:p w14:paraId="37688DE3" w14:textId="77777777" w:rsidR="006462B0" w:rsidRPr="005B2997" w:rsidRDefault="006462B0" w:rsidP="00612B5D">
            <w:pPr>
              <w:pStyle w:val="Akapitzlist"/>
              <w:numPr>
                <w:ilvl w:val="0"/>
                <w:numId w:val="55"/>
              </w:numPr>
              <w:spacing w:after="0" w:line="240" w:lineRule="auto"/>
              <w:ind w:left="346" w:hanging="141"/>
              <w:jc w:val="left"/>
              <w:rPr>
                <w:color w:val="000000"/>
                <w:sz w:val="18"/>
                <w:szCs w:val="18"/>
                <w:lang w:eastAsia="pl-PL"/>
              </w:rPr>
            </w:pPr>
            <w:r w:rsidRPr="005B2997">
              <w:rPr>
                <w:sz w:val="18"/>
                <w:szCs w:val="18"/>
              </w:rPr>
              <w:t>wskaźnik zagrożenia ubóstwem</w:t>
            </w:r>
            <w:r>
              <w:rPr>
                <w:sz w:val="18"/>
                <w:szCs w:val="18"/>
              </w:rPr>
              <w:t xml:space="preserve"> </w:t>
            </w:r>
            <w:r w:rsidRPr="005B2997">
              <w:rPr>
                <w:sz w:val="18"/>
                <w:szCs w:val="18"/>
              </w:rPr>
              <w:t>[ilc_li02]</w:t>
            </w:r>
          </w:p>
        </w:tc>
        <w:tc>
          <w:tcPr>
            <w:tcW w:w="996" w:type="dxa"/>
            <w:tcBorders>
              <w:left w:val="dotted" w:sz="4" w:space="0" w:color="auto"/>
              <w:bottom w:val="single" w:sz="4" w:space="0" w:color="auto"/>
            </w:tcBorders>
            <w:vAlign w:val="center"/>
          </w:tcPr>
          <w:p w14:paraId="41180BEA" w14:textId="77777777" w:rsidR="006462B0" w:rsidRPr="005B2997" w:rsidRDefault="006462B0" w:rsidP="006462B0">
            <w:pPr>
              <w:spacing w:after="0" w:line="240" w:lineRule="auto"/>
              <w:jc w:val="center"/>
              <w:rPr>
                <w:rFonts w:cs="Arial"/>
                <w:b/>
                <w:bCs/>
                <w:sz w:val="18"/>
                <w:szCs w:val="18"/>
              </w:rPr>
            </w:pPr>
            <w:r w:rsidRPr="005B2997">
              <w:rPr>
                <w:rFonts w:cs="Arial"/>
                <w:b/>
                <w:bCs/>
                <w:sz w:val="18"/>
                <w:szCs w:val="18"/>
              </w:rPr>
              <w:t>15,4%</w:t>
            </w:r>
          </w:p>
        </w:tc>
      </w:tr>
    </w:tbl>
    <w:p w14:paraId="04CEC90D" w14:textId="2D9B0F7B" w:rsidR="001E692B" w:rsidRDefault="00C87160" w:rsidP="006462B0">
      <w:r>
        <w:t xml:space="preserve">W ostatnich latach pojęcie </w:t>
      </w:r>
      <w:r w:rsidRPr="00C87160">
        <w:rPr>
          <w:i/>
          <w:iCs/>
        </w:rPr>
        <w:t>ubóstwa energetycznego</w:t>
      </w:r>
      <w:r>
        <w:t xml:space="preserve"> podlegało licznym </w:t>
      </w:r>
      <w:r w:rsidR="00750D52">
        <w:t xml:space="preserve">próbom </w:t>
      </w:r>
      <w:r w:rsidR="00D171B9">
        <w:t>zdefiniowania</w:t>
      </w:r>
      <w:r>
        <w:t xml:space="preserve"> i</w:t>
      </w:r>
      <w:r w:rsidR="00750D52">
        <w:t> </w:t>
      </w:r>
      <w:r>
        <w:t xml:space="preserve">zwymiarowania. </w:t>
      </w:r>
      <w:r w:rsidR="001E692B">
        <w:t>Dopiero w</w:t>
      </w:r>
      <w:r w:rsidR="00114D74">
        <w:t xml:space="preserve"> </w:t>
      </w:r>
      <w:r w:rsidR="00705105">
        <w:t>d</w:t>
      </w:r>
      <w:r w:rsidR="00114D74">
        <w:t xml:space="preserve">yrektywie </w:t>
      </w:r>
      <w:r w:rsidR="00705105">
        <w:t>PE</w:t>
      </w:r>
      <w:r w:rsidR="00DD5F88">
        <w:t xml:space="preserve"> </w:t>
      </w:r>
      <w:r w:rsidR="00114D74">
        <w:t xml:space="preserve">i Rady (UE) 2023/1791 </w:t>
      </w:r>
      <w:r w:rsidR="00114D74">
        <w:rPr>
          <w:i/>
          <w:iCs/>
        </w:rPr>
        <w:t xml:space="preserve">w sprawie efektywności energetycznej </w:t>
      </w:r>
      <w:r w:rsidR="00114D74">
        <w:t>wprowadzono pierwszą ogólnounijną definicję ubóstwa energetycznego</w:t>
      </w:r>
      <w:r w:rsidR="00750D52">
        <w:t>. Zjawisko</w:t>
      </w:r>
      <w:r w:rsidR="001E692B">
        <w:t xml:space="preserve"> mierzy się średnią arytmetyczną czterech innych wskaźników</w:t>
      </w:r>
      <w:r w:rsidR="005B2997">
        <w:rPr>
          <w:rStyle w:val="Odwoanieprzypisudolnego"/>
        </w:rPr>
        <w:footnoteReference w:id="87"/>
      </w:r>
      <w:r w:rsidR="005B2997">
        <w:t xml:space="preserve">. </w:t>
      </w:r>
      <w:r w:rsidR="00750D52">
        <w:t xml:space="preserve">Średnia </w:t>
      </w:r>
      <w:r w:rsidR="005B2997">
        <w:t>za 2019</w:t>
      </w:r>
      <w:r w:rsidR="006462B0">
        <w:t> </w:t>
      </w:r>
      <w:r w:rsidR="005B2997">
        <w:t xml:space="preserve">r. stanowi punkt wyjścia do określania </w:t>
      </w:r>
      <w:r w:rsidR="00D15495">
        <w:t>celu w</w:t>
      </w:r>
      <w:r w:rsidR="006462B0">
        <w:t> </w:t>
      </w:r>
      <w:r w:rsidR="00D15495">
        <w:t>zakresie ubóstwa energetycznego</w:t>
      </w:r>
      <w:r w:rsidR="006462B0">
        <w:t>.</w:t>
      </w:r>
    </w:p>
    <w:p w14:paraId="4BBDE12D" w14:textId="77777777" w:rsidR="003C5556" w:rsidRDefault="003C5556" w:rsidP="001E692B"/>
    <w:p w14:paraId="3B4B0AA9" w14:textId="295A56B0" w:rsidR="006462B0" w:rsidRDefault="006462B0" w:rsidP="006462B0">
      <w:pPr>
        <w:pStyle w:val="Cele"/>
      </w:pPr>
      <w:r>
        <w:t xml:space="preserve">Przyjęto, że </w:t>
      </w:r>
      <w:r w:rsidRPr="00AE252D">
        <w:t xml:space="preserve">poziom ubóstwa energetycznego będzie spadał </w:t>
      </w:r>
      <w:r w:rsidRPr="00521C49">
        <w:rPr>
          <w:b/>
          <w:bCs/>
        </w:rPr>
        <w:t>o</w:t>
      </w:r>
      <w:r w:rsidRPr="00521C49">
        <w:t xml:space="preserve"> </w:t>
      </w:r>
      <w:r w:rsidRPr="00AE252D">
        <w:rPr>
          <w:b/>
          <w:bCs/>
        </w:rPr>
        <w:t xml:space="preserve">0,25 pkt. </w:t>
      </w:r>
      <w:r>
        <w:rPr>
          <w:b/>
          <w:bCs/>
        </w:rPr>
        <w:t>p</w:t>
      </w:r>
      <w:r w:rsidRPr="00AE252D">
        <w:rPr>
          <w:b/>
          <w:bCs/>
        </w:rPr>
        <w:t xml:space="preserve">roc. </w:t>
      </w:r>
      <w:r>
        <w:rPr>
          <w:b/>
          <w:bCs/>
        </w:rPr>
        <w:t>średnior</w:t>
      </w:r>
      <w:r w:rsidRPr="00AE252D">
        <w:rPr>
          <w:b/>
          <w:bCs/>
        </w:rPr>
        <w:t>ocznie</w:t>
      </w:r>
      <w:r w:rsidRPr="00AE252D">
        <w:t xml:space="preserve">. </w:t>
      </w:r>
      <w:r>
        <w:t>Cele</w:t>
      </w:r>
      <w:r w:rsidR="00963A1E">
        <w:t>m</w:t>
      </w:r>
      <w:r w:rsidR="00E90BB3">
        <w:t xml:space="preserve"> minimum przyjętym w aKPEIK</w:t>
      </w:r>
      <w:r>
        <w:t xml:space="preserve"> jest obniżenie poziomu ubóstwa energetycznego z </w:t>
      </w:r>
      <w:r w:rsidRPr="00735C25">
        <w:t>9,05% w</w:t>
      </w:r>
      <w:r>
        <w:t> </w:t>
      </w:r>
      <w:r w:rsidRPr="00735C25">
        <w:t>2019</w:t>
      </w:r>
      <w:r>
        <w:t> </w:t>
      </w:r>
      <w:r w:rsidRPr="00735C25">
        <w:t>r.</w:t>
      </w:r>
      <w:r w:rsidRPr="00AE252D">
        <w:t xml:space="preserve"> do </w:t>
      </w:r>
      <w:r w:rsidRPr="00AE252D">
        <w:rPr>
          <w:b/>
          <w:bCs/>
        </w:rPr>
        <w:t>6,3% w 2030 r.</w:t>
      </w:r>
      <w:r w:rsidRPr="00AE252D">
        <w:t xml:space="preserve"> oraz </w:t>
      </w:r>
      <w:r w:rsidRPr="00AE252D">
        <w:rPr>
          <w:b/>
          <w:bCs/>
        </w:rPr>
        <w:t>3,8% w 2040 r.</w:t>
      </w:r>
      <w:r w:rsidR="00750D52">
        <w:rPr>
          <w:rStyle w:val="Odwoanieprzypisudolnego"/>
          <w:b/>
          <w:bCs/>
        </w:rPr>
        <w:footnoteReference w:id="88"/>
      </w:r>
    </w:p>
    <w:p w14:paraId="312BB27C" w14:textId="77777777" w:rsidR="00982E9E" w:rsidRDefault="00982E9E" w:rsidP="00982E9E">
      <w:pPr>
        <w:pStyle w:val="Polityka"/>
      </w:pPr>
      <w:r w:rsidRPr="00C46DAA">
        <w:t>POLITYKA</w:t>
      </w:r>
    </w:p>
    <w:p w14:paraId="646249C6" w14:textId="0C2F8C4A" w:rsidR="0063195D" w:rsidRDefault="00E231E0" w:rsidP="00E231E0">
      <w:r>
        <w:t>Prowadzenie</w:t>
      </w:r>
      <w:r w:rsidR="00845C90">
        <w:t xml:space="preserve"> </w:t>
      </w:r>
      <w:r>
        <w:t>kompleksowej polityki państwa nakierowanej na rozwiązanie problemu ubóstwa energetycznego</w:t>
      </w:r>
      <w:r w:rsidR="00A92EE0">
        <w:t xml:space="preserve"> wymaga działań różnych podmiotów publicznych – od </w:t>
      </w:r>
      <w:r w:rsidR="0063195D">
        <w:t>organów naczelnej administracji publicznej w zakresie określania kierunków redukcji zjawiska, po poziom jednostek samorządu terytorialnego i instytucji pomocy społecznej, które w naj</w:t>
      </w:r>
      <w:r w:rsidR="00963A1E">
        <w:t>większym</w:t>
      </w:r>
      <w:r w:rsidR="0063195D">
        <w:t xml:space="preserve"> stopniu są w stanie dotrzeć do osób dotkniętych tym problemem, jak również </w:t>
      </w:r>
      <w:r w:rsidR="00C81ACF">
        <w:t>ocenić adekwatność pomocy do potrzeb</w:t>
      </w:r>
      <w:r>
        <w:t xml:space="preserve">. </w:t>
      </w:r>
    </w:p>
    <w:p w14:paraId="3B9A2366" w14:textId="1D296089" w:rsidR="00E231E0" w:rsidRDefault="00E231E0" w:rsidP="00E231E0">
      <w:r>
        <w:t xml:space="preserve">Istotnym elementem jest monitoring liczby gospodarstw domowych dotkniętych ubóstwem energetycznym, a także kontynuacja i ewentualne dostosowanie do potrzeb odbiorców ubogich energetycznie programów finansowanych ze środków publicznych (w tym UE), w szczególności programów nastawionych na </w:t>
      </w:r>
      <w:r w:rsidR="00EB6EC3">
        <w:t xml:space="preserve">wymianę źródeł ciepła na bezemisyjne, czy </w:t>
      </w:r>
      <w:r>
        <w:t xml:space="preserve">finansowanie działań w zakresie modernizacji związanej z poprawą efektywności energetycznej. </w:t>
      </w:r>
      <w:r w:rsidR="0063195D">
        <w:t>Redukcja potrzeb energetycznych ma na celu</w:t>
      </w:r>
      <w:r w:rsidR="00C81ACF">
        <w:t xml:space="preserve"> ograniczenie kosztów związanych ze zużyciem energii, co będzie wpływać na obniżenie stopnia ubóstwa, nie tylko energetycznego. Trzeba podkreślić, że nie w każdym przypadku inwestycja termomodernizacyjna będzie zasadna, </w:t>
      </w:r>
      <w:r w:rsidR="0031489E">
        <w:t>w szczególności</w:t>
      </w:r>
      <w:r w:rsidR="00C81ACF">
        <w:t xml:space="preserve"> w domach</w:t>
      </w:r>
      <w:r w:rsidR="0031489E">
        <w:t xml:space="preserve"> w bardzo złym stanie technicznym i niskiej klasie energetycznej.</w:t>
      </w:r>
      <w:r w:rsidR="00C81ACF">
        <w:t xml:space="preserve"> </w:t>
      </w:r>
      <w:r w:rsidR="0031489E">
        <w:t>W</w:t>
      </w:r>
      <w:r w:rsidR="00C81ACF">
        <w:t>ówczas należy rozważyć inne formy wsparcia</w:t>
      </w:r>
      <w:r w:rsidR="0031489E">
        <w:t xml:space="preserve"> mieszkańców</w:t>
      </w:r>
      <w:r w:rsidR="00C81ACF">
        <w:t xml:space="preserve">. </w:t>
      </w:r>
      <w:r>
        <w:t>Efektem kompleksowej polityki publicznej</w:t>
      </w:r>
      <w:r w:rsidR="0031489E">
        <w:t>, prowadzonej na różnych poziomach instytucjonalnych</w:t>
      </w:r>
      <w:r w:rsidR="00963A1E">
        <w:t>,</w:t>
      </w:r>
      <w:r>
        <w:t xml:space="preserve"> </w:t>
      </w:r>
      <w:r w:rsidR="00E90BB3">
        <w:t>będzie znaczne</w:t>
      </w:r>
      <w:r w:rsidR="00BC45A5">
        <w:t xml:space="preserve"> </w:t>
      </w:r>
      <w:r>
        <w:t>ograniczenie zjawiska ubóstwa energetycznego</w:t>
      </w:r>
      <w:r w:rsidR="00E90BB3">
        <w:t xml:space="preserve"> z poziomu </w:t>
      </w:r>
      <w:r w:rsidR="00E90BB3" w:rsidRPr="00735C25">
        <w:t>9,05% w</w:t>
      </w:r>
      <w:r w:rsidR="00E90BB3">
        <w:t> </w:t>
      </w:r>
      <w:r w:rsidR="00E90BB3" w:rsidRPr="00735C25">
        <w:t>2019</w:t>
      </w:r>
      <w:r w:rsidR="00E90BB3">
        <w:t> </w:t>
      </w:r>
      <w:r w:rsidR="00E90BB3" w:rsidRPr="00735C25">
        <w:t>r.</w:t>
      </w:r>
      <w:r w:rsidR="00E90BB3" w:rsidRPr="00AE252D">
        <w:t xml:space="preserve"> do </w:t>
      </w:r>
      <w:r w:rsidR="00E90BB3" w:rsidRPr="00AE252D">
        <w:rPr>
          <w:b/>
          <w:bCs/>
        </w:rPr>
        <w:t>6,3% w 2030 r.</w:t>
      </w:r>
      <w:r w:rsidR="00E90BB3" w:rsidRPr="00AE252D">
        <w:t xml:space="preserve"> oraz </w:t>
      </w:r>
      <w:r w:rsidR="00E90BB3" w:rsidRPr="00AE252D">
        <w:rPr>
          <w:b/>
          <w:bCs/>
        </w:rPr>
        <w:t>3,8% w 2040 r</w:t>
      </w:r>
      <w:r>
        <w:t xml:space="preserve">. </w:t>
      </w:r>
    </w:p>
    <w:p w14:paraId="5FE8EE29" w14:textId="576920C0" w:rsidR="00BC45A5" w:rsidRDefault="00BC45A5" w:rsidP="00E231E0">
      <w:r>
        <w:t xml:space="preserve">Ogromną rolę w zakresie ochrony najbardziej narażonych obywateli przed negatywnymi skutkami transformacji będzie mieć </w:t>
      </w:r>
      <w:r w:rsidRPr="00BC45A5">
        <w:rPr>
          <w:b/>
          <w:bCs/>
          <w:i/>
          <w:iCs/>
        </w:rPr>
        <w:t>Społeczny Plan Klimatyczny</w:t>
      </w:r>
      <w:r>
        <w:t xml:space="preserve">, nad którym prowadzone </w:t>
      </w:r>
      <w:r w:rsidR="00E90BB3">
        <w:t>s</w:t>
      </w:r>
      <w:r>
        <w:t xml:space="preserve">ą prace. Plan będzie </w:t>
      </w:r>
      <w:r w:rsidR="0079698B">
        <w:t xml:space="preserve">odnosić się w szczególności do Społecznego </w:t>
      </w:r>
      <w:r w:rsidR="0079698B" w:rsidRPr="00E90BB3">
        <w:rPr>
          <w:i/>
          <w:iCs/>
          <w:u w:val="single"/>
        </w:rPr>
        <w:t>Funduszu</w:t>
      </w:r>
      <w:r w:rsidR="0079698B">
        <w:t xml:space="preserve"> Klimatycznego, który będzie kluczowym źródłem finansowania działań. </w:t>
      </w:r>
    </w:p>
    <w:p w14:paraId="5DB29931" w14:textId="77777777" w:rsidR="00982E9E" w:rsidRPr="00C46DAA" w:rsidRDefault="00982E9E" w:rsidP="00982E9E">
      <w:pPr>
        <w:pStyle w:val="Polityka"/>
      </w:pPr>
      <w:r w:rsidRPr="00C46DAA">
        <w:t>DZIAŁANIA</w:t>
      </w:r>
    </w:p>
    <w:p w14:paraId="17B8B006" w14:textId="53C46AC5" w:rsidR="005377DE" w:rsidRDefault="005377DE" w:rsidP="00982E9E">
      <w:pPr>
        <w:pStyle w:val="Akapitzlist"/>
        <w:numPr>
          <w:ilvl w:val="0"/>
          <w:numId w:val="6"/>
        </w:numPr>
      </w:pPr>
      <w:r>
        <w:fldChar w:fldCharType="begin"/>
      </w:r>
      <w:r>
        <w:instrText xml:space="preserve"> REF _Ref157420175 \h </w:instrText>
      </w:r>
      <w:r>
        <w:fldChar w:fldCharType="separate"/>
      </w:r>
      <w:r w:rsidR="00DD3929" w:rsidRPr="00F12C9E">
        <w:t xml:space="preserve">Działanie </w:t>
      </w:r>
      <w:r w:rsidR="00DD3929">
        <w:rPr>
          <w:noProof/>
        </w:rPr>
        <w:t>11</w:t>
      </w:r>
      <w:r w:rsidR="00DD3929" w:rsidRPr="00F12C9E">
        <w:t xml:space="preserve">. Instrument finansowy – Program Priorytetowy NFOŚiGW – </w:t>
      </w:r>
      <w:r w:rsidR="00DD3929">
        <w:t>„</w:t>
      </w:r>
      <w:r w:rsidR="00DD3929" w:rsidRPr="00F12C9E">
        <w:t>Mój Prąd</w:t>
      </w:r>
      <w:r w:rsidR="00DD3929">
        <w:t>”</w:t>
      </w:r>
      <w:r w:rsidR="00DD3929" w:rsidRPr="00F12C9E">
        <w:t>.</w:t>
      </w:r>
      <w:r>
        <w:fldChar w:fldCharType="end"/>
      </w:r>
    </w:p>
    <w:p w14:paraId="0C1F42C9" w14:textId="68366DC4" w:rsidR="005377DE" w:rsidRDefault="005377DE" w:rsidP="00982E9E">
      <w:pPr>
        <w:pStyle w:val="Akapitzlist"/>
        <w:numPr>
          <w:ilvl w:val="0"/>
          <w:numId w:val="6"/>
        </w:numPr>
      </w:pPr>
      <w:r>
        <w:fldChar w:fldCharType="begin"/>
      </w:r>
      <w:r>
        <w:instrText xml:space="preserve"> REF _Ref157420182 \h </w:instrText>
      </w:r>
      <w:r>
        <w:fldChar w:fldCharType="separate"/>
      </w:r>
      <w:r w:rsidR="00DD3929" w:rsidRPr="00F12C9E">
        <w:t xml:space="preserve">Działanie </w:t>
      </w:r>
      <w:r w:rsidR="00DD3929">
        <w:rPr>
          <w:noProof/>
        </w:rPr>
        <w:t>12</w:t>
      </w:r>
      <w:r w:rsidR="00DD3929" w:rsidRPr="00F12C9E">
        <w:t xml:space="preserve">. Instrument finansowy – Program Priorytetowy NFOŚiGW – </w:t>
      </w:r>
      <w:r w:rsidR="00DD3929">
        <w:t>„</w:t>
      </w:r>
      <w:r w:rsidR="00DD3929" w:rsidRPr="00F12C9E">
        <w:t>Energia Plus</w:t>
      </w:r>
      <w:r w:rsidR="00DD3929">
        <w:t>”</w:t>
      </w:r>
      <w:r w:rsidR="00DD3929" w:rsidRPr="00F12C9E">
        <w:t>.</w:t>
      </w:r>
      <w:r>
        <w:fldChar w:fldCharType="end"/>
      </w:r>
    </w:p>
    <w:p w14:paraId="6FAAD81D" w14:textId="71E01D19" w:rsidR="005377DE" w:rsidRDefault="005377DE" w:rsidP="00982E9E">
      <w:pPr>
        <w:pStyle w:val="Akapitzlist"/>
        <w:numPr>
          <w:ilvl w:val="0"/>
          <w:numId w:val="6"/>
        </w:numPr>
      </w:pPr>
      <w:r>
        <w:fldChar w:fldCharType="begin"/>
      </w:r>
      <w:r>
        <w:instrText xml:space="preserve"> REF _Ref157420961 \h </w:instrText>
      </w:r>
      <w:r>
        <w:fldChar w:fldCharType="separate"/>
      </w:r>
      <w:r w:rsidR="00DD3929" w:rsidRPr="00F12C9E">
        <w:t xml:space="preserve">Działanie </w:t>
      </w:r>
      <w:r w:rsidR="00DD3929">
        <w:rPr>
          <w:noProof/>
        </w:rPr>
        <w:t>17</w:t>
      </w:r>
      <w:r w:rsidR="00DD3929" w:rsidRPr="00F12C9E">
        <w:t>. Instrument finansowy – inne programy NFOŚiGW wspierające rozwój OZE.</w:t>
      </w:r>
      <w:r>
        <w:fldChar w:fldCharType="end"/>
      </w:r>
    </w:p>
    <w:p w14:paraId="2CA1A6E1" w14:textId="44448DEE" w:rsidR="005377DE" w:rsidRDefault="005377DE" w:rsidP="00982E9E">
      <w:pPr>
        <w:pStyle w:val="Akapitzlist"/>
        <w:numPr>
          <w:ilvl w:val="0"/>
          <w:numId w:val="6"/>
        </w:numPr>
      </w:pPr>
      <w:r>
        <w:fldChar w:fldCharType="begin"/>
      </w:r>
      <w:r>
        <w:instrText xml:space="preserve"> REF _Ref157422636 \h </w:instrText>
      </w:r>
      <w:r>
        <w:fldChar w:fldCharType="separate"/>
      </w:r>
      <w:r w:rsidR="00DD3929" w:rsidRPr="00F12C9E">
        <w:t xml:space="preserve">Działanie </w:t>
      </w:r>
      <w:r w:rsidR="00DD3929">
        <w:rPr>
          <w:noProof/>
        </w:rPr>
        <w:t>22</w:t>
      </w:r>
      <w:r w:rsidR="00DD3929" w:rsidRPr="00F12C9E">
        <w:t>. Instrument finansowy – Program Priorytetowy NFOŚiGW – „Moje ciepło”.</w:t>
      </w:r>
      <w:r>
        <w:fldChar w:fldCharType="end"/>
      </w:r>
    </w:p>
    <w:p w14:paraId="1819CE90" w14:textId="0A6D0433" w:rsidR="005377DE" w:rsidRDefault="005377DE" w:rsidP="00982E9E">
      <w:pPr>
        <w:pStyle w:val="Akapitzlist"/>
        <w:numPr>
          <w:ilvl w:val="0"/>
          <w:numId w:val="6"/>
        </w:numPr>
      </w:pPr>
      <w:r>
        <w:fldChar w:fldCharType="begin"/>
      </w:r>
      <w:r>
        <w:instrText xml:space="preserve"> REF _Ref157420374 \h </w:instrText>
      </w:r>
      <w:r>
        <w:fldChar w:fldCharType="separate"/>
      </w:r>
      <w:r w:rsidR="00DD3929" w:rsidRPr="00F12C9E">
        <w:t xml:space="preserve">Działanie </w:t>
      </w:r>
      <w:r w:rsidR="00DD3929">
        <w:rPr>
          <w:noProof/>
        </w:rPr>
        <w:t>23</w:t>
      </w:r>
      <w:r w:rsidR="00DD3929" w:rsidRPr="00F12C9E">
        <w:t>. Instrument finansowy – Program Priorytetowy NFOŚiGW – „Czyste Powietrze</w:t>
      </w:r>
      <w:r w:rsidR="00DD3929">
        <w:t>”</w:t>
      </w:r>
      <w:r w:rsidR="00DD3929" w:rsidRPr="00F12C9E">
        <w:t>.</w:t>
      </w:r>
      <w:r>
        <w:fldChar w:fldCharType="end"/>
      </w:r>
    </w:p>
    <w:p w14:paraId="67B6CF5D" w14:textId="44EEA7CC" w:rsidR="005377DE" w:rsidRDefault="005377DE" w:rsidP="00982E9E">
      <w:pPr>
        <w:pStyle w:val="Akapitzlist"/>
        <w:numPr>
          <w:ilvl w:val="0"/>
          <w:numId w:val="6"/>
        </w:numPr>
      </w:pPr>
      <w:r>
        <w:fldChar w:fldCharType="begin"/>
      </w:r>
      <w:r>
        <w:instrText xml:space="preserve"> REF _Ref159355233 \h </w:instrText>
      </w:r>
      <w:r>
        <w:fldChar w:fldCharType="separate"/>
      </w:r>
      <w:r w:rsidR="00DD3929">
        <w:t xml:space="preserve">Działanie </w:t>
      </w:r>
      <w:r w:rsidR="00DD3929">
        <w:rPr>
          <w:noProof/>
        </w:rPr>
        <w:t>24</w:t>
      </w:r>
      <w:r w:rsidR="00DD3929">
        <w:t>. Instrument finansowy – Program Priorytetowy NFOŚiGW – „Stop Smog”</w:t>
      </w:r>
      <w:r w:rsidR="00DD3929">
        <w:rPr>
          <w:noProof/>
        </w:rPr>
        <w:t>.</w:t>
      </w:r>
      <w:r>
        <w:fldChar w:fldCharType="end"/>
      </w:r>
    </w:p>
    <w:p w14:paraId="64F6D9E1" w14:textId="06CADF41" w:rsidR="005377DE" w:rsidRDefault="005377DE" w:rsidP="00982E9E">
      <w:pPr>
        <w:pStyle w:val="Akapitzlist"/>
        <w:numPr>
          <w:ilvl w:val="0"/>
          <w:numId w:val="6"/>
        </w:numPr>
      </w:pPr>
      <w:r>
        <w:fldChar w:fldCharType="begin"/>
      </w:r>
      <w:r>
        <w:instrText xml:space="preserve"> REF _Ref157422650 \h </w:instrText>
      </w:r>
      <w:r>
        <w:fldChar w:fldCharType="separate"/>
      </w:r>
      <w:r w:rsidR="00DD3929" w:rsidRPr="00F12C9E">
        <w:t xml:space="preserve">Działanie </w:t>
      </w:r>
      <w:r w:rsidR="00DD3929">
        <w:rPr>
          <w:noProof/>
        </w:rPr>
        <w:t>25</w:t>
      </w:r>
      <w:r w:rsidR="00DD3929" w:rsidRPr="00F12C9E">
        <w:t xml:space="preserve">. Instrument finansowy – Program Priorytetowy NFOŚiGW </w:t>
      </w:r>
      <w:r w:rsidR="00DD3929">
        <w:t>– „</w:t>
      </w:r>
      <w:r w:rsidR="00DD3929" w:rsidRPr="00F12C9E">
        <w:t>Ciepłe Mieszkanie</w:t>
      </w:r>
      <w:r w:rsidR="00DD3929">
        <w:t>”</w:t>
      </w:r>
      <w:r w:rsidR="00DD3929" w:rsidRPr="00F12C9E">
        <w:t>.</w:t>
      </w:r>
      <w:r>
        <w:fldChar w:fldCharType="end"/>
      </w:r>
    </w:p>
    <w:p w14:paraId="68B2CACC" w14:textId="5A6849AB" w:rsidR="005377DE" w:rsidRDefault="005377DE" w:rsidP="00982E9E">
      <w:pPr>
        <w:pStyle w:val="Akapitzlist"/>
        <w:numPr>
          <w:ilvl w:val="0"/>
          <w:numId w:val="6"/>
        </w:numPr>
      </w:pPr>
      <w:r>
        <w:fldChar w:fldCharType="begin"/>
      </w:r>
      <w:r>
        <w:instrText xml:space="preserve"> REF _Ref157423349 \h </w:instrText>
      </w:r>
      <w:r>
        <w:fldChar w:fldCharType="separate"/>
      </w:r>
      <w:r w:rsidR="00DD3929" w:rsidRPr="00751886">
        <w:t xml:space="preserve">Działanie </w:t>
      </w:r>
      <w:r w:rsidR="00DD3929">
        <w:rPr>
          <w:noProof/>
        </w:rPr>
        <w:t>96</w:t>
      </w:r>
      <w:r w:rsidR="00DD3929" w:rsidRPr="00751886">
        <w:t xml:space="preserve">. Instrument </w:t>
      </w:r>
      <w:r w:rsidR="00DD3929" w:rsidRPr="00661B98">
        <w:t>finansowy</w:t>
      </w:r>
      <w:r w:rsidR="00DD3929" w:rsidRPr="00751886">
        <w:t xml:space="preserve"> – Program Termo.</w:t>
      </w:r>
      <w:r>
        <w:fldChar w:fldCharType="end"/>
      </w:r>
    </w:p>
    <w:p w14:paraId="4B7EAC3E" w14:textId="214F0C53" w:rsidR="005377DE" w:rsidRDefault="005377DE" w:rsidP="00982E9E">
      <w:pPr>
        <w:pStyle w:val="Akapitzlist"/>
        <w:numPr>
          <w:ilvl w:val="0"/>
          <w:numId w:val="6"/>
        </w:numPr>
      </w:pPr>
      <w:r>
        <w:fldChar w:fldCharType="begin"/>
      </w:r>
      <w:r>
        <w:instrText xml:space="preserve"> REF _Ref157423353 \h </w:instrText>
      </w:r>
      <w:r>
        <w:fldChar w:fldCharType="separate"/>
      </w:r>
      <w:r w:rsidR="00DD3929" w:rsidRPr="00DE3F08">
        <w:t xml:space="preserve">Działanie </w:t>
      </w:r>
      <w:r w:rsidR="00DD3929">
        <w:rPr>
          <w:noProof/>
        </w:rPr>
        <w:t>97</w:t>
      </w:r>
      <w:r w:rsidR="00DD3929" w:rsidRPr="00DE3F08">
        <w:t xml:space="preserve">. Instrument </w:t>
      </w:r>
      <w:r w:rsidR="00DD3929" w:rsidRPr="00661B98">
        <w:t>finansowy</w:t>
      </w:r>
      <w:r w:rsidR="00DD3929" w:rsidRPr="00DE3F08">
        <w:t xml:space="preserve"> – </w:t>
      </w:r>
      <w:r w:rsidR="00DD3929" w:rsidRPr="00D94B5E">
        <w:t xml:space="preserve">Ulga </w:t>
      </w:r>
      <w:r w:rsidR="00DD3929">
        <w:t>podatkowa dotycząca wydatków poniesionych na termomodernizację jednorodzinnych budynków mieszkalnych</w:t>
      </w:r>
      <w:r w:rsidR="00DD3929" w:rsidRPr="00DE3F08">
        <w:t>.</w:t>
      </w:r>
      <w:r>
        <w:fldChar w:fldCharType="end"/>
      </w:r>
    </w:p>
    <w:p w14:paraId="0BF447CB" w14:textId="6C993E25" w:rsidR="005377DE" w:rsidRDefault="005377DE" w:rsidP="00982E9E">
      <w:pPr>
        <w:pStyle w:val="Akapitzlist"/>
        <w:numPr>
          <w:ilvl w:val="0"/>
          <w:numId w:val="6"/>
        </w:numPr>
      </w:pPr>
      <w:r>
        <w:fldChar w:fldCharType="begin"/>
      </w:r>
      <w:r>
        <w:instrText xml:space="preserve"> REF _Ref157435580 \h </w:instrText>
      </w:r>
      <w:r>
        <w:fldChar w:fldCharType="separate"/>
      </w:r>
      <w:r w:rsidR="00DD3929" w:rsidRPr="00570679">
        <w:t xml:space="preserve">Działanie </w:t>
      </w:r>
      <w:r w:rsidR="00DD3929">
        <w:rPr>
          <w:noProof/>
        </w:rPr>
        <w:t>134</w:t>
      </w:r>
      <w:r w:rsidR="00DD3929" w:rsidRPr="00570679">
        <w:t xml:space="preserve">. Redukowanie ubóstwa </w:t>
      </w:r>
      <w:r w:rsidR="00DD3929" w:rsidRPr="00B31627">
        <w:t>energetycznego</w:t>
      </w:r>
      <w:r w:rsidR="00DD3929">
        <w:t xml:space="preserve"> oraz ochrona odbiorcy wrażliwego </w:t>
      </w:r>
      <w:r w:rsidR="00DD3929" w:rsidRPr="00A2613E">
        <w:t>poprzez bezzwrotne programy dofinansowania działań termomodernizacyjnych oraz instalacji zeroemisyjnych źródeł energii i ciepła zintegrowanych z magazynami energii i ciepła</w:t>
      </w:r>
      <w:r w:rsidR="00DD3929" w:rsidRPr="00570679">
        <w:t>.</w:t>
      </w:r>
      <w:r>
        <w:fldChar w:fldCharType="end"/>
      </w:r>
    </w:p>
    <w:p w14:paraId="1A25E8C4" w14:textId="77777777" w:rsidR="00994922" w:rsidRDefault="00994922" w:rsidP="00994922">
      <w:pPr>
        <w:pStyle w:val="Nagwek4"/>
        <w:rPr>
          <w:color w:val="FFC000" w:themeColor="accent4"/>
        </w:rPr>
      </w:pPr>
      <w:bookmarkStart w:id="240" w:name="_Toc179536999"/>
      <w:bookmarkStart w:id="241" w:name="_Toc159598349"/>
      <w:r>
        <w:rPr>
          <w:color w:val="FFC000" w:themeColor="accent4"/>
        </w:rPr>
        <w:t>Redukcja u</w:t>
      </w:r>
      <w:r w:rsidRPr="00DC4FF7">
        <w:rPr>
          <w:color w:val="FFC000" w:themeColor="accent4"/>
        </w:rPr>
        <w:t>bóstw</w:t>
      </w:r>
      <w:r>
        <w:rPr>
          <w:color w:val="FFC000" w:themeColor="accent4"/>
        </w:rPr>
        <w:t>a</w:t>
      </w:r>
      <w:r w:rsidRPr="00DC4FF7">
        <w:rPr>
          <w:color w:val="FFC000" w:themeColor="accent4"/>
        </w:rPr>
        <w:t xml:space="preserve"> transportowe</w:t>
      </w:r>
      <w:r>
        <w:rPr>
          <w:color w:val="FFC000" w:themeColor="accent4"/>
        </w:rPr>
        <w:t>go</w:t>
      </w:r>
      <w:bookmarkEnd w:id="240"/>
    </w:p>
    <w:p w14:paraId="3B5F6791" w14:textId="39CCE4C4" w:rsidR="00994922" w:rsidRDefault="00994922" w:rsidP="00994922">
      <w:r w:rsidRPr="00F47C13">
        <w:t>Ubóstwo transportowe</w:t>
      </w:r>
      <w:r>
        <w:t xml:space="preserve"> </w:t>
      </w:r>
      <w:r w:rsidRPr="00F47C13">
        <w:t>oznacza trudności, jakie napotykają osoby i gospodarstwa domowe w dostępie do prywatnego lub publicznego transportu, co skutkuje ograniczeniami w korzystaniu z podstawowych usług i uczestnictwie w życiu społeczno-gospodarczym. Problem jest szczególnie widoczny w kontekście przestrzennym, gdzie duże zróżnicowanie w rozwoju infrastruktury transportowej między miastami a</w:t>
      </w:r>
      <w:r w:rsidR="00E0697B">
        <w:t> </w:t>
      </w:r>
      <w:r w:rsidRPr="00F47C13">
        <w:t>obszarami wiejskimi oraz różnice regionalne wpływają na stopień wykluczenia transportowego.</w:t>
      </w:r>
    </w:p>
    <w:p w14:paraId="561500A3" w14:textId="38A46CDB" w:rsidR="00994922" w:rsidRDefault="00994922" w:rsidP="00994922">
      <w:r w:rsidRPr="00F47C13">
        <w:t>W Polsce ubóstwo transportowe jest ściśle powiązane z nierównomiernym rozwojem infrastruktury transportowej. W dużych miastach, zwłaszcza aglomeracjach, problem ten jest mniej dotkliwy dzięki rozwiniętej sieci transportu publicznego. Jednakże w mniejszych miastach oraz na obszarach wiejskich, gdzie dostęp do komunikacji zbiorowej bywa ograniczony lub wręcz nieistniejący, problem ubóstwa transportowego jest znacznie bardziej widoczny.</w:t>
      </w:r>
    </w:p>
    <w:p w14:paraId="7EC65AAE" w14:textId="77777777" w:rsidR="00994922" w:rsidRDefault="00994922" w:rsidP="00994922">
      <w:r w:rsidRPr="00F47C13">
        <w:t>Na terenach wiejskich, które stanowią znaczną część terytorium Polski, wykluczenie transportowe jest często konsekwencją likwidacji połączeń autobusowych, zamykania stacji kolejowych, czy też braku alternatywnych środków transportu. W regionach o niskiej gęstości zaludnienia, mieszkańcy muszą pokonywać znaczne odległości, aby dotrzeć do pracy, szkół, placówek zdrowotnych czy urzędów, co zwiększa ich zależność od prywatnych samochodów. Dla wielu osób koszty utrzymania własnego pojazdu są jednak zbyt wysokie, co prowadzi do marginalizacji i wykluczenia społecznego.</w:t>
      </w:r>
    </w:p>
    <w:p w14:paraId="1A91D3E1" w14:textId="491385E3" w:rsidR="00994922" w:rsidRPr="00552E3E" w:rsidRDefault="00C36C26" w:rsidP="00994922">
      <w:pPr>
        <w:pBdr>
          <w:top w:val="single" w:sz="24" w:space="2" w:color="D9D9D9" w:themeColor="background1" w:themeShade="D9"/>
          <w:left w:val="single" w:sz="24" w:space="4" w:color="D9D9D9" w:themeColor="background1" w:themeShade="D9"/>
          <w:bottom w:val="single" w:sz="24" w:space="2" w:color="D9D9D9" w:themeColor="background1" w:themeShade="D9"/>
          <w:right w:val="single" w:sz="24" w:space="4" w:color="D9D9D9" w:themeColor="background1" w:themeShade="D9"/>
        </w:pBdr>
        <w:shd w:val="clear" w:color="auto" w:fill="D9D9D9" w:themeFill="background1" w:themeFillShade="D9"/>
        <w:spacing w:before="160" w:after="360"/>
        <w:jc w:val="center"/>
        <w:rPr>
          <w:rFonts w:cs="Calibri"/>
          <w:b/>
          <w:bCs/>
          <w:sz w:val="24"/>
        </w:rPr>
      </w:pPr>
      <w:bookmarkStart w:id="242" w:name="_Hlk174525581"/>
      <w:r w:rsidRPr="00C235C2">
        <w:rPr>
          <w:rFonts w:cs="Calibri"/>
          <w:b/>
          <w:bCs/>
          <w:sz w:val="24"/>
        </w:rPr>
        <w:t>Celem jest dążenie do zapewnienia dostępności komunikacyjnej dla</w:t>
      </w:r>
      <w:r w:rsidR="0026243D" w:rsidRPr="00C235C2">
        <w:rPr>
          <w:rFonts w:cs="Calibri"/>
          <w:b/>
          <w:bCs/>
          <w:sz w:val="24"/>
        </w:rPr>
        <w:t> </w:t>
      </w:r>
      <w:r w:rsidRPr="00C235C2">
        <w:rPr>
          <w:rFonts w:cs="Calibri"/>
          <w:b/>
          <w:bCs/>
          <w:sz w:val="24"/>
        </w:rPr>
        <w:t>mieszkańców</w:t>
      </w:r>
      <w:r w:rsidR="0026243D" w:rsidRPr="00C235C2">
        <w:rPr>
          <w:rFonts w:cs="Calibri"/>
          <w:b/>
          <w:bCs/>
          <w:sz w:val="24"/>
        </w:rPr>
        <w:t> </w:t>
      </w:r>
      <w:r w:rsidRPr="00C235C2">
        <w:rPr>
          <w:rFonts w:cs="Calibri"/>
          <w:b/>
          <w:bCs/>
          <w:sz w:val="24"/>
        </w:rPr>
        <w:t>Polski</w:t>
      </w:r>
      <w:r w:rsidR="0026243D">
        <w:rPr>
          <w:rFonts w:cs="Calibri"/>
          <w:sz w:val="24"/>
        </w:rPr>
        <w:t>.</w:t>
      </w:r>
    </w:p>
    <w:bookmarkEnd w:id="242"/>
    <w:p w14:paraId="677A0C38" w14:textId="77777777" w:rsidR="00994922" w:rsidRDefault="00994922" w:rsidP="00994922">
      <w:pPr>
        <w:pStyle w:val="Polityka"/>
      </w:pPr>
      <w:r w:rsidRPr="00C46DAA">
        <w:t>POLITYKA</w:t>
      </w:r>
    </w:p>
    <w:p w14:paraId="5033A3FF" w14:textId="3D8377A6" w:rsidR="00994922" w:rsidRDefault="00994922" w:rsidP="00994922">
      <w:r>
        <w:t>Polityka w zakresie redukcji ubóstwa transportowego będzie koncentrować się na kilku kluczowych obszarach</w:t>
      </w:r>
      <w:r w:rsidR="0026243D">
        <w:t>,</w:t>
      </w:r>
      <w:r>
        <w:t xml:space="preserve"> przy czym nie będzie się wiązała z zakazem korzystania z samochodów osobowych. Przede wszystkim, konieczne będzie reaktywowanie połączeń autobusowych w ramach programów takich jak </w:t>
      </w:r>
      <w:r w:rsidRPr="00C36C26">
        <w:rPr>
          <w:i/>
          <w:iCs/>
        </w:rPr>
        <w:t>Fundusz rozwoju przewozów autobusowych o charakterze użyteczności publicznej</w:t>
      </w:r>
      <w:r>
        <w:t xml:space="preserve">, który ma na celu przywracanie zlikwidowanych linii autobusowych, szczególnie w mniejszych miejscowościach i na terenach wiejskich. Tego typu inicjatywy będą zwiększać dostępność transportu publicznego, zwłaszcza dla osób starszych, młodzieży i osób o niskich dochodach. </w:t>
      </w:r>
    </w:p>
    <w:p w14:paraId="68275DCD" w14:textId="77777777" w:rsidR="00994922" w:rsidRDefault="00994922" w:rsidP="00994922">
      <w:r>
        <w:t xml:space="preserve">Równie istotne będą inwestycje w modernizację i rozbudowę sieci kolejowej, rozwój dróg lokalnych oraz budowy infrastruktury dla transportu publicznego w miastach. Kluczowe znaczenie w tym kontekście ma realizacja programów takich jak Kolej Plus, które dążą do przywrócenia połączeń kolejowych do mniejszych miast. Działania te nie tylko poprawiają dostępność transportu, ale również przeciwdziałają wykluczeniu transportowemu. </w:t>
      </w:r>
    </w:p>
    <w:p w14:paraId="49467E74" w14:textId="33240601" w:rsidR="00994922" w:rsidRDefault="00994922" w:rsidP="00994922">
      <w:r>
        <w:t>Polityka transportowa będzie również obejmować różne formy wsparcia finansowego, takie jak dotacje i ulgi w transporcie publicznym. Ulgi dla uczniów, studentów, osób starszych oraz osób niepełnosprawnych będą istotnym elementem zwiększającym dostępność transportu publicznego dla grup najbardziej narażonych na wykluczenie transportowe.</w:t>
      </w:r>
    </w:p>
    <w:p w14:paraId="306E0115" w14:textId="12732FB5" w:rsidR="00994922" w:rsidRDefault="00994922" w:rsidP="00994922">
      <w:r>
        <w:t xml:space="preserve">Ważną rolę w polityce transportowej odegrają również działania na rzecz promocji alternatywnych form transportu, takich jak rozwój infrastruktury dla rowerów, </w:t>
      </w:r>
      <w:r w:rsidR="00C8184D">
        <w:t xml:space="preserve">rowerów i </w:t>
      </w:r>
      <w:r>
        <w:t xml:space="preserve">hulajnóg </w:t>
      </w:r>
      <w:r w:rsidR="00C8184D">
        <w:t>elektrycznych,</w:t>
      </w:r>
      <w:r w:rsidR="00265497">
        <w:t xml:space="preserve"> </w:t>
      </w:r>
      <w:r>
        <w:t>oraz car</w:t>
      </w:r>
      <w:r w:rsidR="00265497">
        <w:noBreakHyphen/>
      </w:r>
      <w:r>
        <w:t>sharingu. Te inicjatywy nie tylko pomagają w walce z wykluczeniem transportowym, ale również zmniejszają zależność od samochodów prywatnych, zwłaszcza w obszarach o dużym natężeniu ruchu</w:t>
      </w:r>
      <w:r w:rsidR="000E5834">
        <w:t xml:space="preserve"> oraz mogą być uzupełnieniem transportu publicznego, stanowiącego podstawę zrównoważonej </w:t>
      </w:r>
      <w:r w:rsidR="00C8184D">
        <w:t>mobilności.</w:t>
      </w:r>
    </w:p>
    <w:p w14:paraId="072C4D69" w14:textId="46C58E37" w:rsidR="00994922" w:rsidRDefault="00C36C26" w:rsidP="00994922">
      <w:r>
        <w:t xml:space="preserve">Niezwykle ważne jest ograniczenie ryzyka rozwoju </w:t>
      </w:r>
      <w:r w:rsidR="00527101">
        <w:t xml:space="preserve">ubóstwa transportowego. </w:t>
      </w:r>
      <w:r w:rsidR="00994922">
        <w:t>W przypadku rozwoju miast i wsi polityka będzie kłaść nacisk na integrację planowania przestrzennego z planowaniem transportu. Celem takiej polityki będzie minimalizowanie dystansów między miejscem zamieszkania a miejscem pracy oraz dostępem do usług, co w efekcie prowadzi do zmniejszenia zależności od transportu prywatnego.</w:t>
      </w:r>
    </w:p>
    <w:p w14:paraId="49A27343" w14:textId="77777777" w:rsidR="00994922" w:rsidRDefault="00994922" w:rsidP="00994922">
      <w:pPr>
        <w:pStyle w:val="Polityka"/>
      </w:pPr>
      <w:r w:rsidRPr="00C46DAA">
        <w:t>DZIAŁANIA</w:t>
      </w:r>
    </w:p>
    <w:p w14:paraId="782C9B11" w14:textId="00619D8A" w:rsidR="00994922" w:rsidRDefault="00994922" w:rsidP="00994922">
      <w:pPr>
        <w:pStyle w:val="Akapitzlist"/>
        <w:numPr>
          <w:ilvl w:val="0"/>
          <w:numId w:val="6"/>
        </w:numPr>
        <w:rPr>
          <w:szCs w:val="20"/>
        </w:rPr>
      </w:pPr>
      <w:r>
        <w:rPr>
          <w:szCs w:val="20"/>
        </w:rPr>
        <w:fldChar w:fldCharType="begin"/>
      </w:r>
      <w:r>
        <w:rPr>
          <w:szCs w:val="20"/>
        </w:rPr>
        <w:instrText xml:space="preserve"> REF _Ref157424317 \h </w:instrText>
      </w:r>
      <w:r>
        <w:rPr>
          <w:szCs w:val="20"/>
        </w:rPr>
      </w:r>
      <w:r>
        <w:rPr>
          <w:szCs w:val="20"/>
        </w:rPr>
        <w:fldChar w:fldCharType="separate"/>
      </w:r>
      <w:r w:rsidR="00DD3929" w:rsidRPr="00F12C9E">
        <w:t xml:space="preserve">Działanie </w:t>
      </w:r>
      <w:r w:rsidR="00DD3929">
        <w:rPr>
          <w:noProof/>
        </w:rPr>
        <w:t>28</w:t>
      </w:r>
      <w:r w:rsidR="00DD3929" w:rsidRPr="00F12C9E">
        <w:t>. Inteligentne Systemy Transportowe (ITS).</w:t>
      </w:r>
      <w:r>
        <w:rPr>
          <w:szCs w:val="20"/>
        </w:rPr>
        <w:fldChar w:fldCharType="end"/>
      </w:r>
    </w:p>
    <w:p w14:paraId="6245D130" w14:textId="0DE81B74" w:rsidR="00994922" w:rsidRDefault="00994922" w:rsidP="00994922">
      <w:pPr>
        <w:pStyle w:val="Akapitzlist"/>
        <w:numPr>
          <w:ilvl w:val="0"/>
          <w:numId w:val="6"/>
        </w:numPr>
        <w:rPr>
          <w:szCs w:val="20"/>
        </w:rPr>
      </w:pPr>
      <w:r w:rsidRPr="00253D21">
        <w:rPr>
          <w:szCs w:val="20"/>
        </w:rPr>
        <w:fldChar w:fldCharType="begin"/>
      </w:r>
      <w:r w:rsidRPr="00253D21">
        <w:rPr>
          <w:szCs w:val="20"/>
        </w:rPr>
        <w:instrText xml:space="preserve"> REF _Ref157424651 \h </w:instrText>
      </w:r>
      <w:r w:rsidRPr="00253D21">
        <w:rPr>
          <w:szCs w:val="20"/>
        </w:rPr>
      </w:r>
      <w:r w:rsidRPr="00253D21">
        <w:rPr>
          <w:szCs w:val="20"/>
        </w:rPr>
        <w:fldChar w:fldCharType="separate"/>
      </w:r>
      <w:r w:rsidR="00DD3929" w:rsidRPr="00F12C9E">
        <w:t xml:space="preserve">Działanie </w:t>
      </w:r>
      <w:r w:rsidR="00DD3929">
        <w:rPr>
          <w:noProof/>
        </w:rPr>
        <w:t>29</w:t>
      </w:r>
      <w:r w:rsidR="00DD3929" w:rsidRPr="00F12C9E">
        <w:t>. Zwiększenie spójności dróg krajowych.</w:t>
      </w:r>
      <w:r w:rsidRPr="00253D21">
        <w:rPr>
          <w:szCs w:val="20"/>
        </w:rPr>
        <w:fldChar w:fldCharType="end"/>
      </w:r>
    </w:p>
    <w:p w14:paraId="2B76FB93" w14:textId="2856D9DC" w:rsidR="00994922" w:rsidRPr="00253D21" w:rsidRDefault="00994922" w:rsidP="00994922">
      <w:pPr>
        <w:pStyle w:val="Akapitzlist"/>
        <w:numPr>
          <w:ilvl w:val="0"/>
          <w:numId w:val="6"/>
        </w:numPr>
        <w:rPr>
          <w:szCs w:val="20"/>
        </w:rPr>
      </w:pPr>
      <w:r w:rsidRPr="00253D21">
        <w:rPr>
          <w:szCs w:val="20"/>
        </w:rPr>
        <w:fldChar w:fldCharType="begin"/>
      </w:r>
      <w:r w:rsidRPr="00253D21">
        <w:rPr>
          <w:szCs w:val="20"/>
        </w:rPr>
        <w:instrText xml:space="preserve"> REF _Ref157424674 \h </w:instrText>
      </w:r>
      <w:r w:rsidRPr="00253D21">
        <w:rPr>
          <w:szCs w:val="20"/>
        </w:rPr>
      </w:r>
      <w:r w:rsidRPr="00253D21">
        <w:rPr>
          <w:szCs w:val="20"/>
        </w:rPr>
        <w:fldChar w:fldCharType="separate"/>
      </w:r>
      <w:r w:rsidR="00DD3929" w:rsidRPr="00F12C9E">
        <w:t xml:space="preserve">Działanie </w:t>
      </w:r>
      <w:r w:rsidR="00DD3929">
        <w:rPr>
          <w:noProof/>
        </w:rPr>
        <w:t>30</w:t>
      </w:r>
      <w:r w:rsidR="00DD3929" w:rsidRPr="00F12C9E">
        <w:t>. Instrument finansowy – Fundusz rozwoju przewozów autobusowych o</w:t>
      </w:r>
      <w:r w:rsidR="00DD3929">
        <w:t> </w:t>
      </w:r>
      <w:r w:rsidR="00DD3929" w:rsidRPr="00F12C9E">
        <w:t>charakterze użyteczności publicznej.</w:t>
      </w:r>
      <w:r w:rsidRPr="00253D21">
        <w:rPr>
          <w:szCs w:val="20"/>
        </w:rPr>
        <w:fldChar w:fldCharType="end"/>
      </w:r>
    </w:p>
    <w:p w14:paraId="0E9E07C7" w14:textId="095FDFFF" w:rsidR="00994922" w:rsidRPr="00253D21" w:rsidRDefault="00994922" w:rsidP="00994922">
      <w:pPr>
        <w:pStyle w:val="Akapitzlist"/>
        <w:numPr>
          <w:ilvl w:val="0"/>
          <w:numId w:val="6"/>
        </w:numPr>
        <w:rPr>
          <w:szCs w:val="20"/>
        </w:rPr>
      </w:pPr>
      <w:r w:rsidRPr="00253D21">
        <w:rPr>
          <w:szCs w:val="20"/>
        </w:rPr>
        <w:fldChar w:fldCharType="begin"/>
      </w:r>
      <w:r w:rsidRPr="00253D21">
        <w:rPr>
          <w:szCs w:val="20"/>
        </w:rPr>
        <w:instrText xml:space="preserve"> REF _Ref157424685 \h </w:instrText>
      </w:r>
      <w:r w:rsidRPr="00253D21">
        <w:rPr>
          <w:szCs w:val="20"/>
        </w:rPr>
      </w:r>
      <w:r w:rsidRPr="00253D21">
        <w:rPr>
          <w:szCs w:val="20"/>
        </w:rPr>
        <w:fldChar w:fldCharType="separate"/>
      </w:r>
      <w:r w:rsidR="00DD3929" w:rsidRPr="00F12C9E">
        <w:t xml:space="preserve">Działanie </w:t>
      </w:r>
      <w:r w:rsidR="00DD3929">
        <w:rPr>
          <w:noProof/>
        </w:rPr>
        <w:t>31</w:t>
      </w:r>
      <w:r w:rsidR="00DD3929" w:rsidRPr="00F12C9E">
        <w:t>. Rozwój miejskich sieci transportowych.</w:t>
      </w:r>
      <w:r w:rsidRPr="00253D21">
        <w:rPr>
          <w:szCs w:val="20"/>
        </w:rPr>
        <w:fldChar w:fldCharType="end"/>
      </w:r>
    </w:p>
    <w:p w14:paraId="5F9D1ACF" w14:textId="2BC735CC" w:rsidR="00994922" w:rsidRPr="00253D21" w:rsidRDefault="00994922" w:rsidP="00994922">
      <w:pPr>
        <w:pStyle w:val="Akapitzlist"/>
        <w:numPr>
          <w:ilvl w:val="0"/>
          <w:numId w:val="6"/>
        </w:numPr>
        <w:rPr>
          <w:szCs w:val="20"/>
        </w:rPr>
      </w:pPr>
      <w:r w:rsidRPr="00253D21">
        <w:rPr>
          <w:szCs w:val="20"/>
        </w:rPr>
        <w:fldChar w:fldCharType="begin"/>
      </w:r>
      <w:r w:rsidRPr="00253D21">
        <w:rPr>
          <w:szCs w:val="20"/>
        </w:rPr>
        <w:instrText xml:space="preserve"> REF _Ref157424690 \h </w:instrText>
      </w:r>
      <w:r w:rsidRPr="00253D21">
        <w:rPr>
          <w:szCs w:val="20"/>
        </w:rPr>
      </w:r>
      <w:r w:rsidRPr="00253D21">
        <w:rPr>
          <w:szCs w:val="20"/>
        </w:rPr>
        <w:fldChar w:fldCharType="separate"/>
      </w:r>
      <w:r w:rsidR="00DD3929" w:rsidRPr="00F12C9E">
        <w:t xml:space="preserve">Działanie </w:t>
      </w:r>
      <w:r w:rsidR="00DD3929">
        <w:rPr>
          <w:noProof/>
        </w:rPr>
        <w:t>32</w:t>
      </w:r>
      <w:r w:rsidR="00DD3929" w:rsidRPr="00F12C9E">
        <w:t>. Plany zrównoważonego rozwoju publicznego transportu zbiorowego.</w:t>
      </w:r>
      <w:r w:rsidRPr="00253D21">
        <w:rPr>
          <w:szCs w:val="20"/>
        </w:rPr>
        <w:fldChar w:fldCharType="end"/>
      </w:r>
    </w:p>
    <w:p w14:paraId="291A55E9" w14:textId="3F1B440F" w:rsidR="00994922" w:rsidRPr="00253D21" w:rsidRDefault="00994922" w:rsidP="00994922">
      <w:pPr>
        <w:pStyle w:val="Akapitzlist"/>
        <w:numPr>
          <w:ilvl w:val="0"/>
          <w:numId w:val="6"/>
        </w:numPr>
        <w:rPr>
          <w:szCs w:val="20"/>
        </w:rPr>
      </w:pPr>
      <w:r w:rsidRPr="00253D21">
        <w:rPr>
          <w:szCs w:val="20"/>
        </w:rPr>
        <w:fldChar w:fldCharType="begin"/>
      </w:r>
      <w:r w:rsidRPr="00253D21">
        <w:rPr>
          <w:szCs w:val="20"/>
        </w:rPr>
        <w:instrText xml:space="preserve"> REF _Ref157424731 \h </w:instrText>
      </w:r>
      <w:r w:rsidRPr="00253D21">
        <w:rPr>
          <w:szCs w:val="20"/>
        </w:rPr>
      </w:r>
      <w:r w:rsidRPr="00253D21">
        <w:rPr>
          <w:szCs w:val="20"/>
        </w:rPr>
        <w:fldChar w:fldCharType="separate"/>
      </w:r>
      <w:r w:rsidR="00DD3929" w:rsidRPr="00F12C9E">
        <w:t xml:space="preserve">Działanie </w:t>
      </w:r>
      <w:r w:rsidR="00DD3929">
        <w:rPr>
          <w:noProof/>
        </w:rPr>
        <w:t>33</w:t>
      </w:r>
      <w:r w:rsidR="00DD3929" w:rsidRPr="00F12C9E">
        <w:t xml:space="preserve">. Rozwój zeroemisyjnego transportu </w:t>
      </w:r>
      <w:r w:rsidR="00DD3929">
        <w:t xml:space="preserve">publicznego w </w:t>
      </w:r>
      <w:r w:rsidR="00DD3929" w:rsidRPr="00F12C9E">
        <w:t>mi</w:t>
      </w:r>
      <w:r w:rsidR="00DD3929">
        <w:t>astach</w:t>
      </w:r>
      <w:r w:rsidR="00DD3929" w:rsidRPr="00F12C9E">
        <w:t>.</w:t>
      </w:r>
      <w:r w:rsidRPr="00253D21">
        <w:rPr>
          <w:szCs w:val="20"/>
        </w:rPr>
        <w:fldChar w:fldCharType="end"/>
      </w:r>
    </w:p>
    <w:p w14:paraId="725E95E5" w14:textId="55104F96" w:rsidR="00994922" w:rsidRDefault="00994922" w:rsidP="00994922">
      <w:pPr>
        <w:pStyle w:val="Akapitzlist"/>
        <w:numPr>
          <w:ilvl w:val="0"/>
          <w:numId w:val="6"/>
        </w:numPr>
        <w:rPr>
          <w:szCs w:val="20"/>
        </w:rPr>
      </w:pPr>
      <w:r>
        <w:rPr>
          <w:szCs w:val="20"/>
        </w:rPr>
        <w:fldChar w:fldCharType="begin"/>
      </w:r>
      <w:r>
        <w:rPr>
          <w:szCs w:val="20"/>
        </w:rPr>
        <w:instrText xml:space="preserve"> REF _Ref157424755 \h </w:instrText>
      </w:r>
      <w:r>
        <w:rPr>
          <w:szCs w:val="20"/>
        </w:rPr>
      </w:r>
      <w:r>
        <w:rPr>
          <w:szCs w:val="20"/>
        </w:rPr>
        <w:fldChar w:fldCharType="separate"/>
      </w:r>
      <w:r w:rsidR="00DD3929" w:rsidRPr="00F12C9E">
        <w:t xml:space="preserve">Działanie </w:t>
      </w:r>
      <w:r w:rsidR="00DD3929">
        <w:rPr>
          <w:noProof/>
        </w:rPr>
        <w:t>36</w:t>
      </w:r>
      <w:r w:rsidR="00DD3929" w:rsidRPr="00F12C9E">
        <w:t>. Instrument</w:t>
      </w:r>
      <w:r w:rsidR="00DD3929">
        <w:t>y</w:t>
      </w:r>
      <w:r w:rsidR="00DD3929" w:rsidRPr="00F12C9E">
        <w:t xml:space="preserve"> finansow</w:t>
      </w:r>
      <w:r w:rsidR="00DD3929">
        <w:t>ego</w:t>
      </w:r>
      <w:r w:rsidR="00DD3929" w:rsidRPr="00F12C9E">
        <w:t xml:space="preserve"> wsparci</w:t>
      </w:r>
      <w:r w:rsidR="00DD3929">
        <w:t>a</w:t>
      </w:r>
      <w:r w:rsidR="00DD3929" w:rsidRPr="00F12C9E">
        <w:t xml:space="preserve"> elektromobilności.</w:t>
      </w:r>
      <w:r>
        <w:rPr>
          <w:szCs w:val="20"/>
        </w:rPr>
        <w:fldChar w:fldCharType="end"/>
      </w:r>
    </w:p>
    <w:p w14:paraId="31A9729F" w14:textId="57BB328A" w:rsidR="00994922" w:rsidRDefault="00994922" w:rsidP="00994922">
      <w:pPr>
        <w:pStyle w:val="Akapitzlist"/>
        <w:numPr>
          <w:ilvl w:val="0"/>
          <w:numId w:val="6"/>
        </w:numPr>
        <w:rPr>
          <w:szCs w:val="20"/>
        </w:rPr>
      </w:pPr>
      <w:r>
        <w:rPr>
          <w:szCs w:val="20"/>
        </w:rPr>
        <w:fldChar w:fldCharType="begin"/>
      </w:r>
      <w:r>
        <w:rPr>
          <w:szCs w:val="20"/>
        </w:rPr>
        <w:instrText xml:space="preserve"> REF _Ref159236917 \h </w:instrText>
      </w:r>
      <w:r>
        <w:rPr>
          <w:szCs w:val="20"/>
        </w:rPr>
      </w:r>
      <w:r>
        <w:rPr>
          <w:szCs w:val="20"/>
        </w:rPr>
        <w:fldChar w:fldCharType="separate"/>
      </w:r>
      <w:r w:rsidR="00DD3929" w:rsidRPr="00F12C9E">
        <w:t xml:space="preserve">Działanie </w:t>
      </w:r>
      <w:r w:rsidR="00DD3929">
        <w:rPr>
          <w:noProof/>
        </w:rPr>
        <w:t>37</w:t>
      </w:r>
      <w:r w:rsidR="00DD3929" w:rsidRPr="00F12C9E">
        <w:t>. Instrument</w:t>
      </w:r>
      <w:r w:rsidR="00DD3929">
        <w:t>y</w:t>
      </w:r>
      <w:r w:rsidR="00DD3929" w:rsidRPr="00F12C9E">
        <w:t xml:space="preserve"> </w:t>
      </w:r>
      <w:r w:rsidR="00DD3929">
        <w:t>poza</w:t>
      </w:r>
      <w:r w:rsidR="00DD3929" w:rsidRPr="00F12C9E">
        <w:t>finansow</w:t>
      </w:r>
      <w:r w:rsidR="00DD3929">
        <w:t>ego</w:t>
      </w:r>
      <w:r w:rsidR="00DD3929" w:rsidRPr="00F12C9E">
        <w:t xml:space="preserve"> wsparci</w:t>
      </w:r>
      <w:r w:rsidR="00DD3929">
        <w:t>a</w:t>
      </w:r>
      <w:r w:rsidR="00DD3929" w:rsidRPr="00F12C9E">
        <w:t xml:space="preserve"> elektromobilności</w:t>
      </w:r>
      <w:r w:rsidR="00DD3929">
        <w:t>.</w:t>
      </w:r>
      <w:r>
        <w:rPr>
          <w:szCs w:val="20"/>
        </w:rPr>
        <w:fldChar w:fldCharType="end"/>
      </w:r>
    </w:p>
    <w:p w14:paraId="4C9EFE20" w14:textId="663BBA7B" w:rsidR="00994922" w:rsidRDefault="00994922" w:rsidP="00994922">
      <w:pPr>
        <w:pStyle w:val="Akapitzlist"/>
        <w:numPr>
          <w:ilvl w:val="0"/>
          <w:numId w:val="6"/>
        </w:numPr>
        <w:rPr>
          <w:szCs w:val="20"/>
        </w:rPr>
      </w:pPr>
      <w:r>
        <w:rPr>
          <w:szCs w:val="20"/>
        </w:rPr>
        <w:fldChar w:fldCharType="begin"/>
      </w:r>
      <w:r>
        <w:rPr>
          <w:szCs w:val="20"/>
        </w:rPr>
        <w:instrText xml:space="preserve"> REF _Ref157424782 \h </w:instrText>
      </w:r>
      <w:r>
        <w:rPr>
          <w:szCs w:val="20"/>
        </w:rPr>
      </w:r>
      <w:r>
        <w:rPr>
          <w:szCs w:val="20"/>
        </w:rPr>
        <w:fldChar w:fldCharType="separate"/>
      </w:r>
      <w:r w:rsidR="00DD3929" w:rsidRPr="00F12C9E">
        <w:t xml:space="preserve">Działanie </w:t>
      </w:r>
      <w:r w:rsidR="00DD3929">
        <w:rPr>
          <w:noProof/>
        </w:rPr>
        <w:t>38</w:t>
      </w:r>
      <w:r w:rsidR="00DD3929" w:rsidRPr="00F12C9E">
        <w:t>. Rozwój infrastruktury do ładowania pojazdów elektrycznych.</w:t>
      </w:r>
      <w:r>
        <w:rPr>
          <w:szCs w:val="20"/>
        </w:rPr>
        <w:fldChar w:fldCharType="end"/>
      </w:r>
    </w:p>
    <w:p w14:paraId="0A87EC97" w14:textId="2A736186" w:rsidR="00994922" w:rsidRDefault="00994922" w:rsidP="00994922">
      <w:pPr>
        <w:pStyle w:val="Akapitzlist"/>
        <w:numPr>
          <w:ilvl w:val="0"/>
          <w:numId w:val="6"/>
        </w:numPr>
      </w:pPr>
      <w:r w:rsidRPr="00202AF4">
        <w:fldChar w:fldCharType="begin"/>
      </w:r>
      <w:r w:rsidRPr="00202AF4">
        <w:instrText xml:space="preserve"> REF _Ref157425039 \h </w:instrText>
      </w:r>
      <w:r>
        <w:instrText xml:space="preserve"> \* MERGEFORMAT </w:instrText>
      </w:r>
      <w:r w:rsidRPr="00202AF4">
        <w:fldChar w:fldCharType="separate"/>
      </w:r>
      <w:r w:rsidR="00DD3929" w:rsidRPr="00DD3929">
        <w:t>Działanie 41. Budowanie świadomości – kształtowanie prośrodowiskowych postaw kierowców.</w:t>
      </w:r>
      <w:r w:rsidRPr="00202AF4">
        <w:fldChar w:fldCharType="end"/>
      </w:r>
    </w:p>
    <w:p w14:paraId="1B8C23F7" w14:textId="5E111C7C" w:rsidR="00994922" w:rsidRPr="00253D21" w:rsidRDefault="00994922" w:rsidP="00994922">
      <w:pPr>
        <w:pStyle w:val="Akapitzlist"/>
        <w:numPr>
          <w:ilvl w:val="0"/>
          <w:numId w:val="6"/>
        </w:numPr>
      </w:pPr>
      <w:r w:rsidRPr="00253D21">
        <w:fldChar w:fldCharType="begin"/>
      </w:r>
      <w:r w:rsidRPr="00253D21">
        <w:instrText xml:space="preserve"> REF _Ref157425060 \h </w:instrText>
      </w:r>
      <w:r w:rsidRPr="00253D21">
        <w:fldChar w:fldCharType="separate"/>
      </w:r>
      <w:r w:rsidR="00DD3929" w:rsidRPr="00F12C9E">
        <w:t xml:space="preserve">Działanie </w:t>
      </w:r>
      <w:r w:rsidR="00DD3929">
        <w:rPr>
          <w:noProof/>
        </w:rPr>
        <w:t>44</w:t>
      </w:r>
      <w:r w:rsidR="00DD3929" w:rsidRPr="00F12C9E">
        <w:t>. Modernizacja infrastruktury kolejowej</w:t>
      </w:r>
      <w:r w:rsidR="00DD3929">
        <w:t xml:space="preserve"> oraz rozbudowa lokalnej i regionalnej </w:t>
      </w:r>
      <w:r w:rsidR="00DD3929" w:rsidRPr="00F12C9E">
        <w:t>infrastruktury kolejowej.</w:t>
      </w:r>
      <w:r w:rsidRPr="00253D21">
        <w:fldChar w:fldCharType="end"/>
      </w:r>
    </w:p>
    <w:p w14:paraId="6A4C7CAA" w14:textId="6E4D0C0E" w:rsidR="00994922" w:rsidRDefault="00994922" w:rsidP="00994922">
      <w:pPr>
        <w:pStyle w:val="Akapitzlist"/>
        <w:numPr>
          <w:ilvl w:val="0"/>
          <w:numId w:val="6"/>
        </w:numPr>
      </w:pPr>
      <w:r w:rsidRPr="00253D21">
        <w:fldChar w:fldCharType="begin"/>
      </w:r>
      <w:r w:rsidRPr="00253D21">
        <w:instrText xml:space="preserve"> REF _Ref157425072 \h </w:instrText>
      </w:r>
      <w:r w:rsidRPr="00253D21">
        <w:fldChar w:fldCharType="separate"/>
      </w:r>
      <w:r w:rsidR="00DD3929" w:rsidRPr="00F12C9E">
        <w:t xml:space="preserve">Działanie </w:t>
      </w:r>
      <w:r w:rsidR="00DD3929">
        <w:rPr>
          <w:noProof/>
        </w:rPr>
        <w:t>45</w:t>
      </w:r>
      <w:r w:rsidR="00DD3929" w:rsidRPr="00F12C9E">
        <w:t>. Integracja transportu kolejowego z pozostałymi gałęziami transportu.</w:t>
      </w:r>
      <w:r w:rsidRPr="00253D21">
        <w:fldChar w:fldCharType="end"/>
      </w:r>
    </w:p>
    <w:p w14:paraId="4DE4ED1C" w14:textId="445D116D" w:rsidR="00994922" w:rsidRPr="00994922" w:rsidRDefault="00994922" w:rsidP="00994922">
      <w:pPr>
        <w:pStyle w:val="Akapitzlist"/>
        <w:numPr>
          <w:ilvl w:val="0"/>
          <w:numId w:val="6"/>
        </w:numPr>
      </w:pPr>
      <w:r>
        <w:fldChar w:fldCharType="begin"/>
      </w:r>
      <w:r>
        <w:instrText xml:space="preserve"> REF _Ref157428874 \h </w:instrText>
      </w:r>
      <w:r>
        <w:fldChar w:fldCharType="separate"/>
      </w:r>
      <w:r w:rsidR="00DD3929" w:rsidRPr="00163CF0">
        <w:t xml:space="preserve">Działanie </w:t>
      </w:r>
      <w:r w:rsidR="00DD3929">
        <w:rPr>
          <w:noProof/>
        </w:rPr>
        <w:t>141</w:t>
      </w:r>
      <w:r w:rsidR="00DD3929" w:rsidRPr="00163CF0">
        <w:t>. Budowanie kompetencji i kreowanie świadomości – zeroemisyjny transport.</w:t>
      </w:r>
      <w:r>
        <w:fldChar w:fldCharType="end"/>
      </w:r>
    </w:p>
    <w:p w14:paraId="0740511A" w14:textId="5F86B544" w:rsidR="00982E9E" w:rsidRDefault="00982E9E" w:rsidP="00982E9E">
      <w:pPr>
        <w:pStyle w:val="Nagwek4"/>
        <w:rPr>
          <w:color w:val="FFC000" w:themeColor="accent4"/>
        </w:rPr>
      </w:pPr>
      <w:bookmarkStart w:id="243" w:name="_Toc179537000"/>
      <w:r w:rsidRPr="009714FB">
        <w:rPr>
          <w:color w:val="FFC000" w:themeColor="accent4"/>
        </w:rPr>
        <w:t>Wsparcie regionów węglowych</w:t>
      </w:r>
      <w:bookmarkEnd w:id="241"/>
      <w:bookmarkEnd w:id="243"/>
      <w:r w:rsidRPr="009714FB">
        <w:rPr>
          <w:color w:val="FFC000" w:themeColor="accent4"/>
        </w:rPr>
        <w:t xml:space="preserve"> </w:t>
      </w:r>
    </w:p>
    <w:p w14:paraId="49740DA3" w14:textId="77777777" w:rsidR="00982E9E" w:rsidRDefault="00982E9E" w:rsidP="00982E9E">
      <w:r>
        <w:t xml:space="preserve">W Polsce występuje kilka regionów szczególnie mocno zależnych od wydobycia, przeróbki, transportu i eksploatacji węgla kamiennego i brunatnego. Polska posiada doświadczenia z poprzednich dziesięcioleci, kiedy likwidacja kopalń stała się przyczyną negatywnych skutków społeczno-gospodarczych, dlatego przyspieszona transformacja energetyczna wymaga dostrzeżenia ryzyk dla regionów węglowych. Jednocześnie właściwe zarządzenie procesem może pozwolić na wygenerowanie nowych miejsc pracy w branżach i obszarach niezbędnych do przeprowadzenia transformacji. </w:t>
      </w:r>
    </w:p>
    <w:p w14:paraId="043C1317" w14:textId="48B0DB44" w:rsidR="00982E9E" w:rsidRDefault="00982E9E" w:rsidP="00F77BDA">
      <w:r w:rsidRPr="007E6F82">
        <w:t xml:space="preserve">W 2021 r. zawarta została </w:t>
      </w:r>
      <w:r w:rsidR="007E6F82">
        <w:t xml:space="preserve">tzw. </w:t>
      </w:r>
      <w:r w:rsidRPr="007E6F82">
        <w:t xml:space="preserve">umowa społeczna dotycząca transformacji sektora górnictwa węgla kamiennego oraz wybranych procesów transformacji województwa śląskiego, </w:t>
      </w:r>
      <w:r w:rsidR="00F77BDA" w:rsidRPr="007E6F82">
        <w:t>która obejmuje</w:t>
      </w:r>
      <w:r w:rsidR="00F77BDA">
        <w:t xml:space="preserve"> w szczególności mechanizm finansowania dopłat do redukcji zdolności produkcyjnych przedsiębiorstw górniczych oraz definiuje osłony socjalne dla pracowników likwidowanych kopalń. </w:t>
      </w:r>
      <w:r w:rsidR="007E6F82">
        <w:t xml:space="preserve">Notyfikacja </w:t>
      </w:r>
      <w:r w:rsidR="007E6F82" w:rsidRPr="007E6F82">
        <w:rPr>
          <w:i/>
          <w:iCs/>
        </w:rPr>
        <w:t>umowy społecznej</w:t>
      </w:r>
      <w:r w:rsidR="007E6F82">
        <w:t xml:space="preserve"> w Komisji Europejskiej oczekuje na zatwierdzenie. </w:t>
      </w:r>
      <w:r w:rsidR="00F77BDA">
        <w:t>Wygaszanie i zamykanie będzie następowało według harmonogramu</w:t>
      </w:r>
      <w:r w:rsidR="007E6F82">
        <w:t xml:space="preserve"> zatwierdzonego przez KE</w:t>
      </w:r>
      <w:r w:rsidR="00F77BDA">
        <w:t xml:space="preserve">. Zgodnie z </w:t>
      </w:r>
      <w:r w:rsidR="00F77BDA" w:rsidRPr="007E6F82">
        <w:rPr>
          <w:i/>
          <w:iCs/>
        </w:rPr>
        <w:t>umową społeczną</w:t>
      </w:r>
      <w:r w:rsidR="00F77BDA">
        <w:t xml:space="preserve"> </w:t>
      </w:r>
      <w:r w:rsidR="007E6F82">
        <w:t xml:space="preserve">(w wersji sprzed zatwierdzenia przez KE) </w:t>
      </w:r>
      <w:r w:rsidR="00F77BDA">
        <w:t>ostatnia kopalnia zakończy wydobycie nie później niż w 2049</w:t>
      </w:r>
      <w:r w:rsidR="00527101">
        <w:t> </w:t>
      </w:r>
      <w:r w:rsidR="00F77BDA">
        <w:t>r.</w:t>
      </w:r>
      <w:r>
        <w:t xml:space="preserve"> </w:t>
      </w:r>
    </w:p>
    <w:p w14:paraId="1698155D" w14:textId="7BC56E67" w:rsidR="00982E9E" w:rsidRDefault="000E6ECC" w:rsidP="00982E9E">
      <w:r w:rsidRPr="000E6ECC">
        <w:t>W kolejnych latach w perspektywie do 2049 r. stopniowo będą eliminowane ze struktury mocy wytwórczych bloki oparte o węgiel kamienny i brunatny. Tempo i kolejność odstawień zależn</w:t>
      </w:r>
      <w:r>
        <w:t>e</w:t>
      </w:r>
      <w:r w:rsidRPr="000E6ECC">
        <w:t xml:space="preserve"> będzie </w:t>
      </w:r>
      <w:r w:rsidR="00475182">
        <w:t xml:space="preserve">m.in. </w:t>
      </w:r>
      <w:r w:rsidRPr="000E6ECC">
        <w:t>od wystarczalności mocy</w:t>
      </w:r>
      <w:r w:rsidR="00963A1E">
        <w:t xml:space="preserve"> w</w:t>
      </w:r>
      <w:r w:rsidRPr="000E6ECC">
        <w:t xml:space="preserve"> systemie elektroenergetycznym. Działaniom tym sprzyjać będą przyjęte w roku 2023 regulacje prawne, tj. przepisy ustawy z dnia 17 sierpnia 2023 r. o</w:t>
      </w:r>
      <w:r>
        <w:t> </w:t>
      </w:r>
      <w:r w:rsidRPr="000E6ECC">
        <w:t>osłonach socjalnych dla pracowników sektora elektroenergetycznego i branży górnictwa węgla brunatnego (Dz. U. poz. 1737), której celem, oprócz zapewnienia osłon socjalnych dla pracowników, będzie wsparcie podmiotów w dążeniu do transformacji poprzez stopniowe odchodzenie od wytwarzania energii elektrycznej w wysokoemisyjnych jednostkach węglowych przy jednoczesnym rozwoju źródeł nisko- i zeroemisyjnych. Regulacje tej ustawy zostały notyfikowane Komisji Europejskiej, która uznała pomoc publiczną przewidzianą tą ustawą za zgodną z</w:t>
      </w:r>
      <w:r>
        <w:t> </w:t>
      </w:r>
      <w:r w:rsidRPr="000E6ECC">
        <w:t>zasadami rynku UE.</w:t>
      </w:r>
    </w:p>
    <w:p w14:paraId="6378618E" w14:textId="77777777" w:rsidR="00982E9E" w:rsidRDefault="00982E9E" w:rsidP="00982E9E">
      <w:pPr>
        <w:pStyle w:val="Polityka"/>
      </w:pPr>
      <w:r w:rsidRPr="00C46DAA">
        <w:t>POLITYKA</w:t>
      </w:r>
    </w:p>
    <w:p w14:paraId="1C437D73" w14:textId="6C50137A" w:rsidR="00982E9E" w:rsidRDefault="00982E9E" w:rsidP="00982E9E">
      <w:r>
        <w:t>Zapewnione zostanie wsparcie sprawiedliwej transformacji regionów węglowych, przy wykorzystaniu terytorialnych planów sprawiedliwej transformacji, ze szczególną rolą Funduszu</w:t>
      </w:r>
      <w:r w:rsidR="00D82ACC">
        <w:t xml:space="preserve"> na rzecz</w:t>
      </w:r>
      <w:r>
        <w:t xml:space="preserve"> Sprawiedliwej Transformacji. </w:t>
      </w:r>
    </w:p>
    <w:p w14:paraId="643057BA" w14:textId="01731729" w:rsidR="00982E9E" w:rsidRDefault="00982E9E" w:rsidP="00982E9E">
      <w:r>
        <w:t xml:space="preserve">Działania będą nastawione na to, aby zapewnić osłony socjalne pracowników i stworzyć nowe specjalizacje regionów oraz trwałe miejsca pracy, ale przede wszystkim by zbudować nowe branże przemysłu współuczestniczące w przekształceniach sektora. W szczególności </w:t>
      </w:r>
      <w:r w:rsidR="007E6F82">
        <w:t xml:space="preserve">działania te </w:t>
      </w:r>
      <w:r>
        <w:t>powinny wpływać na rozwój OZE, gospodarki wodorowej i innych paliw alternatywnych, elektromobilności, magazynowania energii, cyfryzacj</w:t>
      </w:r>
      <w:r w:rsidR="00D171B9">
        <w:t>i</w:t>
      </w:r>
      <w:r>
        <w:t xml:space="preserve">, ale również adaptacji do zmian klimatu i poprawy jakości powietrza. </w:t>
      </w:r>
    </w:p>
    <w:p w14:paraId="3315F9F8" w14:textId="50AF668E" w:rsidR="00742249" w:rsidRDefault="00742249" w:rsidP="00742249">
      <w:pPr>
        <w:spacing w:before="240" w:after="120"/>
      </w:pPr>
      <w:r>
        <w:t>W szczególności prowadzone będą następujące działania:</w:t>
      </w:r>
    </w:p>
    <w:p w14:paraId="6D235CC2" w14:textId="77777777" w:rsidR="00742249" w:rsidRPr="00F525EC" w:rsidRDefault="00742249" w:rsidP="00742249">
      <w:pPr>
        <w:pStyle w:val="Akapitzlist"/>
        <w:numPr>
          <w:ilvl w:val="0"/>
          <w:numId w:val="65"/>
        </w:numPr>
        <w:spacing w:before="240" w:after="120"/>
      </w:pPr>
      <w:r w:rsidRPr="00F525EC">
        <w:t>Stworzenie systemu zachęt inwestycyjnych w regionach wydobywczych i wysokoemisyjnych</w:t>
      </w:r>
      <w:r>
        <w:t>;</w:t>
      </w:r>
    </w:p>
    <w:p w14:paraId="00AA6B20" w14:textId="77777777" w:rsidR="00742249" w:rsidRPr="00F525EC" w:rsidRDefault="00742249" w:rsidP="00742249">
      <w:pPr>
        <w:pStyle w:val="Akapitzlist"/>
        <w:numPr>
          <w:ilvl w:val="0"/>
          <w:numId w:val="65"/>
        </w:numPr>
        <w:spacing w:before="240" w:after="120"/>
      </w:pPr>
      <w:r w:rsidRPr="00F525EC">
        <w:t>Mapowanie potrzeb regionów w zakresie dostępności i kwalifikacji kadr w sektorach energetycznych i okołobranżowych w kontekście projektów inwestycyjno-transformacyjnych</w:t>
      </w:r>
      <w:r>
        <w:t>;</w:t>
      </w:r>
    </w:p>
    <w:p w14:paraId="24DC6CCA" w14:textId="77777777" w:rsidR="00742249" w:rsidRPr="00F525EC" w:rsidRDefault="00742249" w:rsidP="00742249">
      <w:pPr>
        <w:pStyle w:val="Akapitzlist"/>
        <w:numPr>
          <w:ilvl w:val="0"/>
          <w:numId w:val="65"/>
        </w:numPr>
        <w:spacing w:before="240" w:after="120"/>
      </w:pPr>
      <w:r w:rsidRPr="00F525EC">
        <w:t>Mapowanie potrzeb kształcenia i przekwalifikowania zawodowego</w:t>
      </w:r>
      <w:r>
        <w:t>;</w:t>
      </w:r>
    </w:p>
    <w:p w14:paraId="374643C5" w14:textId="77777777" w:rsidR="00742249" w:rsidRPr="00F525EC" w:rsidRDefault="00742249" w:rsidP="00742249">
      <w:pPr>
        <w:pStyle w:val="Akapitzlist"/>
        <w:numPr>
          <w:ilvl w:val="0"/>
          <w:numId w:val="65"/>
        </w:numPr>
        <w:spacing w:before="240" w:after="120"/>
      </w:pPr>
      <w:r w:rsidRPr="00F525EC">
        <w:t>Projektowanie i programowanie kierunków kształcenia i doskonalenia zawodowego</w:t>
      </w:r>
      <w:r>
        <w:t>;</w:t>
      </w:r>
    </w:p>
    <w:p w14:paraId="1DA2BF5D" w14:textId="1CD99FAE" w:rsidR="00742249" w:rsidRPr="00F525EC" w:rsidRDefault="00742249" w:rsidP="00742249">
      <w:pPr>
        <w:pStyle w:val="Akapitzlist"/>
        <w:numPr>
          <w:ilvl w:val="0"/>
          <w:numId w:val="65"/>
        </w:numPr>
        <w:spacing w:before="240" w:after="120"/>
      </w:pPr>
      <w:r w:rsidRPr="00F525EC">
        <w:t>Zintegrowanie działań szkoleniowo-rekrutacyjnych pomiędzy instytucjami publicznymi i</w:t>
      </w:r>
      <w:r>
        <w:t> </w:t>
      </w:r>
      <w:r w:rsidRPr="00F525EC">
        <w:t>podmiotami gospodarczymi</w:t>
      </w:r>
      <w:r>
        <w:t>;</w:t>
      </w:r>
    </w:p>
    <w:p w14:paraId="0794060A" w14:textId="05CC0027" w:rsidR="00742249" w:rsidRPr="00F525EC" w:rsidRDefault="00742249" w:rsidP="00742249">
      <w:pPr>
        <w:pStyle w:val="Akapitzlist"/>
        <w:numPr>
          <w:ilvl w:val="0"/>
          <w:numId w:val="65"/>
        </w:numPr>
        <w:spacing w:before="240" w:after="120"/>
      </w:pPr>
      <w:r w:rsidRPr="00F525EC">
        <w:t xml:space="preserve">Doradztwo i kampanie edukacyjno-informacyjne </w:t>
      </w:r>
      <w:r>
        <w:t>oraz</w:t>
      </w:r>
      <w:r w:rsidRPr="00F525EC">
        <w:t xml:space="preserve"> ośrodki wsparcia pracowników w</w:t>
      </w:r>
      <w:r>
        <w:t> </w:t>
      </w:r>
      <w:r w:rsidRPr="00F525EC">
        <w:t>transformacji i ich rodzin</w:t>
      </w:r>
      <w:r>
        <w:t>;</w:t>
      </w:r>
    </w:p>
    <w:p w14:paraId="54B86A66" w14:textId="77777777" w:rsidR="00742249" w:rsidRDefault="00742249" w:rsidP="00742249">
      <w:pPr>
        <w:pStyle w:val="Akapitzlist"/>
        <w:numPr>
          <w:ilvl w:val="0"/>
          <w:numId w:val="65"/>
        </w:numPr>
        <w:spacing w:before="240" w:after="120"/>
      </w:pPr>
      <w:r w:rsidRPr="00F525EC">
        <w:t>Zachowanie tradycji i dziedzictwa kulturowego regionów wydobywczo-przemysłowych</w:t>
      </w:r>
      <w:r>
        <w:t>;</w:t>
      </w:r>
    </w:p>
    <w:p w14:paraId="41D6B0CF" w14:textId="3D6F1547" w:rsidR="00742249" w:rsidRPr="009F0F44" w:rsidRDefault="00EE6E4B" w:rsidP="00742249">
      <w:pPr>
        <w:pStyle w:val="Akapitzlist"/>
        <w:numPr>
          <w:ilvl w:val="0"/>
          <w:numId w:val="65"/>
        </w:numPr>
      </w:pPr>
      <w:r>
        <w:t>Kampania edukacyjno-informacyjna dotycząca planów i praktycznych wymiarów transformacji oraz wielopoziomowe konsultacje publiczne aKPEiK 2030 i dokumentów strategicznych dotyczących transformacji energetycznej</w:t>
      </w:r>
      <w:r w:rsidR="00742249">
        <w:t>.</w:t>
      </w:r>
    </w:p>
    <w:p w14:paraId="2DA26831" w14:textId="77777777" w:rsidR="00982E9E" w:rsidRPr="00C46DAA" w:rsidRDefault="00982E9E" w:rsidP="00982E9E">
      <w:pPr>
        <w:pStyle w:val="Polityka"/>
      </w:pPr>
      <w:r w:rsidRPr="00C46DAA">
        <w:t>DZIAŁANIA</w:t>
      </w:r>
    </w:p>
    <w:p w14:paraId="18ED6AEE" w14:textId="57EF17B1" w:rsidR="003C6628" w:rsidRDefault="003C6628" w:rsidP="00895CCA">
      <w:pPr>
        <w:pStyle w:val="Akapitzlist"/>
        <w:numPr>
          <w:ilvl w:val="0"/>
          <w:numId w:val="6"/>
        </w:numPr>
      </w:pPr>
      <w:r>
        <w:fldChar w:fldCharType="begin"/>
      </w:r>
      <w:r>
        <w:instrText xml:space="preserve"> REF _Ref157435553 \h </w:instrText>
      </w:r>
      <w:r>
        <w:fldChar w:fldCharType="separate"/>
      </w:r>
      <w:r w:rsidR="00DD3929" w:rsidRPr="00570679">
        <w:t xml:space="preserve">Działanie </w:t>
      </w:r>
      <w:r w:rsidR="00DD3929">
        <w:rPr>
          <w:noProof/>
        </w:rPr>
        <w:t>133</w:t>
      </w:r>
      <w:r w:rsidR="00DD3929" w:rsidRPr="00570679">
        <w:t xml:space="preserve">. Zapewnienie </w:t>
      </w:r>
      <w:r w:rsidR="00DD3929" w:rsidRPr="00B31627">
        <w:t>wsparcia</w:t>
      </w:r>
      <w:r w:rsidR="00DD3929" w:rsidRPr="00570679">
        <w:t xml:space="preserve"> dla regionów węglowych.</w:t>
      </w:r>
      <w:r>
        <w:fldChar w:fldCharType="end"/>
      </w:r>
    </w:p>
    <w:p w14:paraId="1AB1F18B" w14:textId="48C67733" w:rsidR="003C6628" w:rsidRDefault="003C6628" w:rsidP="00895CCA">
      <w:pPr>
        <w:pStyle w:val="Akapitzlist"/>
        <w:numPr>
          <w:ilvl w:val="0"/>
          <w:numId w:val="6"/>
        </w:numPr>
      </w:pPr>
      <w:r>
        <w:fldChar w:fldCharType="begin"/>
      </w:r>
      <w:r>
        <w:instrText xml:space="preserve"> REF _Ref157435866 \h  \* MERGEFORMAT </w:instrText>
      </w:r>
      <w:r>
        <w:fldChar w:fldCharType="separate"/>
      </w:r>
      <w:r w:rsidR="00DD3929" w:rsidRPr="00DD3929">
        <w:t>Działanie 147. Kształcenie i doskonalenie zawodowe kadr dla gospodarki w zakresie transformacji klimatyczno-energetycznej.</w:t>
      </w:r>
      <w:r>
        <w:fldChar w:fldCharType="end"/>
      </w:r>
    </w:p>
    <w:p w14:paraId="7720A841" w14:textId="77777777" w:rsidR="00994922" w:rsidRDefault="00994922" w:rsidP="00994922">
      <w:pPr>
        <w:pStyle w:val="Nagwek4"/>
        <w:rPr>
          <w:color w:val="FFC000" w:themeColor="accent4"/>
        </w:rPr>
      </w:pPr>
      <w:bookmarkStart w:id="244" w:name="_Toc179537001"/>
      <w:bookmarkStart w:id="245" w:name="_Hlk174457289"/>
      <w:r>
        <w:rPr>
          <w:color w:val="FFC000" w:themeColor="accent4"/>
        </w:rPr>
        <w:t>Tworzenie zielonych miejsc pracy</w:t>
      </w:r>
      <w:bookmarkEnd w:id="244"/>
    </w:p>
    <w:p w14:paraId="3AE3CB83" w14:textId="3885EE6F" w:rsidR="00994922" w:rsidRDefault="00994922" w:rsidP="00994922">
      <w:r w:rsidRPr="000A68A0">
        <w:rPr>
          <w:noProof/>
        </w:rPr>
        <mc:AlternateContent>
          <mc:Choice Requires="wps">
            <w:drawing>
              <wp:anchor distT="0" distB="0" distL="114300" distR="114300" simplePos="0" relativeHeight="251837440" behindDoc="1" locked="0" layoutInCell="1" allowOverlap="1" wp14:anchorId="0D15BC66" wp14:editId="3FA6E1FD">
                <wp:simplePos x="0" y="0"/>
                <wp:positionH relativeFrom="margin">
                  <wp:align>right</wp:align>
                </wp:positionH>
                <wp:positionV relativeFrom="paragraph">
                  <wp:posOffset>62230</wp:posOffset>
                </wp:positionV>
                <wp:extent cx="2428875" cy="1384300"/>
                <wp:effectExtent l="19050" t="57150" r="123825" b="82550"/>
                <wp:wrapSquare wrapText="bothSides"/>
                <wp:docPr id="1530167830" name="Prostokąt: zaokrąglone rogi 1"/>
                <wp:cNvGraphicFramePr/>
                <a:graphic xmlns:a="http://schemas.openxmlformats.org/drawingml/2006/main">
                  <a:graphicData uri="http://schemas.microsoft.com/office/word/2010/wordprocessingShape">
                    <wps:wsp>
                      <wps:cNvSpPr/>
                      <wps:spPr>
                        <a:xfrm>
                          <a:off x="0" y="0"/>
                          <a:ext cx="2428875" cy="1384300"/>
                        </a:xfrm>
                        <a:prstGeom prst="roundRect">
                          <a:avLst>
                            <a:gd name="adj" fmla="val 11857"/>
                          </a:avLst>
                        </a:prstGeom>
                        <a:solidFill>
                          <a:sysClr val="window" lastClr="FFFFFF"/>
                        </a:solidFill>
                        <a:ln w="6350" cap="flat" cmpd="sng" algn="ctr">
                          <a:solidFill>
                            <a:schemeClr val="accent4"/>
                          </a:solidFill>
                          <a:prstDash val="solid"/>
                          <a:miter lim="800000"/>
                          <a:extLst>
                            <a:ext uri="{C807C97D-BFC1-408E-A445-0C87EB9F89A2}">
                              <ask:lineSketchStyleProps xmlns:ask="http://schemas.microsoft.com/office/drawing/2018/sketchyshapes" sd="3209426022">
                                <a:custGeom>
                                  <a:avLst/>
                                  <a:gdLst>
                                    <a:gd name="connsiteX0" fmla="*/ 0 w 2969895"/>
                                    <a:gd name="connsiteY0" fmla="*/ 369497 h 2597150"/>
                                    <a:gd name="connsiteX1" fmla="*/ 369497 w 2969895"/>
                                    <a:gd name="connsiteY1" fmla="*/ 0 h 2597150"/>
                                    <a:gd name="connsiteX2" fmla="*/ 860295 w 2969895"/>
                                    <a:gd name="connsiteY2" fmla="*/ 0 h 2597150"/>
                                    <a:gd name="connsiteX3" fmla="*/ 1373402 w 2969895"/>
                                    <a:gd name="connsiteY3" fmla="*/ 0 h 2597150"/>
                                    <a:gd name="connsiteX4" fmla="*/ 1908819 w 2969895"/>
                                    <a:gd name="connsiteY4" fmla="*/ 0 h 2597150"/>
                                    <a:gd name="connsiteX5" fmla="*/ 2600398 w 2969895"/>
                                    <a:gd name="connsiteY5" fmla="*/ 0 h 2597150"/>
                                    <a:gd name="connsiteX6" fmla="*/ 2969895 w 2969895"/>
                                    <a:gd name="connsiteY6" fmla="*/ 369497 h 2597150"/>
                                    <a:gd name="connsiteX7" fmla="*/ 2969895 w 2969895"/>
                                    <a:gd name="connsiteY7" fmla="*/ 933138 h 2597150"/>
                                    <a:gd name="connsiteX8" fmla="*/ 2969895 w 2969895"/>
                                    <a:gd name="connsiteY8" fmla="*/ 1571105 h 2597150"/>
                                    <a:gd name="connsiteX9" fmla="*/ 2969895 w 2969895"/>
                                    <a:gd name="connsiteY9" fmla="*/ 2227653 h 2597150"/>
                                    <a:gd name="connsiteX10" fmla="*/ 2600398 w 2969895"/>
                                    <a:gd name="connsiteY10" fmla="*/ 2597150 h 2597150"/>
                                    <a:gd name="connsiteX11" fmla="*/ 2087291 w 2969895"/>
                                    <a:gd name="connsiteY11" fmla="*/ 2597150 h 2597150"/>
                                    <a:gd name="connsiteX12" fmla="*/ 1596493 w 2969895"/>
                                    <a:gd name="connsiteY12" fmla="*/ 2597150 h 2597150"/>
                                    <a:gd name="connsiteX13" fmla="*/ 1083385 w 2969895"/>
                                    <a:gd name="connsiteY13" fmla="*/ 2597150 h 2597150"/>
                                    <a:gd name="connsiteX14" fmla="*/ 369497 w 2969895"/>
                                    <a:gd name="connsiteY14" fmla="*/ 2597150 h 2597150"/>
                                    <a:gd name="connsiteX15" fmla="*/ 0 w 2969895"/>
                                    <a:gd name="connsiteY15" fmla="*/ 2227653 h 2597150"/>
                                    <a:gd name="connsiteX16" fmla="*/ 0 w 2969895"/>
                                    <a:gd name="connsiteY16" fmla="*/ 1664012 h 2597150"/>
                                    <a:gd name="connsiteX17" fmla="*/ 0 w 2969895"/>
                                    <a:gd name="connsiteY17" fmla="*/ 1007464 h 2597150"/>
                                    <a:gd name="connsiteX18" fmla="*/ 0 w 2969895"/>
                                    <a:gd name="connsiteY18" fmla="*/ 369497 h 25971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Lst>
                                  <a:rect l="l" t="t" r="r" b="b"/>
                                  <a:pathLst>
                                    <a:path w="2969895" h="2597150" fill="none" extrusionOk="0">
                                      <a:moveTo>
                                        <a:pt x="0" y="369497"/>
                                      </a:moveTo>
                                      <a:cubicBezTo>
                                        <a:pt x="-21648" y="122196"/>
                                        <a:pt x="151284" y="20440"/>
                                        <a:pt x="369497" y="0"/>
                                      </a:cubicBezTo>
                                      <a:cubicBezTo>
                                        <a:pt x="522987" y="20037"/>
                                        <a:pt x="761634" y="-14955"/>
                                        <a:pt x="860295" y="0"/>
                                      </a:cubicBezTo>
                                      <a:cubicBezTo>
                                        <a:pt x="958956" y="14955"/>
                                        <a:pt x="1258306" y="-1385"/>
                                        <a:pt x="1373402" y="0"/>
                                      </a:cubicBezTo>
                                      <a:cubicBezTo>
                                        <a:pt x="1488498" y="1385"/>
                                        <a:pt x="1708357" y="-23685"/>
                                        <a:pt x="1908819" y="0"/>
                                      </a:cubicBezTo>
                                      <a:cubicBezTo>
                                        <a:pt x="2109281" y="23685"/>
                                        <a:pt x="2348083" y="10816"/>
                                        <a:pt x="2600398" y="0"/>
                                      </a:cubicBezTo>
                                      <a:cubicBezTo>
                                        <a:pt x="2768901" y="15078"/>
                                        <a:pt x="2966036" y="150633"/>
                                        <a:pt x="2969895" y="369497"/>
                                      </a:cubicBezTo>
                                      <a:cubicBezTo>
                                        <a:pt x="2962113" y="608285"/>
                                        <a:pt x="2992646" y="718113"/>
                                        <a:pt x="2969895" y="933138"/>
                                      </a:cubicBezTo>
                                      <a:cubicBezTo>
                                        <a:pt x="2947144" y="1148163"/>
                                        <a:pt x="2959903" y="1379042"/>
                                        <a:pt x="2969895" y="1571105"/>
                                      </a:cubicBezTo>
                                      <a:cubicBezTo>
                                        <a:pt x="2979887" y="1763168"/>
                                        <a:pt x="2979459" y="1952072"/>
                                        <a:pt x="2969895" y="2227653"/>
                                      </a:cubicBezTo>
                                      <a:cubicBezTo>
                                        <a:pt x="2972534" y="2425813"/>
                                        <a:pt x="2839732" y="2580296"/>
                                        <a:pt x="2600398" y="2597150"/>
                                      </a:cubicBezTo>
                                      <a:cubicBezTo>
                                        <a:pt x="2371648" y="2583364"/>
                                        <a:pt x="2211376" y="2579538"/>
                                        <a:pt x="2087291" y="2597150"/>
                                      </a:cubicBezTo>
                                      <a:cubicBezTo>
                                        <a:pt x="1963206" y="2614762"/>
                                        <a:pt x="1722052" y="2580167"/>
                                        <a:pt x="1596493" y="2597150"/>
                                      </a:cubicBezTo>
                                      <a:cubicBezTo>
                                        <a:pt x="1470934" y="2614133"/>
                                        <a:pt x="1334604" y="2607859"/>
                                        <a:pt x="1083385" y="2597150"/>
                                      </a:cubicBezTo>
                                      <a:cubicBezTo>
                                        <a:pt x="832166" y="2586441"/>
                                        <a:pt x="530773" y="2610674"/>
                                        <a:pt x="369497" y="2597150"/>
                                      </a:cubicBezTo>
                                      <a:cubicBezTo>
                                        <a:pt x="155534" y="2581945"/>
                                        <a:pt x="17352" y="2459324"/>
                                        <a:pt x="0" y="2227653"/>
                                      </a:cubicBezTo>
                                      <a:cubicBezTo>
                                        <a:pt x="-17492" y="1985602"/>
                                        <a:pt x="10018" y="1857958"/>
                                        <a:pt x="0" y="1664012"/>
                                      </a:cubicBezTo>
                                      <a:cubicBezTo>
                                        <a:pt x="-10018" y="1470066"/>
                                        <a:pt x="30211" y="1274151"/>
                                        <a:pt x="0" y="1007464"/>
                                      </a:cubicBezTo>
                                      <a:cubicBezTo>
                                        <a:pt x="-30211" y="740777"/>
                                        <a:pt x="28398" y="678939"/>
                                        <a:pt x="0" y="369497"/>
                                      </a:cubicBezTo>
                                      <a:close/>
                                    </a:path>
                                    <a:path w="2969895" h="2597150" stroke="0" extrusionOk="0">
                                      <a:moveTo>
                                        <a:pt x="0" y="369497"/>
                                      </a:moveTo>
                                      <a:cubicBezTo>
                                        <a:pt x="34577" y="178421"/>
                                        <a:pt x="167617" y="23472"/>
                                        <a:pt x="369497" y="0"/>
                                      </a:cubicBezTo>
                                      <a:cubicBezTo>
                                        <a:pt x="518833" y="25358"/>
                                        <a:pt x="763926" y="-12862"/>
                                        <a:pt x="927222" y="0"/>
                                      </a:cubicBezTo>
                                      <a:cubicBezTo>
                                        <a:pt x="1090519" y="12862"/>
                                        <a:pt x="1283092" y="13454"/>
                                        <a:pt x="1529566" y="0"/>
                                      </a:cubicBezTo>
                                      <a:cubicBezTo>
                                        <a:pt x="1776040" y="-13454"/>
                                        <a:pt x="2346815" y="-6698"/>
                                        <a:pt x="2600398" y="0"/>
                                      </a:cubicBezTo>
                                      <a:cubicBezTo>
                                        <a:pt x="2790254" y="-14900"/>
                                        <a:pt x="2963476" y="163312"/>
                                        <a:pt x="2969895" y="369497"/>
                                      </a:cubicBezTo>
                                      <a:cubicBezTo>
                                        <a:pt x="2964010" y="618454"/>
                                        <a:pt x="2992138" y="705432"/>
                                        <a:pt x="2969895" y="933138"/>
                                      </a:cubicBezTo>
                                      <a:cubicBezTo>
                                        <a:pt x="2947652" y="1160844"/>
                                        <a:pt x="2959065" y="1396088"/>
                                        <a:pt x="2969895" y="1552523"/>
                                      </a:cubicBezTo>
                                      <a:cubicBezTo>
                                        <a:pt x="2980725" y="1708958"/>
                                        <a:pt x="2989525" y="1922101"/>
                                        <a:pt x="2969895" y="2227653"/>
                                      </a:cubicBezTo>
                                      <a:cubicBezTo>
                                        <a:pt x="2961485" y="2426742"/>
                                        <a:pt x="2843982" y="2584275"/>
                                        <a:pt x="2600398" y="2597150"/>
                                      </a:cubicBezTo>
                                      <a:cubicBezTo>
                                        <a:pt x="2446371" y="2597226"/>
                                        <a:pt x="2156238" y="2611024"/>
                                        <a:pt x="2042673" y="2597150"/>
                                      </a:cubicBezTo>
                                      <a:cubicBezTo>
                                        <a:pt x="1929108" y="2583276"/>
                                        <a:pt x="1682141" y="2616607"/>
                                        <a:pt x="1484948" y="2597150"/>
                                      </a:cubicBezTo>
                                      <a:cubicBezTo>
                                        <a:pt x="1287756" y="2577693"/>
                                        <a:pt x="1127330" y="2623505"/>
                                        <a:pt x="927222" y="2597150"/>
                                      </a:cubicBezTo>
                                      <a:cubicBezTo>
                                        <a:pt x="727114" y="2570795"/>
                                        <a:pt x="553257" y="2623034"/>
                                        <a:pt x="369497" y="2597150"/>
                                      </a:cubicBezTo>
                                      <a:cubicBezTo>
                                        <a:pt x="194263" y="2631399"/>
                                        <a:pt x="3410" y="2439480"/>
                                        <a:pt x="0" y="2227653"/>
                                      </a:cubicBezTo>
                                      <a:cubicBezTo>
                                        <a:pt x="-13465" y="2026099"/>
                                        <a:pt x="2425" y="1821961"/>
                                        <a:pt x="0" y="1645431"/>
                                      </a:cubicBezTo>
                                      <a:cubicBezTo>
                                        <a:pt x="-2425" y="1468901"/>
                                        <a:pt x="-3089" y="1229156"/>
                                        <a:pt x="0" y="1063209"/>
                                      </a:cubicBezTo>
                                      <a:cubicBezTo>
                                        <a:pt x="3089" y="897262"/>
                                        <a:pt x="-3659" y="513368"/>
                                        <a:pt x="0" y="369497"/>
                                      </a:cubicBezTo>
                                      <a:close/>
                                    </a:path>
                                  </a:pathLst>
                                </a:custGeom>
                                <ask:type>
                                  <ask:lineSketchNone/>
                                </ask:type>
                              </ask:lineSketchStyleProps>
                            </a:ext>
                          </a:extLst>
                        </a:ln>
                        <a:effectLst>
                          <a:outerShdw blurRad="50800" dist="38100" algn="l" rotWithShape="0">
                            <a:prstClr val="black">
                              <a:alpha val="40000"/>
                            </a:prstClr>
                          </a:outerShdw>
                        </a:effectLst>
                      </wps:spPr>
                      <wps:txbx>
                        <w:txbxContent>
                          <w:p w14:paraId="2D38D416" w14:textId="07F33DD2" w:rsidR="00994922" w:rsidRPr="004E21CF" w:rsidRDefault="00994922" w:rsidP="00994922">
                            <w:pPr>
                              <w:pStyle w:val="Ramka"/>
                            </w:pPr>
                            <w:r>
                              <w:rPr>
                                <w:b/>
                                <w:bCs/>
                              </w:rPr>
                              <w:t>Z</w:t>
                            </w:r>
                            <w:r w:rsidRPr="000A68A0">
                              <w:rPr>
                                <w:b/>
                                <w:bCs/>
                              </w:rPr>
                              <w:t>ielone miejsca pracy</w:t>
                            </w:r>
                            <w:r w:rsidRPr="000A68A0">
                              <w:t xml:space="preserve"> </w:t>
                            </w:r>
                            <w:r>
                              <w:t xml:space="preserve">są to </w:t>
                            </w:r>
                            <w:r w:rsidR="00463575" w:rsidRPr="00463575">
                              <w:t>stanowisk</w:t>
                            </w:r>
                            <w:r w:rsidR="00463575">
                              <w:t>a</w:t>
                            </w:r>
                            <w:r w:rsidR="00463575" w:rsidRPr="00463575">
                              <w:t xml:space="preserve"> pracy, które bezpośrednio lub pośrednio przyczyniają się do ochrony środowiska naturalnego, promują zrównoważone wykorzystanie zasobów oraz wspierają działania na rzecz zmniejszenia emisji gazów cieplarnianych i łagodzenia skutków zmian klimatu</w:t>
                            </w:r>
                            <w:r>
                              <w:t>.</w:t>
                            </w:r>
                          </w:p>
                        </w:txbxContent>
                      </wps:txbx>
                      <wps:bodyPr rot="0" spcFirstLastPara="0" vertOverflow="overflow" horzOverflow="overflow" vert="horz" wrap="square" lIns="72000" tIns="90000" rIns="7200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D15BC66" id="_x0000_s1109" style="position:absolute;left:0;text-align:left;margin-left:140.05pt;margin-top:4.9pt;width:191.25pt;height:109pt;z-index:-25147904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arcsize="777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" fillcolor="window" strokecolor="#ffc000 [3207]" strokeweight=".5pt">
                <v:stroke joinstyle="miter"/>
                <v:shadow on="t" color="black" opacity="26214f" origin="-.5" offset="3pt,0"/>
                <v:textbox inset="2mm,2.5mm,2mm,0">
                  <w:txbxContent>
                    <w:p w14:paraId="2D38D416" w14:textId="07F33DD2" w:rsidR="00994922" w:rsidRPr="004E21CF" w:rsidRDefault="00994922" w:rsidP="00994922">
                      <w:pPr>
                        <w:pStyle w:val="Ramka"/>
                      </w:pPr>
                      <w:r>
                        <w:rPr>
                          <w:b/>
                          <w:bCs/>
                        </w:rPr>
                        <w:t>Z</w:t>
                      </w:r>
                      <w:r w:rsidRPr="000A68A0">
                        <w:rPr>
                          <w:b/>
                          <w:bCs/>
                        </w:rPr>
                        <w:t>ielone miejsca pracy</w:t>
                      </w:r>
                      <w:r w:rsidRPr="000A68A0">
                        <w:t xml:space="preserve"> </w:t>
                      </w:r>
                      <w:r>
                        <w:t xml:space="preserve">są to </w:t>
                      </w:r>
                      <w:r w:rsidR="00463575" w:rsidRPr="00463575">
                        <w:t>stanowisk</w:t>
                      </w:r>
                      <w:r w:rsidR="00463575">
                        <w:t>a</w:t>
                      </w:r>
                      <w:r w:rsidR="00463575" w:rsidRPr="00463575">
                        <w:t xml:space="preserve"> pracy, które bezpośrednio lub pośrednio przyczyniają się do ochrony środowiska naturalnego, promują zrównoważone wykorzystanie zasobów oraz wspierają działania na rzecz zmniejszenia emisji gazów cieplarnianych i łagodzenia skutków zmian klimatu</w:t>
                      </w:r>
                      <w:r>
                        <w:t>.</w:t>
                      </w:r>
                    </w:p>
                  </w:txbxContent>
                </v:textbox>
                <w10:wrap type="square" anchorx="margin"/>
              </v:roundrect>
            </w:pict>
          </mc:Fallback>
        </mc:AlternateContent>
      </w:r>
      <w:r>
        <w:t>Zielone miejsca pracy</w:t>
      </w:r>
      <w:r w:rsidR="00527101">
        <w:t xml:space="preserve"> </w:t>
      </w:r>
      <w:r>
        <w:t>stanowią kluczowy element współczesnej gospodarki, zorientowanej na transformację klimatyczno-energetyczną. W dobie rosnącej świadomości ekologicznej oraz narastających wyzwań związanych z globalnym ociepleniem, rola zielonych miejsc pracy staje się coraz bardziej istotna.</w:t>
      </w:r>
    </w:p>
    <w:p w14:paraId="50032AD8" w14:textId="29B41A7B" w:rsidR="00994922" w:rsidRDefault="00994922" w:rsidP="00994922">
      <w:r>
        <w:t xml:space="preserve">Zielone miejsca pracy są obecne w różnych sektorach gospodarki, takich jak energetyka odnawialna, rolnictwo ekologiczne, gospodarka wodna, </w:t>
      </w:r>
      <w:r w:rsidR="001F7F05">
        <w:t xml:space="preserve">gospodarowanie </w:t>
      </w:r>
      <w:r>
        <w:t xml:space="preserve">odpadami, transport publiczny, budownictwo energooszczędne, czy ochrona przyrody. Przykładami mogą być stanowiska związane z produkcją i instalacją </w:t>
      </w:r>
      <w:r w:rsidR="00463575">
        <w:t>odnawialnych źródeł energii</w:t>
      </w:r>
      <w:r>
        <w:t>, pracą w recyklingu, ekoprojektowaniem, czy zarządzaniem lasami</w:t>
      </w:r>
      <w:r w:rsidR="007E6F82">
        <w:t xml:space="preserve"> i obszarami cennymi przyrodniczo</w:t>
      </w:r>
      <w:r>
        <w:t>. W odróżnieniu od tradycyjnych miejsc pracy, te związane z zieloną gospodarką koncentrują się na tworzeniu rozwiązań, które minimalizują negatywny wpływ działalności człowieka na środowisko, a przy tym bezkolizyjnie wspierają proces transformacji</w:t>
      </w:r>
      <w:r w:rsidR="007E6F82">
        <w:t xml:space="preserve"> i wzmacniają konkurencyjność gospodarki</w:t>
      </w:r>
      <w:r>
        <w:t xml:space="preserve">. </w:t>
      </w:r>
    </w:p>
    <w:p w14:paraId="248F7A89" w14:textId="01F72EED" w:rsidR="00994922" w:rsidRDefault="00994922" w:rsidP="00994922">
      <w:r>
        <w:t xml:space="preserve">Potrzeba tworzenia zielonych miejsc pracy wynika z kilku czynników. </w:t>
      </w:r>
      <w:r w:rsidR="00527101">
        <w:t>Są</w:t>
      </w:r>
      <w:r>
        <w:t xml:space="preserve"> odpowiedzią na kryzys klimatyczny i konieczność transformacji gospodarki w kierunku </w:t>
      </w:r>
      <w:r w:rsidR="007E6F82">
        <w:t>zer</w:t>
      </w:r>
      <w:r>
        <w:t xml:space="preserve">oemisyjnego rozwoju. </w:t>
      </w:r>
      <w:r w:rsidR="00E27718">
        <w:t>Jak wskazuje nauka, s</w:t>
      </w:r>
      <w:r>
        <w:t>ektory gospodarki bazujące na paliwach kopalnych i intensywnym wykorzystaniu zasobów</w:t>
      </w:r>
      <w:r w:rsidR="007E6F82">
        <w:t>,</w:t>
      </w:r>
      <w:r>
        <w:t xml:space="preserve"> są</w:t>
      </w:r>
      <w:r w:rsidR="00CB5FB2">
        <w:t> </w:t>
      </w:r>
      <w:r>
        <w:t>nieefektywne i szkodliwe dla planety. Przemiana tych sektorów oraz rozwój nowych, opartych na</w:t>
      </w:r>
      <w:r w:rsidR="00CB5FB2">
        <w:t> </w:t>
      </w:r>
      <w:r>
        <w:t>zrównoważonych technologiach, stwarza nowe możliwości zatrudnienia, które są jednocześnie korzystne dla gospodarki i przyjazne dla środowiska.</w:t>
      </w:r>
    </w:p>
    <w:p w14:paraId="2F5C99FC" w14:textId="3134B5A2" w:rsidR="00994922" w:rsidRDefault="00994922" w:rsidP="00994922">
      <w:r>
        <w:t xml:space="preserve">Zielone miejsca pracy odgrywają także kluczową rolę w procesie sprawiedliwej transformacji.  Przemiany gospodarcze i ekologiczne nie </w:t>
      </w:r>
      <w:r w:rsidR="00E27718">
        <w:t xml:space="preserve">muszą i nie </w:t>
      </w:r>
      <w:r>
        <w:t xml:space="preserve">mogą odbywać się kosztem pracowników i społeczności, które opierają się na przemysłach wysokoemisyjnych. Zielone miejsca pracy stanowią </w:t>
      </w:r>
      <w:r w:rsidR="00E27718">
        <w:t xml:space="preserve">często lepszą </w:t>
      </w:r>
      <w:r>
        <w:t xml:space="preserve">alternatywę dla osób, które w wyniku transformacji mogą stracić zatrudnienie w sektorach związanych z wydobyciem i przetwarzaniem paliw kopalnych. Dzięki inwestycjom w szkolenia i edukację, </w:t>
      </w:r>
      <w:r w:rsidR="00463575">
        <w:t xml:space="preserve">ci </w:t>
      </w:r>
      <w:r>
        <w:t xml:space="preserve">pracownicy mogą zdobyć nowe umiejętności i kwalifikacje, co pozwoli im na znalezienie zatrudnienia w bardziej zrównoważonych sektorach gospodarki. </w:t>
      </w:r>
      <w:r w:rsidR="00463575">
        <w:t>W</w:t>
      </w:r>
      <w:r>
        <w:t>spierają również rozwój lokalnych społeczności, zwłaszcza tych, które do tej pory były uzależnione od wysokoemisyjnych gałęzi przemysłu. Inwestycje w energ</w:t>
      </w:r>
      <w:r w:rsidR="00463575">
        <w:t>etykę</w:t>
      </w:r>
      <w:r>
        <w:t xml:space="preserve"> odnawialną, gospodarkę o obiegu zamkniętym, czy ekologiczne rolnictwo mogą przyczynić się do tworzenia nowych źródeł dochodu i zwiększenia stabilności ekonomicznej </w:t>
      </w:r>
      <w:r w:rsidR="00E27718">
        <w:t xml:space="preserve">dawnych </w:t>
      </w:r>
      <w:r>
        <w:t>regionów</w:t>
      </w:r>
      <w:r w:rsidR="00E27718">
        <w:t xml:space="preserve"> wydobywczych</w:t>
      </w:r>
      <w:r>
        <w:t xml:space="preserve">. </w:t>
      </w:r>
      <w:r w:rsidR="001C23FB">
        <w:t>Z</w:t>
      </w:r>
      <w:r>
        <w:t xml:space="preserve">ielone miejsca pracy pomagają w budowaniu bardziej </w:t>
      </w:r>
      <w:r w:rsidR="001C23FB">
        <w:t>odpowiedzianego i zaangażowanego</w:t>
      </w:r>
      <w:r>
        <w:t xml:space="preserve"> społeczeństwa, w którym korzyści z transformacji klimatycznej są równomiernie rozłożone. </w:t>
      </w:r>
    </w:p>
    <w:p w14:paraId="318A47C1" w14:textId="6E739FFD" w:rsidR="00994922" w:rsidRPr="002C7367" w:rsidRDefault="00994922" w:rsidP="002C7367">
      <w:pPr>
        <w:pStyle w:val="Cele"/>
        <w:rPr>
          <w:b/>
          <w:bCs/>
        </w:rPr>
      </w:pPr>
      <w:r w:rsidRPr="002C7367">
        <w:rPr>
          <w:b/>
          <w:bCs/>
        </w:rPr>
        <w:t xml:space="preserve">Zwiększenie </w:t>
      </w:r>
      <w:r w:rsidR="002C7367" w:rsidRPr="002C7367">
        <w:rPr>
          <w:b/>
          <w:bCs/>
        </w:rPr>
        <w:t xml:space="preserve">liczby </w:t>
      </w:r>
      <w:r w:rsidRPr="002C7367">
        <w:rPr>
          <w:b/>
          <w:bCs/>
        </w:rPr>
        <w:t xml:space="preserve">zielonych miejsc pracy </w:t>
      </w:r>
      <w:r w:rsidR="002C7367">
        <w:rPr>
          <w:b/>
          <w:bCs/>
        </w:rPr>
        <w:t xml:space="preserve">do 2030 r. </w:t>
      </w:r>
      <w:r w:rsidR="002C7367" w:rsidRPr="002C7367">
        <w:rPr>
          <w:b/>
          <w:bCs/>
        </w:rPr>
        <w:t>w porównaniu do 2023 r.</w:t>
      </w:r>
    </w:p>
    <w:p w14:paraId="20EF784E" w14:textId="77777777" w:rsidR="00994922" w:rsidRDefault="00994922" w:rsidP="00994922">
      <w:pPr>
        <w:pStyle w:val="Polityka"/>
      </w:pPr>
      <w:bookmarkStart w:id="246" w:name="_Hlk174462981"/>
      <w:r w:rsidRPr="00C46DAA">
        <w:t>POLITYKA</w:t>
      </w:r>
    </w:p>
    <w:p w14:paraId="1DE6FCDD" w14:textId="77777777" w:rsidR="00994922" w:rsidRPr="009C3E75" w:rsidRDefault="00994922" w:rsidP="00994922">
      <w:r w:rsidRPr="009C3E75">
        <w:rPr>
          <w:szCs w:val="20"/>
        </w:rPr>
        <w:t xml:space="preserve">Kluczowym celem polityki będzie stworzenie sprzyjających warunków dla rozwoju zrównoważonych sektorów gospodarki, a także wspieranie sprawiedliwej transformacji, która zapewni godne miejsca pracy i równomierny rozwój ekonomiczny w różnych regionach kraju. Z uwagi na priorytetowe traktowanie inwestycji w sektorach związanych z odnawialnymi źródłami energii, gospodarki o obiegu zamkniętym, zrównoważonego rolnictwa, ochrony środowiska i transportem publicznym, w dalszym ciągu rozwijane będą systemy wsparcia finansowego i fiskalnego. Szczególną uwagą będą objęte małe i średnie </w:t>
      </w:r>
      <w:r w:rsidRPr="009C3E75">
        <w:t>przedsiębiorstwa (MŚP), które odgrywają istotną rolę w innowacjach i rozwoju lokalnym.</w:t>
      </w:r>
    </w:p>
    <w:p w14:paraId="417F6A6D" w14:textId="0FAC68E4" w:rsidR="00994922" w:rsidRPr="009C3E75" w:rsidRDefault="00994922" w:rsidP="00994922">
      <w:pPr>
        <w:rPr>
          <w:rFonts w:ascii="Bahnschrift" w:hAnsi="Bahnschrift"/>
          <w:sz w:val="32"/>
          <w:szCs w:val="32"/>
        </w:rPr>
      </w:pPr>
      <w:r w:rsidRPr="009C3E75">
        <w:t>Wspierany będzie rozwój programów edukacyjnych oraz szkoleń zawodowych, które pozwolą pracownikom zdobyć nowe umiejętności niezbędne w zielonych sektorach gospodarki. W szczególności promowane będzie kształcenie techniczne oraz rozwijane programy przekwalifikowania, skierowane szczególnie do osób pracujących w sektorach</w:t>
      </w:r>
      <w:r w:rsidRPr="009C3E75">
        <w:rPr>
          <w:szCs w:val="20"/>
        </w:rPr>
        <w:t xml:space="preserve"> wysokoemisyjnych. Istotną rolę </w:t>
      </w:r>
      <w:r w:rsidR="00E27718">
        <w:rPr>
          <w:szCs w:val="20"/>
        </w:rPr>
        <w:t>będzie</w:t>
      </w:r>
      <w:r w:rsidR="00E27718" w:rsidRPr="009C3E75">
        <w:rPr>
          <w:szCs w:val="20"/>
        </w:rPr>
        <w:t xml:space="preserve"> </w:t>
      </w:r>
      <w:r w:rsidRPr="009C3E75">
        <w:rPr>
          <w:szCs w:val="20"/>
        </w:rPr>
        <w:t>odgrywa</w:t>
      </w:r>
      <w:r w:rsidR="002C7367">
        <w:rPr>
          <w:szCs w:val="20"/>
        </w:rPr>
        <w:t>ć</w:t>
      </w:r>
      <w:r w:rsidRPr="009C3E75">
        <w:rPr>
          <w:szCs w:val="20"/>
        </w:rPr>
        <w:t xml:space="preserve"> współpraca z uczelniami i instytucjami szkoleniowymi</w:t>
      </w:r>
      <w:r w:rsidR="00963A1E">
        <w:rPr>
          <w:szCs w:val="20"/>
        </w:rPr>
        <w:t>,</w:t>
      </w:r>
      <w:r w:rsidRPr="009C3E75">
        <w:rPr>
          <w:szCs w:val="20"/>
        </w:rPr>
        <w:t xml:space="preserve"> pomagająca w stworzeniu nowoczesnych programów edukacyjnych, które będą odpowiadać na potrzeby rynku pracy.</w:t>
      </w:r>
    </w:p>
    <w:p w14:paraId="50229DA8" w14:textId="77777777" w:rsidR="00994922" w:rsidRPr="009C3E75" w:rsidRDefault="00994922" w:rsidP="00994922">
      <w:r>
        <w:rPr>
          <w:szCs w:val="20"/>
        </w:rPr>
        <w:t xml:space="preserve">Specjalna </w:t>
      </w:r>
      <w:r w:rsidRPr="009C3E75">
        <w:rPr>
          <w:szCs w:val="20"/>
        </w:rPr>
        <w:t xml:space="preserve">uwaga będzie skierowana na regiony, które historycznie były zależne od przemysłów wysokoemisyjnych, takich jak górnictwo. Polityka obejmie strategie regionalne, które wspierają rozwój alternatywnych źródeł zatrudnienia, dostosowane do lokalnych potrzeb i zasobów. Stworzone zostaną </w:t>
      </w:r>
      <w:r w:rsidRPr="009C3E75">
        <w:t>mechanizmy wsparcia dla społeczności lokalnych, w tym funduszy przeznaczonych na rozwój zielonych miejsc pracy i innowacyjnych projektów, które będą wspierać lokalną gospodarkę.</w:t>
      </w:r>
    </w:p>
    <w:p w14:paraId="5B070980" w14:textId="2246ACD5" w:rsidR="00994922" w:rsidRDefault="00994922" w:rsidP="00994922">
      <w:pPr>
        <w:rPr>
          <w:szCs w:val="20"/>
        </w:rPr>
      </w:pPr>
      <w:r w:rsidRPr="009C3E75">
        <w:t>Kluczow</w:t>
      </w:r>
      <w:r w:rsidR="00963A1E">
        <w:t>e</w:t>
      </w:r>
      <w:r w:rsidRPr="009C3E75">
        <w:t xml:space="preserve"> w kreowaniu polityki na rzecz zielonych miejsc pracy będzie prowadzenie szerokiej współpracy pomiędzy rządem, sektorem</w:t>
      </w:r>
      <w:r w:rsidRPr="009C3E75">
        <w:rPr>
          <w:szCs w:val="20"/>
        </w:rPr>
        <w:t xml:space="preserve"> prywatnym, </w:t>
      </w:r>
      <w:r w:rsidR="002C7367">
        <w:rPr>
          <w:szCs w:val="20"/>
        </w:rPr>
        <w:t>pracownikami</w:t>
      </w:r>
      <w:r w:rsidRPr="009C3E75">
        <w:rPr>
          <w:szCs w:val="20"/>
        </w:rPr>
        <w:t>, organizacjami pozarządowymi oraz społecznościami lokalnymi. Dialog społeczny jest kluczowy, aby zrozumieć potrzeby różnych grup interesariuszy i wspólnie wypracować rozwiązania, które będą skuteczne i sprawiedliwe. Rząd będzie dążył do stworzenia platform współpracy, któr</w:t>
      </w:r>
      <w:r w:rsidR="00E27718">
        <w:rPr>
          <w:szCs w:val="20"/>
        </w:rPr>
        <w:t>e</w:t>
      </w:r>
      <w:r w:rsidRPr="009C3E75">
        <w:rPr>
          <w:szCs w:val="20"/>
        </w:rPr>
        <w:t xml:space="preserve"> umożliwi</w:t>
      </w:r>
      <w:r w:rsidR="00E27718">
        <w:rPr>
          <w:szCs w:val="20"/>
        </w:rPr>
        <w:t>ą</w:t>
      </w:r>
      <w:r w:rsidRPr="009C3E75">
        <w:rPr>
          <w:szCs w:val="20"/>
        </w:rPr>
        <w:t xml:space="preserve"> wymianę wiedzy i najlepszych praktyk oraz wspólne planowanie działań w zakresie identyfikowanych potrzeb.</w:t>
      </w:r>
    </w:p>
    <w:p w14:paraId="13A3727E" w14:textId="5C35E346" w:rsidR="00684D13" w:rsidRDefault="000963BE" w:rsidP="00994922">
      <w:pPr>
        <w:rPr>
          <w:szCs w:val="20"/>
        </w:rPr>
      </w:pPr>
      <w:bookmarkStart w:id="247" w:name="_Hlk177401546"/>
      <w:r>
        <w:rPr>
          <w:szCs w:val="20"/>
        </w:rPr>
        <w:t xml:space="preserve">Inwestowanie w tworzenie zielonych miejsc pracy pozwala na długookresowe efekty gospodarcze. </w:t>
      </w:r>
      <w:r w:rsidR="00583B45">
        <w:rPr>
          <w:szCs w:val="20"/>
        </w:rPr>
        <w:t>Z tego względu dążyć się będzie do priorytetowego przeznaczania środków finansowych kierowanych na sprawiedliwą transformację właśnie na rozwój podmiotów gospodarczych zapewniających kreowanie nowych i długotrwałych miejsc pracy w obszarach zielonej transformacji i zielono-niebieskiej infrastruktury.</w:t>
      </w:r>
    </w:p>
    <w:p w14:paraId="38045AAD" w14:textId="77777777" w:rsidR="00994922" w:rsidRPr="00C46DAA" w:rsidRDefault="00994922" w:rsidP="00994922">
      <w:pPr>
        <w:pStyle w:val="Polityka"/>
      </w:pPr>
      <w:bookmarkStart w:id="248" w:name="_Hlk174529542"/>
      <w:bookmarkEnd w:id="247"/>
      <w:r w:rsidRPr="00C46DAA">
        <w:t>DZIAŁANIA</w:t>
      </w:r>
    </w:p>
    <w:p w14:paraId="27E4817C" w14:textId="1559A609" w:rsidR="003A15B1" w:rsidRDefault="003A15B1" w:rsidP="00994922">
      <w:pPr>
        <w:pStyle w:val="Akapitzlist"/>
        <w:numPr>
          <w:ilvl w:val="0"/>
          <w:numId w:val="6"/>
        </w:numPr>
      </w:pPr>
      <w:r>
        <w:fldChar w:fldCharType="begin"/>
      </w:r>
      <w:r>
        <w:instrText xml:space="preserve"> REF _Ref157435553 \h </w:instrText>
      </w:r>
      <w:r>
        <w:fldChar w:fldCharType="separate"/>
      </w:r>
      <w:r w:rsidR="00DD3929" w:rsidRPr="00570679">
        <w:t xml:space="preserve">Działanie </w:t>
      </w:r>
      <w:r w:rsidR="00DD3929">
        <w:rPr>
          <w:noProof/>
        </w:rPr>
        <w:t>133</w:t>
      </w:r>
      <w:r w:rsidR="00DD3929" w:rsidRPr="00570679">
        <w:t xml:space="preserve">. Zapewnienie </w:t>
      </w:r>
      <w:r w:rsidR="00DD3929" w:rsidRPr="00B31627">
        <w:t>wsparcia</w:t>
      </w:r>
      <w:r w:rsidR="00DD3929" w:rsidRPr="00570679">
        <w:t xml:space="preserve"> dla regionów węglowych.</w:t>
      </w:r>
      <w:r>
        <w:fldChar w:fldCharType="end"/>
      </w:r>
    </w:p>
    <w:p w14:paraId="1A177D43" w14:textId="375D58AD" w:rsidR="00994922" w:rsidRDefault="00994922" w:rsidP="00994922">
      <w:pPr>
        <w:pStyle w:val="Akapitzlist"/>
        <w:numPr>
          <w:ilvl w:val="0"/>
          <w:numId w:val="6"/>
        </w:numPr>
      </w:pPr>
      <w:r>
        <w:fldChar w:fldCharType="begin"/>
      </w:r>
      <w:r>
        <w:instrText xml:space="preserve"> REF _Ref157435866 \h  \* MERGEFORMAT </w:instrText>
      </w:r>
      <w:r>
        <w:fldChar w:fldCharType="separate"/>
      </w:r>
      <w:r w:rsidR="00DD3929" w:rsidRPr="00DD3929">
        <w:t>Działanie 147. Kształcenie i doskonalenie zawodowe kadr dla gospodarki w zakresie transformacji klimatyczno-energetycznej.</w:t>
      </w:r>
      <w:r>
        <w:fldChar w:fldCharType="end"/>
      </w:r>
    </w:p>
    <w:p w14:paraId="122D21B9" w14:textId="028C41EC" w:rsidR="00994922" w:rsidRPr="00DC4FF7" w:rsidRDefault="00994922" w:rsidP="00994922">
      <w:pPr>
        <w:pStyle w:val="Nagwek4"/>
        <w:rPr>
          <w:color w:val="FFC000" w:themeColor="accent4"/>
        </w:rPr>
      </w:pPr>
      <w:bookmarkStart w:id="249" w:name="_Toc179537002"/>
      <w:bookmarkEnd w:id="245"/>
      <w:bookmarkEnd w:id="246"/>
      <w:bookmarkEnd w:id="248"/>
      <w:r>
        <w:rPr>
          <w:color w:val="FFC000" w:themeColor="accent4"/>
        </w:rPr>
        <w:t>Zachowanie równowagi społecznej i ekonomicznej</w:t>
      </w:r>
      <w:bookmarkEnd w:id="249"/>
      <w:r>
        <w:rPr>
          <w:color w:val="FFC000" w:themeColor="accent4"/>
        </w:rPr>
        <w:t xml:space="preserve"> </w:t>
      </w:r>
    </w:p>
    <w:p w14:paraId="1A7DFBA1" w14:textId="26144F41" w:rsidR="009F1BEA" w:rsidRPr="009F1BEA" w:rsidRDefault="009F1BEA" w:rsidP="00E77FC7">
      <w:r w:rsidRPr="009F1BEA">
        <w:t>Zachowanie równowagi społecznej i ekonomicznej w kontekście sprawiedliwej transformacji energetycznej jest kluczowym elementem w procesie przechodzenia na gospodarkę niskoemisyjną. Oznacza to dążenie do takiej zmiany, która minimalizuje nierówności społeczne oraz negatywne skutki dla różnych grup społecznych, jednocześnie maksymalizując korzyści dla wszystkich obywateli. Transformacja energetyczna jako proces zmiany systemu gospodarczego i energetycznego niesie ze sobą różnorodne skutki dystrybucyjne, które mogą prowadzić do powstawania nowych nierówności dochodowych i regionalnych. Przykładem mogą być regiony tradycyjnie zależne od przemysłu węglowego, które w obliczu zmiany mogą doświadczać trudności, takich jak utrata miejsc pracy, podczas gdy nowe sektory zielonej gospodarki mogą rozwijać się w innych lokalizacjach, tworząc dysproporcje rozwoju regionalnego.</w:t>
      </w:r>
    </w:p>
    <w:p w14:paraId="6E2B1877" w14:textId="2D41C1C7" w:rsidR="009F1BEA" w:rsidRPr="009F1BEA" w:rsidRDefault="009F1BEA" w:rsidP="00E77FC7">
      <w:r w:rsidRPr="009F1BEA">
        <w:t>Monitorowanie tych skutków jest kluczowe, aby w odpowiednim momencie zidentyfikować grupy i</w:t>
      </w:r>
      <w:r w:rsidR="00C87A0F">
        <w:t> </w:t>
      </w:r>
      <w:r w:rsidRPr="009F1BEA">
        <w:t xml:space="preserve">regiony najbardziej narażone na negatywne konsekwencje transformacji. W odpowiedzi na te wyzwania konieczne jest wprowadzenie mechanizmów redystrybucji, takich jak subsydia, ulgi podatkowe czy inwestycje w rozwój lokalny. Tego typu środki mają na celu złagodzenie potencjalnych nierówności społecznych i ekonomicznych, które mogą pogłębiać się w trakcie transformacji. Ważnym celem transformacji energetycznej jest również poprawa jakości życia obywateli poprzez redukcję zanieczyszczeń środowiskowych oraz poprawę zdrowia publicznego. Dążenie do bardziej efektywnych energetycznie i ekologicznych rozwiązań przyczyni się do lepszej jakości powietrza, zmniejszenia wpływu zmian klimatycznych oraz obniżenia kosztów energii. </w:t>
      </w:r>
      <w:r w:rsidR="00C87A0F">
        <w:t>R</w:t>
      </w:r>
      <w:r w:rsidRPr="009F1BEA">
        <w:t xml:space="preserve">ównie istotne jest, aby te zmiany nie prowadziły do obniżenia standardu życia żadnej z grup społecznych. </w:t>
      </w:r>
    </w:p>
    <w:p w14:paraId="06568A4A" w14:textId="588F9A16" w:rsidR="009F1BEA" w:rsidRPr="009F1BEA" w:rsidRDefault="009F1BEA" w:rsidP="00E77FC7">
      <w:r w:rsidRPr="009F1BEA">
        <w:t xml:space="preserve">Transformacja wiąże się z </w:t>
      </w:r>
      <w:r w:rsidR="00A30ABA">
        <w:t xml:space="preserve">koniecznością poniesienia początkowych nakładów inwestycyjnych, </w:t>
      </w:r>
      <w:r w:rsidRPr="009F1BEA">
        <w:t xml:space="preserve">które mogą obciążać zarówno gospodarstwa domowe, jak i przedsiębiorstwa. Aby </w:t>
      </w:r>
      <w:r w:rsidR="00A30ABA">
        <w:t>zwiększyć ich dostępność</w:t>
      </w:r>
      <w:r w:rsidRPr="009F1BEA">
        <w:t xml:space="preserve">, niezbędne jest wprowadzenie odpowiednich środków wsparcia. Przykłady takich działań to dotacje na modernizację budynków, ulgi podatkowe czy subsydia dla małych i średnich przedsiębiorstw. Dzięki takim rozwiązaniom, przejście na zieloną energię może stać się bardziej przystępne dla wszystkich grup społecznych, a tym samym nie wpłynie </w:t>
      </w:r>
      <w:r w:rsidR="00A30ABA">
        <w:t xml:space="preserve">nawet przejściowo </w:t>
      </w:r>
      <w:r w:rsidRPr="009F1BEA">
        <w:t>negatywnie na ich sytuację finansową.</w:t>
      </w:r>
    </w:p>
    <w:p w14:paraId="24EACC1D" w14:textId="4B3E60BE" w:rsidR="009F1BEA" w:rsidRDefault="009F1BEA" w:rsidP="00E77FC7">
      <w:pPr>
        <w:rPr>
          <w:b/>
          <w:bCs/>
        </w:rPr>
      </w:pPr>
      <w:r w:rsidRPr="009F1BEA">
        <w:t>Kluczowym elementem sprawiedliwej transformacji energetycznej jest także jej inkluzywność, czyli włączanie i uwzględnianie głosów wszystkich zainteresowanych stron. Proces ten wymaga zaangażowania różnych grup społecznych, lokalnych liderów, pracowników oraz organizacji pozarządowych w proces decyzyjny. Przeprowadzanie szerokich konsultacji społecznych, angażowanie społeczności lokalnych w planowanie i wdrażanie polityki energetycznej oraz zapewnienie przejrzystości i otwartości w podejmowanych decyzjach są nieodzowne. Tylko poprzez uwzględnienie potrzeb i obaw różnych grup społecznych możliwe jest budowanie społecznego poparcia dla działań związanych z transformacją energetyczną. Tego rodzaju podejście gwarantuje, że transformacja będzie nie tylko skuteczna, ale również sprawiedliwa społecznie i ekonomicznie.</w:t>
      </w:r>
      <w:r w:rsidR="00CE4BBA">
        <w:t xml:space="preserve"> W takim duchu tworzony jest dokument, który Państwo mają przed sobą.</w:t>
      </w:r>
    </w:p>
    <w:p w14:paraId="26D79828" w14:textId="13DD1E94" w:rsidR="00994922" w:rsidRPr="00354FEA" w:rsidRDefault="00994922" w:rsidP="009F1BEA">
      <w:pPr>
        <w:pStyle w:val="Polityka"/>
      </w:pPr>
      <w:r w:rsidRPr="00C46DAA">
        <w:t>POLITYKA</w:t>
      </w:r>
    </w:p>
    <w:p w14:paraId="5552C6F2" w14:textId="77777777" w:rsidR="009F1BEA" w:rsidRDefault="009F1BEA" w:rsidP="009F1BEA">
      <w:r>
        <w:t>Monitorowanie skutków dystrybucyjnych będzie obejmować systematyczną analizę wpływu transformacji energetycznej na różne grupy społeczne i regiony, aby zidentyfikować obszary oraz grupy najbardziej narażone na negatywne skutki. W tym celu wprowadzone zostaną mechanizmy redystrybucji korzyści, takie jak subsydia dla regionów i grup społecznych dotkniętych zmianami oraz ulgi podatkowe, które będą minimalizować nierówności społeczne i ekonomiczne. Analizy będą prowadzone we współpracy z instytucjami badawczymi i na podstawie danych z monitoringu społecznego.</w:t>
      </w:r>
    </w:p>
    <w:p w14:paraId="63A70BC0" w14:textId="2469A2BF" w:rsidR="009F1BEA" w:rsidRDefault="009F1BEA" w:rsidP="009F1BEA">
      <w:r>
        <w:t>W zakresie poprawy jakości życia i dobrostanu skoncentrujemy się na inwestycjach mających na celu poprawę jakości życia obywateli poprzez modernizację infrastruktury energetycznej, poprawę jakości powietrza i wsparcie dla zdrowia publicznego. W dalszym ciągu będzie prowadzone wsparcie finansowe dla gospodarstw domowych i przedsiębiorstw z wykorzystaniem środków wsparcia finansowego, takich jak dotacje na modernizację budynków oraz subsydia dla małych i średnich przedsiębiorstw. Ulgi podatkowe będą wprowadzone dla rodzin o niskich dochodach, aby zminimalizować negatywny wpływ kosztów związanych z przejściem na zieloną energię. W przypadku inkluzyjności i procesów uczestnictwa polityk będzie uwzględniać się szerokie angażowanie różnych grup społecznych, lokalnych liderów oraz organizacji pozarządowych w proces decyzyjny dotyczący polityki energetycznej. Przeprowadzane będą szerokie konsultacje społeczne, a decyzje będą podejmowane z zachowaniem przejrzystości, zgodnie z ustaw</w:t>
      </w:r>
      <w:r w:rsidR="00E77FC7">
        <w:t xml:space="preserve">ami i </w:t>
      </w:r>
      <w:r>
        <w:t xml:space="preserve">regulacjami dotyczącymi partycypacji obywatelskiej.  </w:t>
      </w:r>
    </w:p>
    <w:p w14:paraId="3674F524" w14:textId="77777777" w:rsidR="00994922" w:rsidRPr="00C46DAA" w:rsidRDefault="00994922" w:rsidP="00994922">
      <w:pPr>
        <w:pStyle w:val="Polityka"/>
      </w:pPr>
      <w:r w:rsidRPr="00C46DAA">
        <w:t>DZIAŁANIA</w:t>
      </w:r>
    </w:p>
    <w:p w14:paraId="6EA557D2" w14:textId="61DA3AA4" w:rsidR="00925327" w:rsidRDefault="00D72D21" w:rsidP="004E7450">
      <w:pPr>
        <w:pStyle w:val="Akapitzlist"/>
        <w:numPr>
          <w:ilvl w:val="0"/>
          <w:numId w:val="6"/>
        </w:numPr>
      </w:pPr>
      <w:r w:rsidRPr="00D72D21">
        <w:rPr>
          <w:b/>
          <w:bCs/>
        </w:rPr>
        <w:fldChar w:fldCharType="begin"/>
      </w:r>
      <w:r w:rsidRPr="00D72D21">
        <w:rPr>
          <w:b/>
          <w:bCs/>
        </w:rPr>
        <w:instrText xml:space="preserve"> REF _Ref157435866 \h  \* MERGEFORMAT </w:instrText>
      </w:r>
      <w:r w:rsidRPr="00D72D21">
        <w:rPr>
          <w:b/>
          <w:bCs/>
        </w:rPr>
      </w:r>
      <w:r w:rsidRPr="00D72D21">
        <w:rPr>
          <w:b/>
          <w:bCs/>
        </w:rPr>
        <w:fldChar w:fldCharType="separate"/>
      </w:r>
      <w:r w:rsidR="00DD3929" w:rsidRPr="00DD3929">
        <w:rPr>
          <w:rStyle w:val="Nagwek6Znak"/>
          <w:rFonts w:ascii="Lato" w:hAnsi="Lato"/>
          <w:b w:val="0"/>
          <w:bCs/>
        </w:rPr>
        <w:t xml:space="preserve">Działanie </w:t>
      </w:r>
      <w:r w:rsidR="00DD3929" w:rsidRPr="00DD3929">
        <w:rPr>
          <w:rStyle w:val="Nagwek6Znak"/>
          <w:rFonts w:ascii="Lato" w:hAnsi="Lato"/>
          <w:b w:val="0"/>
          <w:bCs/>
          <w:noProof/>
        </w:rPr>
        <w:t>147</w:t>
      </w:r>
      <w:r w:rsidR="00DD3929" w:rsidRPr="00DD3929">
        <w:rPr>
          <w:rStyle w:val="Nagwek6Znak"/>
          <w:rFonts w:ascii="Lato" w:hAnsi="Lato"/>
          <w:b w:val="0"/>
          <w:bCs/>
        </w:rPr>
        <w:t>. Kształcenie i doskonalenie zawodowe kadr dla gospodarki w zakresie</w:t>
      </w:r>
      <w:r w:rsidR="00DD3929" w:rsidRPr="00DD3929">
        <w:rPr>
          <w:b/>
          <w:bCs/>
          <w:szCs w:val="24"/>
        </w:rPr>
        <w:t xml:space="preserve"> </w:t>
      </w:r>
      <w:r w:rsidR="00DD3929" w:rsidRPr="00DD3929">
        <w:rPr>
          <w:rStyle w:val="Nagwek6Znak"/>
          <w:rFonts w:ascii="Lato" w:hAnsi="Lato"/>
          <w:b w:val="0"/>
          <w:bCs/>
        </w:rPr>
        <w:t>transformacji klimatyczno-energetycznej.</w:t>
      </w:r>
      <w:r w:rsidRPr="00D72D21">
        <w:rPr>
          <w:b/>
          <w:bCs/>
        </w:rPr>
        <w:fldChar w:fldCharType="end"/>
      </w:r>
    </w:p>
    <w:p w14:paraId="445392FD" w14:textId="0E2B009E" w:rsidR="00CE4BBA" w:rsidRDefault="00CE4BBA" w:rsidP="004049CC">
      <w:pPr>
        <w:pStyle w:val="Akapitzlist"/>
        <w:numPr>
          <w:ilvl w:val="0"/>
          <w:numId w:val="6"/>
        </w:numPr>
        <w:sectPr w:rsidR="00CE4BBA" w:rsidSect="005209BA">
          <w:pgSz w:w="11906" w:h="16838"/>
          <w:pgMar w:top="1417" w:right="1417" w:bottom="1417" w:left="1417" w:header="708" w:footer="708" w:gutter="0"/>
          <w:cols w:space="708"/>
          <w:docGrid w:linePitch="360"/>
        </w:sectPr>
      </w:pPr>
    </w:p>
    <w:p w14:paraId="31C8EA03" w14:textId="3454F680" w:rsidR="007F22F4" w:rsidRDefault="00925327" w:rsidP="007F22F4">
      <w:r>
        <w:rPr>
          <w:noProof/>
        </w:rPr>
        <w:drawing>
          <wp:anchor distT="0" distB="0" distL="114300" distR="114300" simplePos="0" relativeHeight="251654656" behindDoc="0" locked="0" layoutInCell="1" allowOverlap="1" wp14:anchorId="2EF9D4D6" wp14:editId="2C479707">
            <wp:simplePos x="0" y="0"/>
            <wp:positionH relativeFrom="margin">
              <wp:align>center</wp:align>
            </wp:positionH>
            <wp:positionV relativeFrom="paragraph">
              <wp:posOffset>-572080</wp:posOffset>
            </wp:positionV>
            <wp:extent cx="6984000" cy="4886952"/>
            <wp:effectExtent l="0" t="0" r="7620" b="9525"/>
            <wp:wrapNone/>
            <wp:docPr id="76081944" name="Obraz 2" descr="Obraz zawierający Część samochodowa, koło zębate, koło, wyroby z metal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81944" name="Obraz 2" descr="Obraz zawierający Część samochodowa, koło zębate, koło, wyroby z metalu&#10;&#10;Opis wygenerowany automatycznie"/>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984000" cy="4886952"/>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A7CA185" w14:textId="519579BF" w:rsidR="00691EA7" w:rsidRDefault="00691EA7" w:rsidP="007F22F4">
      <w:pPr>
        <w:pStyle w:val="Nagwek2"/>
        <w:shd w:val="clear" w:color="auto" w:fill="DBDBDB" w:themeFill="accent3" w:themeFillTint="66"/>
      </w:pPr>
      <w:bookmarkStart w:id="250" w:name="_Toc159598350"/>
      <w:bookmarkStart w:id="251" w:name="_Ref175569780"/>
      <w:bookmarkStart w:id="252" w:name="_Ref175569787"/>
      <w:bookmarkStart w:id="253" w:name="_Toc179537003"/>
      <w:r>
        <w:t>Badania naukowe, innowacje i konkurencyjność</w:t>
      </w:r>
      <w:bookmarkEnd w:id="250"/>
      <w:bookmarkEnd w:id="251"/>
      <w:bookmarkEnd w:id="252"/>
      <w:bookmarkEnd w:id="253"/>
    </w:p>
    <w:p w14:paraId="009E4628" w14:textId="77777777" w:rsidR="00691EA7" w:rsidRDefault="00691EA7"/>
    <w:p w14:paraId="46DD7782" w14:textId="77777777" w:rsidR="00691EA7" w:rsidRDefault="00691EA7"/>
    <w:p w14:paraId="2F54F76B" w14:textId="5FD7D279" w:rsidR="00691EA7" w:rsidRDefault="00691EA7"/>
    <w:p w14:paraId="02EFCCC1" w14:textId="77777777" w:rsidR="00D92449" w:rsidRDefault="00D92449"/>
    <w:p w14:paraId="3091BA9F" w14:textId="359B2204" w:rsidR="00D92449" w:rsidRDefault="00D92449"/>
    <w:p w14:paraId="64978E82" w14:textId="25F96EFF" w:rsidR="00D92449" w:rsidRDefault="00D92449"/>
    <w:p w14:paraId="15E9FE33" w14:textId="6423328D" w:rsidR="00D92449" w:rsidRDefault="00D92449"/>
    <w:p w14:paraId="70CA5AFC" w14:textId="0757F68B" w:rsidR="00D92449" w:rsidRDefault="00D92449"/>
    <w:p w14:paraId="1E2A0092" w14:textId="7E84C3A8" w:rsidR="00D92449" w:rsidRDefault="00D92449"/>
    <w:p w14:paraId="7D569E98" w14:textId="4926FC14" w:rsidR="007D5D1D" w:rsidRDefault="007D5D1D"/>
    <w:p w14:paraId="15D13E3F" w14:textId="6482376F" w:rsidR="00D92449" w:rsidRDefault="00D92449"/>
    <w:p w14:paraId="183492FB" w14:textId="6D76E5AB" w:rsidR="00D92449" w:rsidRDefault="00DE0CED">
      <w:r>
        <w:rPr>
          <w:noProof/>
        </w:rPr>
        <mc:AlternateContent>
          <mc:Choice Requires="wps">
            <w:drawing>
              <wp:anchor distT="0" distB="0" distL="114300" distR="114300" simplePos="0" relativeHeight="251619328" behindDoc="0" locked="0" layoutInCell="1" allowOverlap="1" wp14:anchorId="38B517FD" wp14:editId="53F9A6D4">
                <wp:simplePos x="0" y="0"/>
                <wp:positionH relativeFrom="margin">
                  <wp:posOffset>-634365</wp:posOffset>
                </wp:positionH>
                <wp:positionV relativeFrom="paragraph">
                  <wp:posOffset>334323</wp:posOffset>
                </wp:positionV>
                <wp:extent cx="7019925" cy="2002155"/>
                <wp:effectExtent l="0" t="0" r="9525" b="0"/>
                <wp:wrapNone/>
                <wp:docPr id="745237362" name="Prostokąt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019925" cy="2002155"/>
                        </a:xfrm>
                        <a:prstGeom prst="rect">
                          <a:avLst/>
                        </a:prstGeom>
                        <a:solidFill>
                          <a:schemeClr val="tx2">
                            <a:lumMod val="40000"/>
                            <a:lumOff val="60000"/>
                            <a:alpha val="60000"/>
                          </a:schemeClr>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222CF143" w14:textId="2A269FCF" w:rsidR="00BE10C2" w:rsidRPr="00BE10C2" w:rsidRDefault="00924DDE" w:rsidP="00FC190C">
                            <w:pPr>
                              <w:spacing w:after="0"/>
                              <w:ind w:left="851"/>
                              <w:jc w:val="left"/>
                              <w:rPr>
                                <w:rFonts w:ascii="Bahnschrift" w:hAnsi="Bahnschrift"/>
                                <w:color w:val="000000" w:themeColor="text1"/>
                                <w:kern w:val="24"/>
                                <w:sz w:val="64"/>
                                <w:szCs w:val="64"/>
                              </w:rPr>
                            </w:pPr>
                            <w:r>
                              <w:rPr>
                                <w:rFonts w:ascii="Bahnschrift" w:hAnsi="Bahnschrift"/>
                                <w:color w:val="000000" w:themeColor="text1"/>
                                <w:kern w:val="24"/>
                                <w:sz w:val="56"/>
                                <w:szCs w:val="56"/>
                              </w:rPr>
                              <w:t>W</w:t>
                            </w:r>
                            <w:r w:rsidR="00BE10C2" w:rsidRPr="00BE10C2">
                              <w:rPr>
                                <w:rFonts w:ascii="Bahnschrift" w:hAnsi="Bahnschrift"/>
                                <w:color w:val="000000" w:themeColor="text1"/>
                                <w:kern w:val="24"/>
                                <w:sz w:val="56"/>
                                <w:szCs w:val="56"/>
                              </w:rPr>
                              <w:t>ymiar</w:t>
                            </w:r>
                            <w:r>
                              <w:rPr>
                                <w:rFonts w:ascii="Bahnschrift" w:hAnsi="Bahnschrift"/>
                                <w:color w:val="000000" w:themeColor="text1"/>
                                <w:kern w:val="24"/>
                                <w:sz w:val="56"/>
                                <w:szCs w:val="56"/>
                              </w:rPr>
                              <w:t xml:space="preserve"> 5</w:t>
                            </w:r>
                            <w:r w:rsidR="00431806">
                              <w:rPr>
                                <w:rFonts w:ascii="Bahnschrift" w:hAnsi="Bahnschrift"/>
                                <w:color w:val="000000" w:themeColor="text1"/>
                                <w:kern w:val="24"/>
                                <w:sz w:val="56"/>
                                <w:szCs w:val="56"/>
                              </w:rPr>
                              <w:t>.</w:t>
                            </w:r>
                            <w:r w:rsidR="00BE10C2" w:rsidRPr="00BE10C2">
                              <w:rPr>
                                <w:rFonts w:ascii="Bahnschrift" w:hAnsi="Bahnschrift"/>
                                <w:color w:val="000000" w:themeColor="text1"/>
                                <w:kern w:val="24"/>
                                <w:sz w:val="56"/>
                                <w:szCs w:val="56"/>
                              </w:rPr>
                              <w:t xml:space="preserve"> </w:t>
                            </w:r>
                            <w:r w:rsidR="00BE10C2" w:rsidRPr="00BE10C2">
                              <w:rPr>
                                <w:rFonts w:ascii="Bahnschrift" w:hAnsi="Bahnschrift"/>
                                <w:color w:val="000000" w:themeColor="text1"/>
                                <w:kern w:val="24"/>
                                <w:sz w:val="72"/>
                                <w:szCs w:val="72"/>
                              </w:rPr>
                              <w:br/>
                            </w:r>
                            <w:r w:rsidR="00BE10C2" w:rsidRPr="00BE10C2">
                              <w:rPr>
                                <w:rFonts w:ascii="Bahnschrift" w:hAnsi="Bahnschrift"/>
                                <w:color w:val="000000" w:themeColor="text1"/>
                                <w:kern w:val="24"/>
                                <w:sz w:val="64"/>
                                <w:szCs w:val="64"/>
                              </w:rPr>
                              <w:t>Badania naukowe, innowacje i konkurencyjność</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38B517FD" id="Prostokąt 9" o:spid="_x0000_s1110" style="position:absolute;left:0;text-align:left;margin-left:-49.95pt;margin-top:26.3pt;width:552.75pt;height:157.65pt;z-index:2516193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" fillcolor="#acb9ca [1311]" stroked="f" strokeweight="1pt">
                <v:fill opacity="39321f"/>
                <v:textbox>
                  <w:txbxContent>
                    <w:p w14:paraId="222CF143" w14:textId="2A269FCF" w:rsidR="00BE10C2" w:rsidRPr="00BE10C2" w:rsidRDefault="00924DDE" w:rsidP="00FC190C">
                      <w:pPr>
                        <w:spacing w:after="0"/>
                        <w:ind w:left="851"/>
                        <w:jc w:val="left"/>
                        <w:rPr>
                          <w:rFonts w:ascii="Bahnschrift" w:hAnsi="Bahnschrift"/>
                          <w:color w:val="000000" w:themeColor="text1"/>
                          <w:kern w:val="24"/>
                          <w:sz w:val="64"/>
                          <w:szCs w:val="64"/>
                        </w:rPr>
                      </w:pPr>
                      <w:r>
                        <w:rPr>
                          <w:rFonts w:ascii="Bahnschrift" w:hAnsi="Bahnschrift"/>
                          <w:color w:val="000000" w:themeColor="text1"/>
                          <w:kern w:val="24"/>
                          <w:sz w:val="56"/>
                          <w:szCs w:val="56"/>
                        </w:rPr>
                        <w:t>W</w:t>
                      </w:r>
                      <w:r w:rsidR="00BE10C2" w:rsidRPr="00BE10C2">
                        <w:rPr>
                          <w:rFonts w:ascii="Bahnschrift" w:hAnsi="Bahnschrift"/>
                          <w:color w:val="000000" w:themeColor="text1"/>
                          <w:kern w:val="24"/>
                          <w:sz w:val="56"/>
                          <w:szCs w:val="56"/>
                        </w:rPr>
                        <w:t>ymiar</w:t>
                      </w:r>
                      <w:r>
                        <w:rPr>
                          <w:rFonts w:ascii="Bahnschrift" w:hAnsi="Bahnschrift"/>
                          <w:color w:val="000000" w:themeColor="text1"/>
                          <w:kern w:val="24"/>
                          <w:sz w:val="56"/>
                          <w:szCs w:val="56"/>
                        </w:rPr>
                        <w:t xml:space="preserve"> 5</w:t>
                      </w:r>
                      <w:r w:rsidR="00431806">
                        <w:rPr>
                          <w:rFonts w:ascii="Bahnschrift" w:hAnsi="Bahnschrift"/>
                          <w:color w:val="000000" w:themeColor="text1"/>
                          <w:kern w:val="24"/>
                          <w:sz w:val="56"/>
                          <w:szCs w:val="56"/>
                        </w:rPr>
                        <w:t>.</w:t>
                      </w:r>
                      <w:r w:rsidR="00BE10C2" w:rsidRPr="00BE10C2">
                        <w:rPr>
                          <w:rFonts w:ascii="Bahnschrift" w:hAnsi="Bahnschrift"/>
                          <w:color w:val="000000" w:themeColor="text1"/>
                          <w:kern w:val="24"/>
                          <w:sz w:val="56"/>
                          <w:szCs w:val="56"/>
                        </w:rPr>
                        <w:t xml:space="preserve"> </w:t>
                      </w:r>
                      <w:r w:rsidR="00BE10C2" w:rsidRPr="00BE10C2">
                        <w:rPr>
                          <w:rFonts w:ascii="Bahnschrift" w:hAnsi="Bahnschrift"/>
                          <w:color w:val="000000" w:themeColor="text1"/>
                          <w:kern w:val="24"/>
                          <w:sz w:val="72"/>
                          <w:szCs w:val="72"/>
                        </w:rPr>
                        <w:br/>
                      </w:r>
                      <w:r w:rsidR="00BE10C2" w:rsidRPr="00BE10C2">
                        <w:rPr>
                          <w:rFonts w:ascii="Bahnschrift" w:hAnsi="Bahnschrift"/>
                          <w:color w:val="000000" w:themeColor="text1"/>
                          <w:kern w:val="24"/>
                          <w:sz w:val="64"/>
                          <w:szCs w:val="64"/>
                        </w:rPr>
                        <w:t>Badania naukowe, innowacje i konkurencyjność</w:t>
                      </w:r>
                    </w:p>
                  </w:txbxContent>
                </v:textbox>
                <w10:wrap anchorx="margin"/>
              </v:rect>
            </w:pict>
          </mc:Fallback>
        </mc:AlternateContent>
      </w:r>
    </w:p>
    <w:p w14:paraId="412989B8" w14:textId="2B837775" w:rsidR="00D92449" w:rsidRDefault="00D92449"/>
    <w:p w14:paraId="0499ED00" w14:textId="5E54C26E" w:rsidR="00D92449" w:rsidRDefault="00D92449"/>
    <w:p w14:paraId="63170D87" w14:textId="5D87262D" w:rsidR="00D92449" w:rsidRDefault="00D92449"/>
    <w:p w14:paraId="66F68514" w14:textId="7D9AC325" w:rsidR="00D92449" w:rsidRDefault="00D92449"/>
    <w:p w14:paraId="5EBC48FA" w14:textId="479353F1" w:rsidR="00D92449" w:rsidRDefault="00D92449"/>
    <w:p w14:paraId="10FEA969" w14:textId="6BA4A323" w:rsidR="00D92449" w:rsidRDefault="00D92449"/>
    <w:p w14:paraId="32AB9F16" w14:textId="797CA9F3" w:rsidR="00D92449" w:rsidRDefault="00D92449"/>
    <w:p w14:paraId="71A59C54" w14:textId="221C0BBE" w:rsidR="00D92449" w:rsidRDefault="00D92449"/>
    <w:p w14:paraId="1F0E8B15" w14:textId="783A618C" w:rsidR="00D92449" w:rsidRDefault="00D92449"/>
    <w:p w14:paraId="4E47648A" w14:textId="0C08A1E3" w:rsidR="009729C8" w:rsidRDefault="009729C8" w:rsidP="009729C8">
      <w:r>
        <w:t xml:space="preserve">Osiągniecie przez UE neutralności klimatycznej wymaga ogromnych zmian we wszystkich dziedzinach życia i gospodarki. </w:t>
      </w:r>
      <w:r w:rsidR="00A7602F">
        <w:t>D</w:t>
      </w:r>
      <w:r>
        <w:t>latego najbliższe dekady to czas na to</w:t>
      </w:r>
      <w:r w:rsidR="00963A1E">
        <w:t>,</w:t>
      </w:r>
      <w:r>
        <w:t xml:space="preserve"> by badania naukowe i rozwój innowacji istotnie przybliżył nas do realizacji tego celu. Mając na względzie nie tylko dążenie do redukcji emisji GC, ale także potrzebę zapewnienia konkurencyjności Europy na arenie światowej – </w:t>
      </w:r>
      <w:r w:rsidRPr="0058141B">
        <w:rPr>
          <w:b/>
          <w:bCs/>
        </w:rPr>
        <w:t>badania naukowe, innowacje i konkurencyjność zostały określone piątym wymiarem unii energetycznej.</w:t>
      </w:r>
    </w:p>
    <w:p w14:paraId="1ECACD35" w14:textId="438CA80B" w:rsidR="00925327" w:rsidRDefault="009729C8">
      <w:r>
        <w:t>W tej części wskazano kluczowe obszary działań w powyższych obszarach z punktu widzenia transformacji w warunkach polskich.</w:t>
      </w:r>
      <w:r w:rsidRPr="0058141B">
        <w:rPr>
          <w:i/>
          <w:iCs/>
        </w:rPr>
        <w:t xml:space="preserve"> </w:t>
      </w:r>
      <w:r>
        <w:rPr>
          <w:i/>
          <w:iCs/>
        </w:rPr>
        <w:t>Na aktualnym etapie prac nie wydzielono obszarów w tym wymiarze.</w:t>
      </w:r>
      <w:r>
        <w:t xml:space="preserve"> </w:t>
      </w:r>
      <w:r w:rsidR="00925327">
        <w:br w:type="page"/>
      </w:r>
    </w:p>
    <w:p w14:paraId="7EB163C2" w14:textId="77777777" w:rsidR="009729C8" w:rsidRPr="0058141B" w:rsidRDefault="009729C8" w:rsidP="009729C8">
      <w:pPr>
        <w:pStyle w:val="Nagwek4"/>
        <w:rPr>
          <w:color w:val="7B7B7B" w:themeColor="accent3" w:themeShade="BF"/>
        </w:rPr>
      </w:pPr>
      <w:bookmarkStart w:id="254" w:name="_Toc159598351"/>
      <w:bookmarkStart w:id="255" w:name="_Toc179537004"/>
      <w:r w:rsidRPr="0058141B">
        <w:rPr>
          <w:color w:val="7B7B7B" w:themeColor="accent3" w:themeShade="BF"/>
        </w:rPr>
        <w:t xml:space="preserve">Zapewnienie </w:t>
      </w:r>
      <w:r>
        <w:rPr>
          <w:color w:val="7B7B7B" w:themeColor="accent3" w:themeShade="BF"/>
        </w:rPr>
        <w:t>środków na badania i rozwój</w:t>
      </w:r>
      <w:bookmarkEnd w:id="254"/>
      <w:bookmarkEnd w:id="255"/>
    </w:p>
    <w:p w14:paraId="44819BB5" w14:textId="698272FC" w:rsidR="00C531E2" w:rsidRDefault="00C531E2" w:rsidP="00C531E2">
      <w:r>
        <w:t xml:space="preserve">Działalność w obszarze badań i rozwoju prowadzi do pozyskania rozwiązań, które odpowiadać będą na zidentyfikowane szeroko pojęte potrzeby rozwojowe w różnych dziedzinach życia i funkcjonowania gospodarek. </w:t>
      </w:r>
      <w:r w:rsidR="00963A1E">
        <w:t>Rozwiązania te p</w:t>
      </w:r>
      <w:r>
        <w:t xml:space="preserve">owinny </w:t>
      </w:r>
      <w:r w:rsidR="00963A1E">
        <w:t xml:space="preserve">również </w:t>
      </w:r>
      <w:r>
        <w:t xml:space="preserve">wspierać wykorzystanie przewag konkurencyjnych kraju i zwiększać jego atrakcyjność inwestycyjną oraz wzmacniać innowacyjność. Z tego względu </w:t>
      </w:r>
      <w:r w:rsidR="00963A1E">
        <w:t>prace badawczo-rozwojowe</w:t>
      </w:r>
      <w:r w:rsidR="00F14D65">
        <w:t xml:space="preserve"> </w:t>
      </w:r>
      <w:r>
        <w:t>powinny być prowadzone według określonej polityki państwa, aktualizowanej z uwzględnieniem odkryć i osiągnięć.</w:t>
      </w:r>
    </w:p>
    <w:p w14:paraId="3B3F3F4D" w14:textId="22E5ECED" w:rsidR="00C531E2" w:rsidRDefault="00C531E2" w:rsidP="00C531E2">
      <w:r>
        <w:t xml:space="preserve">W 2022 r. przyjęta została </w:t>
      </w:r>
      <w:r w:rsidRPr="0058141B">
        <w:rPr>
          <w:i/>
          <w:iCs/>
        </w:rPr>
        <w:t>Polityka Naukowa Państwa</w:t>
      </w:r>
      <w:r>
        <w:t xml:space="preserve"> (</w:t>
      </w:r>
      <w:hyperlink r:id="rId83" w:history="1">
        <w:r w:rsidRPr="0058141B">
          <w:rPr>
            <w:rStyle w:val="Hipercze"/>
          </w:rPr>
          <w:t>link</w:t>
        </w:r>
      </w:hyperlink>
      <w:r>
        <w:t xml:space="preserve">), w której określono kierunki działań w zakresie nauki i szkolnictwa wyższego. Realizacja </w:t>
      </w:r>
      <w:r w:rsidRPr="0058141B">
        <w:rPr>
          <w:i/>
          <w:iCs/>
        </w:rPr>
        <w:t>Polityki Naukowej Państwa</w:t>
      </w:r>
      <w:r>
        <w:t xml:space="preserve"> ma na celu m.in. poprawę pozycji Polski na arenie międzynarodowej oraz zwiększenie wpływu nauki i szkolnictwa wyższego na rozwój gospodarczy i społeczny kraju. </w:t>
      </w:r>
    </w:p>
    <w:p w14:paraId="046C50EE" w14:textId="66395069" w:rsidR="00C531E2" w:rsidRDefault="00C531E2" w:rsidP="00C531E2">
      <w:r>
        <w:t>Choć dokument określa cel zwiększenia nakładów na badania naukowe w całej gospodarce, ocenia się, że znaczna część tych nakładów będzie przeznaczona na działania związane z transformacją energetyczną i szerzej pojętym dążeniem do gospodarki neutralnej klimatycznie. Odmiennie niż w przypadku innych obszarów</w:t>
      </w:r>
      <w:r w:rsidR="00F14D65">
        <w:t>,</w:t>
      </w:r>
      <w:r>
        <w:t xml:space="preserve"> samo zwiększenie nakładów na badania naukowe jest celem samym w sobie.</w:t>
      </w:r>
    </w:p>
    <w:p w14:paraId="4A6979C6" w14:textId="7F7CF316" w:rsidR="00C531E2" w:rsidRPr="00985B6A" w:rsidRDefault="00C531E2" w:rsidP="00C531E2">
      <w:pPr>
        <w:pStyle w:val="Cele"/>
        <w:rPr>
          <w:b/>
          <w:bCs/>
        </w:rPr>
      </w:pPr>
      <w:r w:rsidRPr="00985B6A">
        <w:rPr>
          <w:b/>
          <w:bCs/>
        </w:rPr>
        <w:t xml:space="preserve">Polska wyznacza cel zwiększenia nakładów na badania naukowe </w:t>
      </w:r>
      <w:r w:rsidR="00493058">
        <w:rPr>
          <w:b/>
          <w:bCs/>
        </w:rPr>
        <w:br/>
      </w:r>
      <w:r w:rsidRPr="00985B6A">
        <w:rPr>
          <w:b/>
          <w:bCs/>
        </w:rPr>
        <w:t>do 2,5% PKB do 2030 r.</w:t>
      </w:r>
    </w:p>
    <w:p w14:paraId="0CC56ACE" w14:textId="303B18F6" w:rsidR="00B13BD0" w:rsidRDefault="00C531E2" w:rsidP="00C531E2">
      <w:r>
        <w:t xml:space="preserve">Trzeba jednak podkreślić szerszy kontekst </w:t>
      </w:r>
      <w:r w:rsidRPr="00985B6A">
        <w:rPr>
          <w:i/>
          <w:iCs/>
        </w:rPr>
        <w:t>Polityki Naukowej Państwa</w:t>
      </w:r>
      <w:r>
        <w:rPr>
          <w:i/>
          <w:iCs/>
        </w:rPr>
        <w:t xml:space="preserve"> (PNP)</w:t>
      </w:r>
      <w:r>
        <w:t>. Jej realizacja ma na celu m.in. poprawę pozycji Polski na arenie międzynarodowej oraz zwiększenie wpływu nauki i szkolnictwa wyższego na rozwój gospodarczy i społeczny kraju. Ma wspierać prowadzenie wysokiej jakości badań naukowych i optymalnego wykorzystania wiedzy naukowej oraz zapewnia autonomi</w:t>
      </w:r>
      <w:r w:rsidR="00F14D65">
        <w:t>ę</w:t>
      </w:r>
      <w:r>
        <w:t xml:space="preserve"> uczelni. Priorytety określone w tym dokumencie przekładają się na spójność, synergię i rozwój współpracy międzynarodowej w systemie szkolnictwa wyższego i nauki. PNP jest podstawą do realizacji programów strategicznych i rozwojowych państwa. Realizacja polityki naukowej państwa jest finansowana w ramach nakładów na szkolnictwo wyższe i naukę ustalanych na podstawie art. 383 ustawy – Prawo o szkolnictwie wyższym i</w:t>
      </w:r>
      <w:r w:rsidR="00F14D65">
        <w:t> </w:t>
      </w:r>
      <w:r>
        <w:t>nauce oraz limitów wydatków właściwych części budżetowych.</w:t>
      </w:r>
    </w:p>
    <w:p w14:paraId="51C43BF7" w14:textId="1414F372" w:rsidR="00520B89" w:rsidRDefault="00C531E2" w:rsidP="00520B89">
      <w:pPr>
        <w:pStyle w:val="Bezodstpw"/>
      </w:pPr>
      <w:r>
        <w:t xml:space="preserve"> </w:t>
      </w:r>
    </w:p>
    <w:p w14:paraId="657F5563" w14:textId="00C2F1D5" w:rsidR="00C87A0F" w:rsidRPr="00B13BD0" w:rsidRDefault="00C87A0F" w:rsidP="00520B89">
      <w:r>
        <w:t xml:space="preserve">W polskim systemie prawnym obowiązuje pakiet ulg, ułatwień i zachęt do większego poziomu inwestycji w B+R. W </w:t>
      </w:r>
      <w:r w:rsidR="00520B89" w:rsidRPr="00B13BD0">
        <w:t>celu stymulowani</w:t>
      </w:r>
      <w:r w:rsidR="00520B89">
        <w:t>a</w:t>
      </w:r>
      <w:r w:rsidR="00520B89" w:rsidRPr="00B13BD0">
        <w:t xml:space="preserve"> inwestycji B+R oraz wspierani</w:t>
      </w:r>
      <w:r w:rsidR="00520B89">
        <w:t>a</w:t>
      </w:r>
      <w:r w:rsidR="00520B89" w:rsidRPr="00B13BD0">
        <w:t xml:space="preserve"> innowacyjności w przedsiębiorstwach</w:t>
      </w:r>
      <w:r w:rsidR="00520B89">
        <w:t xml:space="preserve"> zapewniono</w:t>
      </w:r>
      <w:r w:rsidR="00520B89">
        <w:rPr>
          <w:rStyle w:val="Odwoanieprzypisudolnego"/>
        </w:rPr>
        <w:footnoteReference w:id="89"/>
      </w:r>
      <w:r w:rsidR="00520B89">
        <w:t>:</w:t>
      </w:r>
    </w:p>
    <w:p w14:paraId="5C870540" w14:textId="07619F79" w:rsidR="00B13BD0" w:rsidRPr="00B13BD0" w:rsidRDefault="00B13BD0" w:rsidP="00612B5D">
      <w:pPr>
        <w:numPr>
          <w:ilvl w:val="0"/>
          <w:numId w:val="54"/>
        </w:numPr>
        <w:spacing w:after="0"/>
      </w:pPr>
      <w:r w:rsidRPr="00B13BD0">
        <w:t xml:space="preserve">Ulgi podatkowe </w:t>
      </w:r>
      <w:r w:rsidR="00D95E04">
        <w:t>–</w:t>
      </w:r>
      <w:r w:rsidRPr="00B13BD0">
        <w:t xml:space="preserve"> możliwość odliczenia do 100% kosztów kwalifikowanych (150% dla jednostek badawczo-rozwojowych)</w:t>
      </w:r>
      <w:r w:rsidR="00520B89">
        <w:t>;</w:t>
      </w:r>
    </w:p>
    <w:p w14:paraId="42E1429D" w14:textId="2A605E80" w:rsidR="00B13BD0" w:rsidRPr="00B13BD0" w:rsidRDefault="00B13BD0" w:rsidP="00612B5D">
      <w:pPr>
        <w:numPr>
          <w:ilvl w:val="0"/>
          <w:numId w:val="54"/>
        </w:numPr>
        <w:spacing w:after="0"/>
      </w:pPr>
      <w:r w:rsidRPr="00B13BD0">
        <w:t xml:space="preserve">Wynagrodzenia pracowników </w:t>
      </w:r>
      <w:r w:rsidR="00D95E04">
        <w:t>–</w:t>
      </w:r>
      <w:r w:rsidRPr="00B13BD0">
        <w:t xml:space="preserve"> możliwość odliczenia kosztów wynagrodzeń pracowników zatrudnionych w działach B+R</w:t>
      </w:r>
      <w:r w:rsidR="00520B89">
        <w:t>;</w:t>
      </w:r>
    </w:p>
    <w:p w14:paraId="56C55D1F" w14:textId="460F8E95" w:rsidR="00B13BD0" w:rsidRPr="00B13BD0" w:rsidRDefault="00B13BD0" w:rsidP="00612B5D">
      <w:pPr>
        <w:numPr>
          <w:ilvl w:val="0"/>
          <w:numId w:val="54"/>
        </w:numPr>
        <w:spacing w:after="0"/>
      </w:pPr>
      <w:r w:rsidRPr="00B13BD0">
        <w:t>Amortyzacja środków trwałych: Koszty amortyzacji środków trwałych wykorzystywanych w działalności B+R zostały uznane za koszty kwalifikowane</w:t>
      </w:r>
      <w:r w:rsidR="00520B89">
        <w:t>;</w:t>
      </w:r>
    </w:p>
    <w:p w14:paraId="6C92512A" w14:textId="4BDA7066" w:rsidR="00B13BD0" w:rsidRPr="00B13BD0" w:rsidRDefault="00B13BD0" w:rsidP="00612B5D">
      <w:pPr>
        <w:numPr>
          <w:ilvl w:val="0"/>
          <w:numId w:val="54"/>
        </w:numPr>
        <w:spacing w:after="0"/>
      </w:pPr>
      <w:r w:rsidRPr="00B13BD0">
        <w:t xml:space="preserve">Ułatwienia administracyjne </w:t>
      </w:r>
      <w:r w:rsidR="00D95E04">
        <w:t>–</w:t>
      </w:r>
      <w:r w:rsidRPr="00B13BD0">
        <w:t xml:space="preserve"> skrócenie procedur: </w:t>
      </w:r>
      <w:r w:rsidR="00520B89">
        <w:t>z</w:t>
      </w:r>
      <w:r w:rsidRPr="00B13BD0">
        <w:t>mniejszenie obciążeń administracyjnych związanych z dokumentowaniem kosztów B+R</w:t>
      </w:r>
      <w:r w:rsidR="00520B89">
        <w:t>;</w:t>
      </w:r>
    </w:p>
    <w:p w14:paraId="4440AF78" w14:textId="0AB024D9" w:rsidR="00B13BD0" w:rsidRPr="00B13BD0" w:rsidRDefault="00B13BD0" w:rsidP="00612B5D">
      <w:pPr>
        <w:numPr>
          <w:ilvl w:val="0"/>
          <w:numId w:val="54"/>
        </w:numPr>
        <w:spacing w:after="0"/>
      </w:pPr>
      <w:r w:rsidRPr="00B13BD0">
        <w:t xml:space="preserve">Korzystniejsze warunki dla małych i średnich przedsiębiorstw (MŚP) </w:t>
      </w:r>
      <w:r w:rsidR="00D95E04">
        <w:t>–</w:t>
      </w:r>
      <w:r w:rsidRPr="00B13BD0">
        <w:t xml:space="preserve"> specjalne preferencje dla MŚP, które mogły odliczyć wyższy procent kosztów kwalifikowanych</w:t>
      </w:r>
      <w:r w:rsidR="00520B89">
        <w:t>;</w:t>
      </w:r>
    </w:p>
    <w:p w14:paraId="00986823" w14:textId="362BC8F0" w:rsidR="00B13BD0" w:rsidRPr="00B13BD0" w:rsidRDefault="00B13BD0" w:rsidP="00612B5D">
      <w:pPr>
        <w:numPr>
          <w:ilvl w:val="0"/>
          <w:numId w:val="54"/>
        </w:numPr>
        <w:spacing w:after="0"/>
      </w:pPr>
      <w:r w:rsidRPr="00B13BD0">
        <w:t xml:space="preserve">Wsparcie dla startupów i nowych przedsiębiorstw </w:t>
      </w:r>
      <w:r w:rsidR="00D95E04">
        <w:t>–</w:t>
      </w:r>
      <w:r w:rsidRPr="00B13BD0">
        <w:t xml:space="preserve"> preferencyjne warunki: nowe firmy i startupy mogły skorzystać z dodatkowych ulg i programów wsparcia finansowego</w:t>
      </w:r>
      <w:r w:rsidR="00520B89">
        <w:t>;</w:t>
      </w:r>
    </w:p>
    <w:p w14:paraId="71DFBC83" w14:textId="211AD2C6" w:rsidR="00B13BD0" w:rsidRPr="00B13BD0" w:rsidRDefault="00B13BD0" w:rsidP="00612B5D">
      <w:pPr>
        <w:numPr>
          <w:ilvl w:val="0"/>
          <w:numId w:val="54"/>
        </w:numPr>
        <w:spacing w:after="0"/>
      </w:pPr>
      <w:r w:rsidRPr="00B13BD0">
        <w:t>Ułatwienia w procedurach patentowych oraz wsparcie w ochronie własności intelektualnej</w:t>
      </w:r>
      <w:r w:rsidR="00520B89">
        <w:t>;</w:t>
      </w:r>
    </w:p>
    <w:p w14:paraId="2F4FD777" w14:textId="77777777" w:rsidR="00B13BD0" w:rsidRPr="00B13BD0" w:rsidRDefault="00B13BD0" w:rsidP="00612B5D">
      <w:pPr>
        <w:numPr>
          <w:ilvl w:val="0"/>
          <w:numId w:val="54"/>
        </w:numPr>
      </w:pPr>
      <w:r w:rsidRPr="00B13BD0">
        <w:t>Wsparcie finansowe, m.in. zwiększenie dostępności funduszy krajowych i unijnych na realizację projektów badawczo-rozwojowych.</w:t>
      </w:r>
    </w:p>
    <w:p w14:paraId="2509C893" w14:textId="77777777" w:rsidR="00B13BD0" w:rsidRPr="00B13BD0" w:rsidRDefault="00B13BD0" w:rsidP="00520B89">
      <w:pPr>
        <w:pStyle w:val="Bezodstpw"/>
      </w:pPr>
    </w:p>
    <w:p w14:paraId="036068CD" w14:textId="43910038" w:rsidR="00B13BD0" w:rsidRPr="00B13BD0" w:rsidRDefault="00B13BD0" w:rsidP="00B13BD0">
      <w:r w:rsidRPr="00B13BD0">
        <w:t>Dzięki tym ustawom, polskie przedsiębiorstwa zyskały lepsze warunki do rozwoju innowacyjnych projektów, co przyczyniło się do wzrostu konkurencyjności i dynamicznego rozwoju sektora B+R w Polsce</w:t>
      </w:r>
      <w:r w:rsidR="00520B89">
        <w:t>.</w:t>
      </w:r>
    </w:p>
    <w:p w14:paraId="3A2A0072" w14:textId="14F7DEA6" w:rsidR="009729C8" w:rsidRPr="00985B6A" w:rsidRDefault="009729C8" w:rsidP="009729C8">
      <w:pPr>
        <w:pStyle w:val="Nagwek4"/>
        <w:rPr>
          <w:color w:val="7B7B7B" w:themeColor="accent3" w:themeShade="BF"/>
        </w:rPr>
      </w:pPr>
      <w:bookmarkStart w:id="256" w:name="_Toc159598352"/>
      <w:bookmarkStart w:id="257" w:name="_Toc179537005"/>
      <w:r w:rsidRPr="00985B6A">
        <w:rPr>
          <w:color w:val="7B7B7B" w:themeColor="accent3" w:themeShade="BF"/>
        </w:rPr>
        <w:t>Rozwój w obszarach spr</w:t>
      </w:r>
      <w:r w:rsidR="00C531E2">
        <w:rPr>
          <w:color w:val="7B7B7B" w:themeColor="accent3" w:themeShade="BF"/>
        </w:rPr>
        <w:t>zyjających</w:t>
      </w:r>
      <w:r w:rsidRPr="00985B6A">
        <w:rPr>
          <w:color w:val="7B7B7B" w:themeColor="accent3" w:themeShade="BF"/>
        </w:rPr>
        <w:t xml:space="preserve"> transformacji</w:t>
      </w:r>
      <w:r>
        <w:rPr>
          <w:color w:val="7B7B7B" w:themeColor="accent3" w:themeShade="BF"/>
        </w:rPr>
        <w:t xml:space="preserve"> do gospodarki neutralnej klimatycznie</w:t>
      </w:r>
      <w:bookmarkEnd w:id="256"/>
      <w:bookmarkEnd w:id="257"/>
      <w:r>
        <w:rPr>
          <w:color w:val="7B7B7B" w:themeColor="accent3" w:themeShade="BF"/>
        </w:rPr>
        <w:t xml:space="preserve"> </w:t>
      </w:r>
      <w:r w:rsidRPr="00985B6A">
        <w:rPr>
          <w:color w:val="7B7B7B" w:themeColor="accent3" w:themeShade="BF"/>
        </w:rPr>
        <w:t xml:space="preserve"> </w:t>
      </w:r>
    </w:p>
    <w:p w14:paraId="7111E4D2" w14:textId="66D485CF" w:rsidR="00C531E2" w:rsidRDefault="00C531E2" w:rsidP="00C531E2">
      <w:r w:rsidRPr="00AB2F81">
        <w:rPr>
          <w:i/>
          <w:iCs/>
        </w:rPr>
        <w:t xml:space="preserve">Zasoby naturalne i środowisko </w:t>
      </w:r>
      <w:r w:rsidRPr="00AB2F81">
        <w:rPr>
          <w:iCs/>
        </w:rPr>
        <w:t xml:space="preserve">(obejmujący trzy obszary: </w:t>
      </w:r>
      <w:r w:rsidRPr="00AB2F81">
        <w:rPr>
          <w:i/>
          <w:iCs/>
        </w:rPr>
        <w:t>Energia i klimat</w:t>
      </w:r>
      <w:r>
        <w:rPr>
          <w:i/>
          <w:iCs/>
        </w:rPr>
        <w:t xml:space="preserve">, Zasoby i bioróżnorodność oraz </w:t>
      </w:r>
      <w:r w:rsidRPr="00AB2F81">
        <w:rPr>
          <w:i/>
          <w:iCs/>
        </w:rPr>
        <w:t>Żywność i biogospodarkę</w:t>
      </w:r>
      <w:r w:rsidRPr="00AB2F81">
        <w:rPr>
          <w:iCs/>
        </w:rPr>
        <w:t>)</w:t>
      </w:r>
      <w:r>
        <w:rPr>
          <w:iCs/>
        </w:rPr>
        <w:t xml:space="preserve"> </w:t>
      </w:r>
      <w:r>
        <w:t xml:space="preserve">to jeden z kilku priorytetowych kierunków PNP. </w:t>
      </w:r>
    </w:p>
    <w:p w14:paraId="56843423" w14:textId="04D5AF37" w:rsidR="00C531E2" w:rsidRPr="00B64C87" w:rsidRDefault="00C531E2" w:rsidP="00256C2B">
      <w:pPr>
        <w:pStyle w:val="Cele"/>
        <w:spacing w:after="0"/>
        <w:rPr>
          <w:b/>
        </w:rPr>
      </w:pPr>
      <w:r>
        <w:t xml:space="preserve">Istotnym celem polityki naukowej państwa jest </w:t>
      </w:r>
      <w:r w:rsidRPr="00B64C87">
        <w:rPr>
          <w:b/>
        </w:rPr>
        <w:t>wspieranie transformacji sektora energetycznego, zapewnienie bezpieczeństwa energetycznego</w:t>
      </w:r>
      <w:r>
        <w:t xml:space="preserve"> przy zachowaniu konkurencyjności gospodarki, efektywności energetycznej oraz zmniejszenie oddziaływania sektora energii na środowisko i klimat.</w:t>
      </w:r>
      <w:r w:rsidR="0037230A">
        <w:br/>
      </w:r>
      <w:bookmarkStart w:id="258" w:name="_Hlk177461979"/>
      <w:r w:rsidR="00662459" w:rsidRPr="00E55087">
        <w:t>Takie wyzwania przekładają</w:t>
      </w:r>
      <w:bookmarkEnd w:id="258"/>
      <w:r w:rsidR="00662459" w:rsidRPr="00E55087">
        <w:t xml:space="preserve"> </w:t>
      </w:r>
      <w:r w:rsidRPr="00E55087">
        <w:t xml:space="preserve">się na rozwój technologii w następujących </w:t>
      </w:r>
      <w:r>
        <w:t>pod</w:t>
      </w:r>
      <w:r w:rsidRPr="00E55087">
        <w:t>obszarach</w:t>
      </w:r>
      <w:r>
        <w:t xml:space="preserve"> w ramach obszaru </w:t>
      </w:r>
      <w:r w:rsidRPr="00B64C87">
        <w:rPr>
          <w:b/>
        </w:rPr>
        <w:t>„Energia i</w:t>
      </w:r>
      <w:r w:rsidR="00A744D0">
        <w:rPr>
          <w:b/>
        </w:rPr>
        <w:t> </w:t>
      </w:r>
      <w:r w:rsidRPr="00B64C87">
        <w:rPr>
          <w:b/>
        </w:rPr>
        <w:t>klimat”:</w:t>
      </w:r>
    </w:p>
    <w:p w14:paraId="28D119A1" w14:textId="3647AB75" w:rsidR="00C531E2" w:rsidRPr="00A744D0" w:rsidRDefault="00C531E2" w:rsidP="00A744D0">
      <w:pPr>
        <w:pStyle w:val="Cele"/>
        <w:numPr>
          <w:ilvl w:val="0"/>
          <w:numId w:val="20"/>
        </w:numPr>
        <w:spacing w:before="120" w:after="160"/>
        <w:ind w:left="284" w:hanging="284"/>
        <w:jc w:val="left"/>
        <w:rPr>
          <w:sz w:val="22"/>
        </w:rPr>
      </w:pPr>
      <w:r w:rsidRPr="00A744D0">
        <w:rPr>
          <w:b/>
          <w:bCs/>
          <w:sz w:val="22"/>
        </w:rPr>
        <w:t>neutralność klimatyczna przemysłu</w:t>
      </w:r>
      <w:r w:rsidR="00662459">
        <w:rPr>
          <w:b/>
          <w:bCs/>
          <w:sz w:val="22"/>
        </w:rPr>
        <w:t xml:space="preserve"> </w:t>
      </w:r>
      <w:r w:rsidR="00662459" w:rsidRPr="009643EA">
        <w:rPr>
          <w:sz w:val="22"/>
        </w:rPr>
        <w:t>(redukcja emisji procesowych,</w:t>
      </w:r>
      <w:r w:rsidR="00662459">
        <w:rPr>
          <w:b/>
          <w:bCs/>
          <w:sz w:val="22"/>
        </w:rPr>
        <w:t xml:space="preserve"> </w:t>
      </w:r>
      <w:r w:rsidR="00662459">
        <w:rPr>
          <w:sz w:val="22"/>
        </w:rPr>
        <w:t>wychwyt emisji</w:t>
      </w:r>
      <w:r w:rsidRPr="00A744D0">
        <w:rPr>
          <w:sz w:val="22"/>
        </w:rPr>
        <w:t xml:space="preserve">; </w:t>
      </w:r>
    </w:p>
    <w:p w14:paraId="78D0F314" w14:textId="77777777" w:rsidR="00C531E2" w:rsidRPr="00A744D0" w:rsidRDefault="00C531E2" w:rsidP="00A744D0">
      <w:pPr>
        <w:pStyle w:val="Cele"/>
        <w:numPr>
          <w:ilvl w:val="0"/>
          <w:numId w:val="20"/>
        </w:numPr>
        <w:spacing w:before="0" w:after="160"/>
        <w:ind w:left="284" w:hanging="284"/>
        <w:jc w:val="left"/>
        <w:rPr>
          <w:sz w:val="22"/>
        </w:rPr>
      </w:pPr>
      <w:r w:rsidRPr="00A744D0">
        <w:rPr>
          <w:b/>
          <w:bCs/>
          <w:sz w:val="22"/>
        </w:rPr>
        <w:t xml:space="preserve">efektywność energetyczna </w:t>
      </w:r>
      <w:r w:rsidRPr="00A744D0">
        <w:rPr>
          <w:sz w:val="22"/>
        </w:rPr>
        <w:t>(zwiększenia efektywności energetycznej w przemyśle i budownictwie) oraz poszanowania energii w kontekście troski o środowisko;</w:t>
      </w:r>
    </w:p>
    <w:p w14:paraId="030A2BF3" w14:textId="69E7ED39" w:rsidR="00C531E2" w:rsidRPr="00A744D0" w:rsidRDefault="00C531E2" w:rsidP="00A744D0">
      <w:pPr>
        <w:pStyle w:val="Cele"/>
        <w:numPr>
          <w:ilvl w:val="0"/>
          <w:numId w:val="20"/>
        </w:numPr>
        <w:spacing w:before="0" w:after="160"/>
        <w:ind w:left="284" w:hanging="284"/>
        <w:jc w:val="left"/>
        <w:rPr>
          <w:sz w:val="22"/>
        </w:rPr>
      </w:pPr>
      <w:r w:rsidRPr="00A744D0">
        <w:rPr>
          <w:b/>
          <w:bCs/>
          <w:sz w:val="22"/>
        </w:rPr>
        <w:t>magazynowani</w:t>
      </w:r>
      <w:r w:rsidR="006A2F2E" w:rsidRPr="00A744D0">
        <w:rPr>
          <w:b/>
          <w:bCs/>
          <w:sz w:val="22"/>
        </w:rPr>
        <w:t>e</w:t>
      </w:r>
      <w:r w:rsidRPr="00A744D0">
        <w:rPr>
          <w:b/>
          <w:bCs/>
          <w:sz w:val="22"/>
        </w:rPr>
        <w:t xml:space="preserve"> energii</w:t>
      </w:r>
      <w:r w:rsidRPr="00A744D0">
        <w:rPr>
          <w:sz w:val="22"/>
        </w:rPr>
        <w:t xml:space="preserve"> (m.in. nowe materiały, wykorzystanie wodoru, biogazownie);</w:t>
      </w:r>
    </w:p>
    <w:p w14:paraId="0A401ACC" w14:textId="77777777" w:rsidR="00256C2B" w:rsidRPr="00A744D0" w:rsidRDefault="00C531E2" w:rsidP="00A744D0">
      <w:pPr>
        <w:pStyle w:val="Cele"/>
        <w:numPr>
          <w:ilvl w:val="0"/>
          <w:numId w:val="20"/>
        </w:numPr>
        <w:spacing w:before="0" w:after="160"/>
        <w:ind w:left="284" w:hanging="284"/>
        <w:jc w:val="left"/>
        <w:rPr>
          <w:sz w:val="22"/>
        </w:rPr>
      </w:pPr>
      <w:r w:rsidRPr="00A744D0">
        <w:rPr>
          <w:b/>
          <w:bCs/>
          <w:sz w:val="22"/>
        </w:rPr>
        <w:t>inteligentne sieci energetyczne i digitalizacja</w:t>
      </w:r>
      <w:r w:rsidRPr="00A744D0">
        <w:rPr>
          <w:sz w:val="22"/>
        </w:rPr>
        <w:t xml:space="preserve"> (zwiększenie sprawności, inteligentne sterowanie i opomiarowanie, podłączanie do systemu źródeł rozproszonych i „zielonej” energii);</w:t>
      </w:r>
    </w:p>
    <w:p w14:paraId="614470E6" w14:textId="77777777" w:rsidR="00256C2B" w:rsidRPr="00A744D0" w:rsidRDefault="00C531E2" w:rsidP="00A744D0">
      <w:pPr>
        <w:pStyle w:val="Cele"/>
        <w:numPr>
          <w:ilvl w:val="0"/>
          <w:numId w:val="20"/>
        </w:numPr>
        <w:spacing w:before="0" w:after="160"/>
        <w:ind w:left="284" w:hanging="284"/>
        <w:jc w:val="left"/>
        <w:rPr>
          <w:sz w:val="22"/>
        </w:rPr>
      </w:pPr>
      <w:r w:rsidRPr="00A744D0">
        <w:rPr>
          <w:b/>
          <w:bCs/>
          <w:sz w:val="22"/>
        </w:rPr>
        <w:t>technologie wytwarzania energii ze źródeł odnawialnych</w:t>
      </w:r>
      <w:r w:rsidRPr="00A744D0">
        <w:rPr>
          <w:sz w:val="22"/>
        </w:rPr>
        <w:t>, w tym bioenergii, energetyki wiatrowej, fotowoltaiki, geotermii;</w:t>
      </w:r>
    </w:p>
    <w:p w14:paraId="0E871217" w14:textId="77777777" w:rsidR="00256C2B" w:rsidRPr="00A744D0" w:rsidRDefault="00C531E2" w:rsidP="00A744D0">
      <w:pPr>
        <w:pStyle w:val="Cele"/>
        <w:numPr>
          <w:ilvl w:val="0"/>
          <w:numId w:val="20"/>
        </w:numPr>
        <w:spacing w:before="0" w:after="160"/>
        <w:ind w:left="284" w:hanging="284"/>
        <w:jc w:val="left"/>
        <w:rPr>
          <w:sz w:val="22"/>
        </w:rPr>
      </w:pPr>
      <w:r w:rsidRPr="00A744D0">
        <w:rPr>
          <w:b/>
          <w:bCs/>
          <w:sz w:val="22"/>
        </w:rPr>
        <w:t>transport nisko- i zeroemisyjny</w:t>
      </w:r>
      <w:r w:rsidRPr="00A744D0">
        <w:rPr>
          <w:sz w:val="22"/>
        </w:rPr>
        <w:t xml:space="preserve"> (elektromobilność, paliwa alternatywne, pojazdy na ogniwa paliwowe);</w:t>
      </w:r>
    </w:p>
    <w:p w14:paraId="50533DD3" w14:textId="77777777" w:rsidR="00256C2B" w:rsidRPr="00A744D0" w:rsidRDefault="00C531E2" w:rsidP="00A744D0">
      <w:pPr>
        <w:pStyle w:val="Cele"/>
        <w:numPr>
          <w:ilvl w:val="0"/>
          <w:numId w:val="20"/>
        </w:numPr>
        <w:spacing w:before="0" w:after="160"/>
        <w:ind w:left="284" w:hanging="284"/>
        <w:jc w:val="left"/>
        <w:rPr>
          <w:sz w:val="22"/>
        </w:rPr>
      </w:pPr>
      <w:r w:rsidRPr="00A744D0">
        <w:rPr>
          <w:b/>
          <w:bCs/>
          <w:sz w:val="22"/>
        </w:rPr>
        <w:t>technologie wodorowe</w:t>
      </w:r>
      <w:r w:rsidRPr="00A744D0">
        <w:rPr>
          <w:sz w:val="22"/>
        </w:rPr>
        <w:t xml:space="preserve"> (produkcja wodoru, w szczególności ze źródeł zeroemisyjnych, oczyszczanie wodoru, przesył, ogniwa paliwowe, wykorzystanie oraz obniżanie kosztów we wszystkich obszarach); </w:t>
      </w:r>
    </w:p>
    <w:p w14:paraId="6083A550" w14:textId="750CC8E0" w:rsidR="00256C2B" w:rsidRPr="00A744D0" w:rsidRDefault="00C531E2" w:rsidP="00A744D0">
      <w:pPr>
        <w:pStyle w:val="Cele"/>
        <w:numPr>
          <w:ilvl w:val="0"/>
          <w:numId w:val="20"/>
        </w:numPr>
        <w:spacing w:before="0" w:after="160"/>
        <w:ind w:left="284" w:hanging="284"/>
        <w:jc w:val="left"/>
        <w:rPr>
          <w:sz w:val="22"/>
        </w:rPr>
      </w:pPr>
      <w:r w:rsidRPr="00A744D0">
        <w:rPr>
          <w:b/>
          <w:bCs/>
          <w:sz w:val="22"/>
        </w:rPr>
        <w:t>energetyka jądrowa</w:t>
      </w:r>
      <w:r w:rsidRPr="00A744D0">
        <w:rPr>
          <w:sz w:val="22"/>
        </w:rPr>
        <w:t xml:space="preserve"> (nowe technologie reaktorowe III i IV generacji oraz rozwiązania modułowe czy wysokotemperaturowe);</w:t>
      </w:r>
    </w:p>
    <w:p w14:paraId="17A63215" w14:textId="5D468FBD" w:rsidR="00C531E2" w:rsidRDefault="00C531E2" w:rsidP="00A744D0">
      <w:pPr>
        <w:pStyle w:val="Cele"/>
        <w:numPr>
          <w:ilvl w:val="0"/>
          <w:numId w:val="20"/>
        </w:numPr>
        <w:spacing w:before="0" w:after="160"/>
        <w:ind w:left="284" w:hanging="284"/>
        <w:jc w:val="left"/>
        <w:rPr>
          <w:sz w:val="22"/>
        </w:rPr>
      </w:pPr>
      <w:r w:rsidRPr="00A744D0">
        <w:rPr>
          <w:b/>
          <w:bCs/>
          <w:sz w:val="22"/>
        </w:rPr>
        <w:t xml:space="preserve">aspekty społeczne transformacji energetycznej </w:t>
      </w:r>
      <w:r w:rsidRPr="00A744D0">
        <w:rPr>
          <w:sz w:val="22"/>
        </w:rPr>
        <w:t>(zmniejszanie kosztów społecznych przechodzenia do gospodarki nisko- i zeroemisyjnej, przekształcania i przemiany regionów pogórniczych)</w:t>
      </w:r>
      <w:r w:rsidR="006E6235">
        <w:rPr>
          <w:sz w:val="22"/>
        </w:rPr>
        <w:t>.</w:t>
      </w:r>
    </w:p>
    <w:p w14:paraId="547FAD45" w14:textId="1C9404D6" w:rsidR="006A2F2E" w:rsidRDefault="006A2F2E" w:rsidP="00256C2B">
      <w:pPr>
        <w:spacing w:before="360"/>
      </w:pPr>
      <w:r>
        <w:t xml:space="preserve">W ramach obszaru </w:t>
      </w:r>
      <w:r w:rsidRPr="00B64C87">
        <w:rPr>
          <w:b/>
          <w:i/>
        </w:rPr>
        <w:t>Zasoby i bioróżnorodność</w:t>
      </w:r>
      <w:r w:rsidRPr="00B64C87">
        <w:rPr>
          <w:b/>
        </w:rPr>
        <w:t xml:space="preserve"> PNP</w:t>
      </w:r>
      <w:r>
        <w:t xml:space="preserve"> wskazuje na następujące podobszary:</w:t>
      </w:r>
    </w:p>
    <w:p w14:paraId="412723E8" w14:textId="77777777" w:rsidR="006A2F2E" w:rsidRDefault="006A2F2E" w:rsidP="00612B5D">
      <w:pPr>
        <w:pStyle w:val="Akapitzlist"/>
        <w:numPr>
          <w:ilvl w:val="0"/>
          <w:numId w:val="34"/>
        </w:numPr>
        <w:spacing w:before="120" w:after="80"/>
        <w:ind w:left="357" w:hanging="357"/>
        <w:contextualSpacing w:val="0"/>
      </w:pPr>
      <w:bookmarkStart w:id="259" w:name="_Hlk160021634"/>
      <w:r>
        <w:t>przystosowanie do zmian klimatu</w:t>
      </w:r>
      <w:bookmarkEnd w:id="259"/>
      <w:r>
        <w:t>, w tym ochrona przed suszą i powodzią;</w:t>
      </w:r>
    </w:p>
    <w:p w14:paraId="15994E14" w14:textId="77777777" w:rsidR="006A2F2E" w:rsidRDefault="006A2F2E" w:rsidP="00612B5D">
      <w:pPr>
        <w:pStyle w:val="Akapitzlist"/>
        <w:numPr>
          <w:ilvl w:val="0"/>
          <w:numId w:val="34"/>
        </w:numPr>
        <w:spacing w:before="120" w:after="80"/>
        <w:ind w:left="357" w:hanging="357"/>
        <w:contextualSpacing w:val="0"/>
      </w:pPr>
      <w:r>
        <w:t>zwiększenie potencjalnych warunków dla retencjonowania wód, czyli systemowej zdolności do gromadzenia zasobów wodnych i przetrzymywania ich przez dłuższy czas w środowisku;</w:t>
      </w:r>
    </w:p>
    <w:p w14:paraId="35552417" w14:textId="77777777" w:rsidR="006A2F2E" w:rsidRDefault="006A2F2E" w:rsidP="00612B5D">
      <w:pPr>
        <w:pStyle w:val="Akapitzlist"/>
        <w:numPr>
          <w:ilvl w:val="0"/>
          <w:numId w:val="34"/>
        </w:numPr>
        <w:spacing w:before="120" w:after="80"/>
        <w:ind w:left="357" w:hanging="357"/>
        <w:contextualSpacing w:val="0"/>
      </w:pPr>
      <w:r>
        <w:t>ochrona gleb przed degradacją oraz remediacja gleb już zdegradowanych;</w:t>
      </w:r>
    </w:p>
    <w:p w14:paraId="1E56637E" w14:textId="77777777" w:rsidR="006A2F2E" w:rsidRDefault="006A2F2E" w:rsidP="00612B5D">
      <w:pPr>
        <w:pStyle w:val="Akapitzlist"/>
        <w:numPr>
          <w:ilvl w:val="0"/>
          <w:numId w:val="34"/>
        </w:numPr>
        <w:spacing w:before="120" w:after="120"/>
        <w:ind w:left="357" w:hanging="357"/>
        <w:contextualSpacing w:val="0"/>
      </w:pPr>
      <w:r>
        <w:t>wsparcie rozwiązań w zakresie różnych form retencji (dużej i małej, glebowej i krajobrazowej), w tym retencji naturalnej (realizowanej za pomocą środków mających na celu ochronę zasobów wodnych przez przywracanie lub utrzymanie naturalnych ekosystemów).</w:t>
      </w:r>
    </w:p>
    <w:p w14:paraId="7333AA25" w14:textId="77777777" w:rsidR="006A2F2E" w:rsidRDefault="006A2F2E" w:rsidP="00256C2B">
      <w:pPr>
        <w:spacing w:before="360"/>
      </w:pPr>
      <w:r>
        <w:t xml:space="preserve">Natomiast badania naukowe w obszarze </w:t>
      </w:r>
      <w:r w:rsidRPr="00B64C87">
        <w:rPr>
          <w:b/>
          <w:i/>
        </w:rPr>
        <w:t>Żywność i biogospodarka</w:t>
      </w:r>
      <w:r>
        <w:t xml:space="preserve"> koncentrują się wokół następujących obszarów:</w:t>
      </w:r>
    </w:p>
    <w:p w14:paraId="20133153" w14:textId="77777777" w:rsidR="006A2F2E" w:rsidRDefault="006A2F2E" w:rsidP="00612B5D">
      <w:pPr>
        <w:pStyle w:val="Akapitzlist"/>
        <w:numPr>
          <w:ilvl w:val="0"/>
          <w:numId w:val="35"/>
        </w:numPr>
        <w:spacing w:before="120" w:after="80" w:line="240" w:lineRule="auto"/>
        <w:ind w:left="357" w:hanging="357"/>
        <w:contextualSpacing w:val="0"/>
      </w:pPr>
      <w:r>
        <w:t>zasoby biogospodarki w rolnictwie, akwakulturze i leśnictwie oraz ich produktywności w kontekście rozwoju biogospodarki;</w:t>
      </w:r>
    </w:p>
    <w:p w14:paraId="1B57F593" w14:textId="2903D56E" w:rsidR="006A2F2E" w:rsidRDefault="006A2F2E" w:rsidP="00612B5D">
      <w:pPr>
        <w:pStyle w:val="Akapitzlist"/>
        <w:numPr>
          <w:ilvl w:val="0"/>
          <w:numId w:val="35"/>
        </w:numPr>
        <w:spacing w:before="120" w:after="80" w:line="240" w:lineRule="auto"/>
        <w:ind w:left="357" w:hanging="357"/>
        <w:contextualSpacing w:val="0"/>
      </w:pPr>
      <w:r>
        <w:t>wytwarzanie i wykorzystanie bioodpadów z rolnictwa, akwakultury i leśnictwa oraz bioodpadów ze sfery komunalnej, z uwagi na ich znaczenie w obiegu zamkniętym, w tym w produkcji bioenergii;</w:t>
      </w:r>
    </w:p>
    <w:p w14:paraId="1874D9A1" w14:textId="77777777" w:rsidR="006A2F2E" w:rsidRDefault="006A2F2E" w:rsidP="00612B5D">
      <w:pPr>
        <w:pStyle w:val="Akapitzlist"/>
        <w:numPr>
          <w:ilvl w:val="0"/>
          <w:numId w:val="35"/>
        </w:numPr>
        <w:spacing w:before="120" w:after="80" w:line="240" w:lineRule="auto"/>
        <w:ind w:left="357" w:hanging="357"/>
        <w:contextualSpacing w:val="0"/>
      </w:pPr>
      <w:r>
        <w:t>potencjał produkcji biomasy z różnych źródeł, w tym odpadów oraz jej wykorzystania do produkcji bioenergii;</w:t>
      </w:r>
    </w:p>
    <w:p w14:paraId="55CDA511" w14:textId="77777777" w:rsidR="006A2F2E" w:rsidRDefault="006A2F2E" w:rsidP="00612B5D">
      <w:pPr>
        <w:pStyle w:val="Akapitzlist"/>
        <w:numPr>
          <w:ilvl w:val="0"/>
          <w:numId w:val="35"/>
        </w:numPr>
        <w:spacing w:before="120" w:after="80" w:line="240" w:lineRule="auto"/>
        <w:ind w:left="357" w:hanging="357"/>
        <w:contextualSpacing w:val="0"/>
      </w:pPr>
      <w:r>
        <w:t>wykorzystywanie zasobów naturalnych, w szczególności surowców lignocelulozowych;</w:t>
      </w:r>
    </w:p>
    <w:p w14:paraId="4D426420" w14:textId="4C914E47" w:rsidR="006A2F2E" w:rsidRDefault="006A2F2E" w:rsidP="00612B5D">
      <w:pPr>
        <w:pStyle w:val="Akapitzlist"/>
        <w:numPr>
          <w:ilvl w:val="0"/>
          <w:numId w:val="35"/>
        </w:numPr>
        <w:spacing w:before="120" w:after="80" w:line="240" w:lineRule="auto"/>
        <w:ind w:left="357" w:hanging="357"/>
        <w:contextualSpacing w:val="0"/>
      </w:pPr>
      <w:bookmarkStart w:id="260" w:name="_Hlk160022165"/>
      <w:r>
        <w:t>wpływ biogospodarki na ochronę klimatu, jakości wód i powietrza;</w:t>
      </w:r>
    </w:p>
    <w:bookmarkEnd w:id="260"/>
    <w:p w14:paraId="07080F7F" w14:textId="6DC81CA5" w:rsidR="006A2F2E" w:rsidRDefault="006A2F2E" w:rsidP="00612B5D">
      <w:pPr>
        <w:pStyle w:val="Akapitzlist"/>
        <w:numPr>
          <w:ilvl w:val="0"/>
          <w:numId w:val="35"/>
        </w:numPr>
        <w:spacing w:before="120" w:after="80" w:line="240" w:lineRule="auto"/>
        <w:ind w:left="357" w:hanging="357"/>
        <w:contextualSpacing w:val="0"/>
      </w:pPr>
      <w:r>
        <w:t xml:space="preserve">gospodarka odpadami i efektywne wykorzystania zasobów (m.in. </w:t>
      </w:r>
      <w:r w:rsidR="001F7F05">
        <w:t xml:space="preserve">selektywne </w:t>
      </w:r>
      <w:r>
        <w:t xml:space="preserve">zbieranie odpadów, recykling </w:t>
      </w:r>
      <w:r w:rsidR="00493058">
        <w:t xml:space="preserve">jako elementy </w:t>
      </w:r>
      <w:r>
        <w:t>gospodark</w:t>
      </w:r>
      <w:r w:rsidR="00493058">
        <w:t>i</w:t>
      </w:r>
      <w:r>
        <w:t xml:space="preserve"> o obiegu zamkniętym) oraz kwestie dotyczących rozwoju infrastruktury służącej zapobieganiu powstawaniu odpadów i rozwoju systemu selektywnego zbierania odpadów komunalnych, który zapewni pozyskanie odpadów nadających się do recyklingu oraz rozwoju instalacji do przetwarzania bioodpadów</w:t>
      </w:r>
      <w:r w:rsidR="00492BDC">
        <w:t>.</w:t>
      </w:r>
    </w:p>
    <w:p w14:paraId="79743945" w14:textId="2DDFB1C7" w:rsidR="00D92449" w:rsidRDefault="009729C8">
      <w:r>
        <w:t>Planowanie prac badawczych powinno obejmować te obszary całościowo i interdyscyplinarnie. Praktyczne wdrożenie rozwiązań może wymagać dużych przełomów technologicznych, dlatego istotne pozostaje tworzenie efektywnych mechanizmów koncentracji środków i zasobów ludzkich</w:t>
      </w:r>
      <w:r w:rsidR="00492BDC">
        <w:t>.</w:t>
      </w:r>
    </w:p>
    <w:p w14:paraId="454A4C28" w14:textId="59A83975" w:rsidR="0041319C" w:rsidRPr="0041319C" w:rsidRDefault="0041319C" w:rsidP="0041319C">
      <w:pPr>
        <w:spacing w:before="240" w:after="80"/>
        <w:rPr>
          <w:rFonts w:ascii="Bahnschrift" w:hAnsi="Bahnschrift"/>
          <w:sz w:val="32"/>
          <w:szCs w:val="32"/>
        </w:rPr>
      </w:pPr>
      <w:r w:rsidRPr="0041319C">
        <w:rPr>
          <w:rFonts w:ascii="Bahnschrift" w:hAnsi="Bahnschrift"/>
          <w:b/>
          <w:bCs/>
          <w:sz w:val="32"/>
          <w:szCs w:val="32"/>
        </w:rPr>
        <w:t>DZIAŁANIA</w:t>
      </w:r>
    </w:p>
    <w:p w14:paraId="77F3613A" w14:textId="13676AFF" w:rsidR="0037230A" w:rsidRDefault="0037230A" w:rsidP="0037230A">
      <w:pPr>
        <w:pStyle w:val="Akapitzlist"/>
        <w:numPr>
          <w:ilvl w:val="0"/>
          <w:numId w:val="6"/>
        </w:numPr>
      </w:pPr>
      <w:r>
        <w:fldChar w:fldCharType="begin"/>
      </w:r>
      <w:r>
        <w:instrText xml:space="preserve"> REF _Ref159858133 \h  \* MERGEFORMAT </w:instrText>
      </w:r>
      <w:r>
        <w:fldChar w:fldCharType="separate"/>
      </w:r>
      <w:r w:rsidR="00DD3929" w:rsidRPr="008B62ED">
        <w:t xml:space="preserve">Działanie </w:t>
      </w:r>
      <w:r w:rsidR="00DD3929">
        <w:t>137</w:t>
      </w:r>
      <w:r w:rsidR="00DD3929" w:rsidRPr="008B62ED">
        <w:t>.</w:t>
      </w:r>
      <w:r w:rsidR="00DD3929">
        <w:t xml:space="preserve"> A</w:t>
      </w:r>
      <w:r w:rsidR="00DD3929" w:rsidRPr="008B62ED">
        <w:t>ktualizacja Polityki Naukowej Państwa</w:t>
      </w:r>
      <w:r w:rsidR="00DD3929">
        <w:t>.</w:t>
      </w:r>
      <w:r>
        <w:fldChar w:fldCharType="end"/>
      </w:r>
    </w:p>
    <w:p w14:paraId="742A56C1" w14:textId="6A191A9C" w:rsidR="0037230A" w:rsidRDefault="0037230A" w:rsidP="0037230A">
      <w:pPr>
        <w:pStyle w:val="Akapitzlist"/>
        <w:numPr>
          <w:ilvl w:val="0"/>
          <w:numId w:val="6"/>
        </w:numPr>
      </w:pPr>
      <w:r>
        <w:fldChar w:fldCharType="begin"/>
      </w:r>
      <w:r>
        <w:instrText xml:space="preserve"> REF _Ref157435866 \h  \* MERGEFORMAT </w:instrText>
      </w:r>
      <w:r>
        <w:fldChar w:fldCharType="separate"/>
      </w:r>
      <w:r w:rsidR="00DD3929" w:rsidRPr="00DD3929">
        <w:t>Działanie 147.</w:t>
      </w:r>
      <w:r w:rsidR="00DD3929" w:rsidRPr="0074645C">
        <w:rPr>
          <w:rStyle w:val="Nagwek6Znak"/>
          <w:bCs/>
        </w:rPr>
        <w:t xml:space="preserve"> </w:t>
      </w:r>
      <w:r w:rsidR="00DD3929" w:rsidRPr="00DD3929">
        <w:t>Kształcenie i doskonalenie zawodowe kadr dla gospodarki w zakresie transformacji klimatyczno-energetycznej.</w:t>
      </w:r>
      <w:r>
        <w:fldChar w:fldCharType="end"/>
      </w:r>
    </w:p>
    <w:p w14:paraId="08466C14" w14:textId="0CC0DABD" w:rsidR="007619B6" w:rsidRDefault="007619B6" w:rsidP="00E20558">
      <w:pPr>
        <w:pStyle w:val="Akapitzlist"/>
        <w:numPr>
          <w:ilvl w:val="0"/>
          <w:numId w:val="6"/>
        </w:numPr>
      </w:pPr>
      <w:r>
        <w:fldChar w:fldCharType="begin"/>
      </w:r>
      <w:r>
        <w:instrText xml:space="preserve"> REF _Ref157420391 \h </w:instrText>
      </w:r>
      <w:r>
        <w:fldChar w:fldCharType="separate"/>
      </w:r>
      <w:r w:rsidR="00DD3929" w:rsidRPr="00F12C9E">
        <w:t xml:space="preserve">Działanie </w:t>
      </w:r>
      <w:r w:rsidR="00DD3929">
        <w:rPr>
          <w:noProof/>
        </w:rPr>
        <w:t>26</w:t>
      </w:r>
      <w:r w:rsidR="00DD3929" w:rsidRPr="00F12C9E">
        <w:t>. Zapewnienie warunków rozwoju SMR.</w:t>
      </w:r>
      <w:r>
        <w:fldChar w:fldCharType="end"/>
      </w:r>
    </w:p>
    <w:p w14:paraId="49CC40D2" w14:textId="519B18BF" w:rsidR="007619B6" w:rsidRDefault="007619B6" w:rsidP="00E20558">
      <w:pPr>
        <w:pStyle w:val="Akapitzlist"/>
        <w:numPr>
          <w:ilvl w:val="0"/>
          <w:numId w:val="6"/>
        </w:numPr>
      </w:pPr>
      <w:r>
        <w:fldChar w:fldCharType="begin"/>
      </w:r>
      <w:r>
        <w:instrText xml:space="preserve"> REF _Ref157424674 \h </w:instrText>
      </w:r>
      <w:r>
        <w:fldChar w:fldCharType="separate"/>
      </w:r>
      <w:r w:rsidR="00DD3929" w:rsidRPr="00F12C9E">
        <w:t xml:space="preserve">Działanie </w:t>
      </w:r>
      <w:r w:rsidR="00DD3929">
        <w:rPr>
          <w:noProof/>
        </w:rPr>
        <w:t>30</w:t>
      </w:r>
      <w:r w:rsidR="00DD3929" w:rsidRPr="00F12C9E">
        <w:t>. Instrument finansowy – Fundusz rozwoju przewozów autobusowych o</w:t>
      </w:r>
      <w:r w:rsidR="00DD3929">
        <w:t> </w:t>
      </w:r>
      <w:r w:rsidR="00DD3929" w:rsidRPr="00F12C9E">
        <w:t>charakterze użyteczności publicznej.</w:t>
      </w:r>
      <w:r>
        <w:fldChar w:fldCharType="end"/>
      </w:r>
    </w:p>
    <w:p w14:paraId="060AAD92" w14:textId="2B42287B" w:rsidR="007619B6" w:rsidRDefault="007619B6" w:rsidP="00E20558">
      <w:pPr>
        <w:pStyle w:val="Akapitzlist"/>
        <w:numPr>
          <w:ilvl w:val="0"/>
          <w:numId w:val="6"/>
        </w:numPr>
      </w:pPr>
      <w:r>
        <w:fldChar w:fldCharType="begin"/>
      </w:r>
      <w:r>
        <w:instrText xml:space="preserve"> REF _Ref157424731 \h </w:instrText>
      </w:r>
      <w:r>
        <w:fldChar w:fldCharType="separate"/>
      </w:r>
      <w:r w:rsidR="00DD3929" w:rsidRPr="00F12C9E">
        <w:t xml:space="preserve">Działanie </w:t>
      </w:r>
      <w:r w:rsidR="00DD3929">
        <w:rPr>
          <w:noProof/>
        </w:rPr>
        <w:t>33</w:t>
      </w:r>
      <w:r w:rsidR="00DD3929" w:rsidRPr="00F12C9E">
        <w:t xml:space="preserve">. Rozwój zeroemisyjnego transportu </w:t>
      </w:r>
      <w:r w:rsidR="00DD3929">
        <w:t xml:space="preserve">publicznego w </w:t>
      </w:r>
      <w:r w:rsidR="00DD3929" w:rsidRPr="00F12C9E">
        <w:t>mi</w:t>
      </w:r>
      <w:r w:rsidR="00DD3929">
        <w:t>astach</w:t>
      </w:r>
      <w:r w:rsidR="00DD3929" w:rsidRPr="00F12C9E">
        <w:t>.</w:t>
      </w:r>
      <w:r>
        <w:fldChar w:fldCharType="end"/>
      </w:r>
    </w:p>
    <w:p w14:paraId="5DDB1CF8" w14:textId="0DD3189D" w:rsidR="007619B6" w:rsidRDefault="007619B6" w:rsidP="00E20558">
      <w:pPr>
        <w:pStyle w:val="Akapitzlist"/>
        <w:numPr>
          <w:ilvl w:val="0"/>
          <w:numId w:val="6"/>
        </w:numPr>
      </w:pPr>
      <w:r>
        <w:fldChar w:fldCharType="begin"/>
      </w:r>
      <w:r>
        <w:instrText xml:space="preserve"> REF _Ref157424755 \h </w:instrText>
      </w:r>
      <w:r>
        <w:fldChar w:fldCharType="separate"/>
      </w:r>
      <w:r w:rsidR="00DD3929" w:rsidRPr="00F12C9E">
        <w:t xml:space="preserve">Działanie </w:t>
      </w:r>
      <w:r w:rsidR="00DD3929">
        <w:rPr>
          <w:noProof/>
        </w:rPr>
        <w:t>36</w:t>
      </w:r>
      <w:r w:rsidR="00DD3929" w:rsidRPr="00F12C9E">
        <w:t>. Instrument</w:t>
      </w:r>
      <w:r w:rsidR="00DD3929">
        <w:t>y</w:t>
      </w:r>
      <w:r w:rsidR="00DD3929" w:rsidRPr="00F12C9E">
        <w:t xml:space="preserve"> finansow</w:t>
      </w:r>
      <w:r w:rsidR="00DD3929">
        <w:t>ego</w:t>
      </w:r>
      <w:r w:rsidR="00DD3929" w:rsidRPr="00F12C9E">
        <w:t xml:space="preserve"> wsparci</w:t>
      </w:r>
      <w:r w:rsidR="00DD3929">
        <w:t>a</w:t>
      </w:r>
      <w:r w:rsidR="00DD3929" w:rsidRPr="00F12C9E">
        <w:t xml:space="preserve"> elektromobilności.</w:t>
      </w:r>
      <w:r>
        <w:fldChar w:fldCharType="end"/>
      </w:r>
    </w:p>
    <w:p w14:paraId="027E5ADF" w14:textId="74EC3E0B" w:rsidR="007619B6" w:rsidRDefault="007619B6" w:rsidP="00E20558">
      <w:pPr>
        <w:pStyle w:val="Akapitzlist"/>
        <w:numPr>
          <w:ilvl w:val="0"/>
          <w:numId w:val="6"/>
        </w:numPr>
      </w:pPr>
      <w:r>
        <w:fldChar w:fldCharType="begin"/>
      </w:r>
      <w:r>
        <w:instrText xml:space="preserve"> REF _Ref157424782 \h </w:instrText>
      </w:r>
      <w:r>
        <w:fldChar w:fldCharType="separate"/>
      </w:r>
      <w:r w:rsidR="00DD3929" w:rsidRPr="00F12C9E">
        <w:t xml:space="preserve">Działanie </w:t>
      </w:r>
      <w:r w:rsidR="00DD3929">
        <w:rPr>
          <w:noProof/>
        </w:rPr>
        <w:t>38</w:t>
      </w:r>
      <w:r w:rsidR="00DD3929" w:rsidRPr="00F12C9E">
        <w:t>. Rozwój infrastruktury do ładowania pojazdów elektrycznych.</w:t>
      </w:r>
      <w:r>
        <w:fldChar w:fldCharType="end"/>
      </w:r>
    </w:p>
    <w:p w14:paraId="482A92E3" w14:textId="7FE8173D" w:rsidR="007619B6" w:rsidRDefault="007619B6" w:rsidP="00E20558">
      <w:pPr>
        <w:pStyle w:val="Akapitzlist"/>
        <w:numPr>
          <w:ilvl w:val="0"/>
          <w:numId w:val="6"/>
        </w:numPr>
      </w:pPr>
      <w:r>
        <w:fldChar w:fldCharType="begin"/>
      </w:r>
      <w:r>
        <w:instrText xml:space="preserve"> REF _Ref157425628 \h </w:instrText>
      </w:r>
      <w:r>
        <w:fldChar w:fldCharType="separate"/>
      </w:r>
      <w:r w:rsidR="00DD3929" w:rsidRPr="00F12C9E">
        <w:t xml:space="preserve">Działanie </w:t>
      </w:r>
      <w:r w:rsidR="00DD3929">
        <w:rPr>
          <w:noProof/>
        </w:rPr>
        <w:t>79</w:t>
      </w:r>
      <w:r w:rsidR="00DD3929" w:rsidRPr="00F12C9E">
        <w:t xml:space="preserve">. </w:t>
      </w:r>
      <w:r w:rsidR="00DD3929" w:rsidRPr="00010DD9">
        <w:t>Kontrakty różnicowe dla redukcji CO</w:t>
      </w:r>
      <w:r w:rsidR="00DD3929" w:rsidRPr="00010DD9">
        <w:rPr>
          <w:vertAlign w:val="subscript"/>
        </w:rPr>
        <w:t>2</w:t>
      </w:r>
      <w:r w:rsidR="00DD3929" w:rsidRPr="00010DD9">
        <w:t xml:space="preserve"> oraz inne działania wspierające komercyjne projekty CCS i CCU</w:t>
      </w:r>
      <w:r w:rsidR="00DD3929" w:rsidRPr="00F12C9E">
        <w:t>.</w:t>
      </w:r>
      <w:r>
        <w:fldChar w:fldCharType="end"/>
      </w:r>
    </w:p>
    <w:p w14:paraId="5CDD6CDD" w14:textId="418F15D1" w:rsidR="007619B6" w:rsidRDefault="007619B6" w:rsidP="00E20558">
      <w:pPr>
        <w:pStyle w:val="Akapitzlist"/>
        <w:numPr>
          <w:ilvl w:val="0"/>
          <w:numId w:val="6"/>
        </w:numPr>
      </w:pPr>
      <w:r>
        <w:fldChar w:fldCharType="begin"/>
      </w:r>
      <w:r>
        <w:instrText xml:space="preserve"> REF _Ref159310020 \h </w:instrText>
      </w:r>
      <w:r>
        <w:fldChar w:fldCharType="separate"/>
      </w:r>
      <w:r w:rsidR="00DD3929" w:rsidRPr="00BA3E0C">
        <w:t xml:space="preserve">Działanie </w:t>
      </w:r>
      <w:r w:rsidR="00DD3929">
        <w:rPr>
          <w:noProof/>
        </w:rPr>
        <w:t>119</w:t>
      </w:r>
      <w:r w:rsidR="00DD3929" w:rsidRPr="00BA3E0C">
        <w:t>.</w:t>
      </w:r>
      <w:r w:rsidR="00DD3929">
        <w:t xml:space="preserve"> Wdrażanie wielkoskalowej energetyki jądrowej.</w:t>
      </w:r>
      <w:r>
        <w:fldChar w:fldCharType="end"/>
      </w:r>
    </w:p>
    <w:p w14:paraId="2529FC77" w14:textId="4C636D72" w:rsidR="007619B6" w:rsidRDefault="007619B6" w:rsidP="00E20558">
      <w:pPr>
        <w:pStyle w:val="Akapitzlist"/>
        <w:numPr>
          <w:ilvl w:val="0"/>
          <w:numId w:val="6"/>
        </w:numPr>
      </w:pPr>
      <w:r>
        <w:fldChar w:fldCharType="begin"/>
      </w:r>
      <w:r>
        <w:instrText xml:space="preserve"> REF _Ref157436008 \h </w:instrText>
      </w:r>
      <w:r>
        <w:fldChar w:fldCharType="separate"/>
      </w:r>
      <w:r w:rsidR="00DD3929" w:rsidRPr="00570679">
        <w:t xml:space="preserve">Działanie </w:t>
      </w:r>
      <w:r w:rsidR="00DD3929">
        <w:rPr>
          <w:noProof/>
        </w:rPr>
        <w:t>121</w:t>
      </w:r>
      <w:r w:rsidR="00DD3929" w:rsidRPr="00570679">
        <w:t>. Wzmacnianie cyberbezpieczeństwa w sektorze energii.</w:t>
      </w:r>
      <w:r>
        <w:fldChar w:fldCharType="end"/>
      </w:r>
    </w:p>
    <w:p w14:paraId="269C5887" w14:textId="170663C7" w:rsidR="007A64DB" w:rsidRDefault="007A64DB" w:rsidP="00E20558">
      <w:pPr>
        <w:pStyle w:val="Akapitzlist"/>
        <w:numPr>
          <w:ilvl w:val="0"/>
          <w:numId w:val="6"/>
        </w:numPr>
      </w:pPr>
      <w:r>
        <w:fldChar w:fldCharType="begin"/>
      </w:r>
      <w:r>
        <w:instrText xml:space="preserve"> REF _Ref159858128 \h  \* MERGEFORMAT </w:instrText>
      </w:r>
      <w:r>
        <w:fldChar w:fldCharType="separate"/>
      </w:r>
      <w:r w:rsidR="00DD3929" w:rsidRPr="008B62ED">
        <w:t xml:space="preserve">Działanie </w:t>
      </w:r>
      <w:r w:rsidR="00DD3929">
        <w:t>135</w:t>
      </w:r>
      <w:r w:rsidR="00DD3929" w:rsidRPr="008B62ED">
        <w:t>.</w:t>
      </w:r>
      <w:r w:rsidR="00DD3929">
        <w:t xml:space="preserve"> </w:t>
      </w:r>
      <w:r w:rsidR="00DD3929" w:rsidRPr="008B62ED">
        <w:t>Stopniowy wzrost nakładów budżetowych na B+R (badania i rozwój), w tym w</w:t>
      </w:r>
      <w:r w:rsidR="00DD3929">
        <w:t> </w:t>
      </w:r>
      <w:r w:rsidR="00DD3929" w:rsidRPr="008B62ED">
        <w:t>obszarach sprzyjających transformacji do gospodarki neutralnej klimatycznie.</w:t>
      </w:r>
      <w:r>
        <w:fldChar w:fldCharType="end"/>
      </w:r>
    </w:p>
    <w:p w14:paraId="790A5378" w14:textId="102C78AF" w:rsidR="007A64DB" w:rsidRDefault="007A64DB" w:rsidP="00E20558">
      <w:pPr>
        <w:pStyle w:val="Akapitzlist"/>
        <w:numPr>
          <w:ilvl w:val="0"/>
          <w:numId w:val="6"/>
        </w:numPr>
      </w:pPr>
      <w:r>
        <w:fldChar w:fldCharType="begin"/>
      </w:r>
      <w:r>
        <w:instrText xml:space="preserve"> REF _Ref159858129 \h  \* MERGEFORMAT </w:instrText>
      </w:r>
      <w:r>
        <w:fldChar w:fldCharType="separate"/>
      </w:r>
      <w:r w:rsidR="00DD3929" w:rsidRPr="008B62ED">
        <w:t xml:space="preserve">Działanie </w:t>
      </w:r>
      <w:r w:rsidR="00DD3929">
        <w:t>136</w:t>
      </w:r>
      <w:r w:rsidR="00DD3929" w:rsidRPr="008B62ED">
        <w:t>.</w:t>
      </w:r>
      <w:r w:rsidR="00DD3929">
        <w:t xml:space="preserve"> </w:t>
      </w:r>
      <w:r w:rsidR="00DD3929" w:rsidRPr="008B62ED">
        <w:t>Realizacja strategicznych programów badań naukowych i prac rozwojowych o</w:t>
      </w:r>
      <w:r w:rsidR="00DD3929">
        <w:t> </w:t>
      </w:r>
      <w:r w:rsidR="00DD3929" w:rsidRPr="008B62ED">
        <w:t>tematyce sprzyjającej transformacji do gospodarki neutralnej klimatycznie.</w:t>
      </w:r>
      <w:r>
        <w:fldChar w:fldCharType="end"/>
      </w:r>
    </w:p>
    <w:p w14:paraId="27B9DD23" w14:textId="55669B5B" w:rsidR="007A64DB" w:rsidRDefault="007A64DB" w:rsidP="00E20558">
      <w:pPr>
        <w:pStyle w:val="Akapitzlist"/>
        <w:numPr>
          <w:ilvl w:val="0"/>
          <w:numId w:val="6"/>
        </w:numPr>
      </w:pPr>
      <w:r>
        <w:fldChar w:fldCharType="begin"/>
      </w:r>
      <w:r>
        <w:instrText xml:space="preserve"> REF _Ref159856575 \h  \* MERGEFORMAT </w:instrText>
      </w:r>
      <w:r>
        <w:fldChar w:fldCharType="separate"/>
      </w:r>
      <w:r w:rsidR="00DD3929" w:rsidRPr="00485767">
        <w:t xml:space="preserve">Działanie </w:t>
      </w:r>
      <w:r w:rsidR="00DD3929">
        <w:t>138</w:t>
      </w:r>
      <w:r w:rsidR="00DD3929" w:rsidRPr="00485767">
        <w:t>.</w:t>
      </w:r>
      <w:r w:rsidR="00DD3929" w:rsidRPr="00DD3929">
        <w:t xml:space="preserve"> </w:t>
      </w:r>
      <w:r w:rsidR="00DD3929" w:rsidRPr="008B62ED">
        <w:t>Projekt koncepcyjny i podstawowy badawczego wysokotemperaturowego reaktora jądrowego chłodzonego gazem (</w:t>
      </w:r>
      <w:r w:rsidR="00DD3929">
        <w:t xml:space="preserve">ang. </w:t>
      </w:r>
      <w:r w:rsidR="00DD3929" w:rsidRPr="00DD3929">
        <w:t>High Temperature Gas cooled Reactor</w:t>
      </w:r>
      <w:r w:rsidR="00DD3929" w:rsidRPr="008B62ED">
        <w:t>, HTGR)</w:t>
      </w:r>
      <w:r w:rsidR="00DD3929">
        <w:rPr>
          <w:i/>
          <w:iCs/>
        </w:rPr>
        <w:t>.</w:t>
      </w:r>
      <w:r>
        <w:fldChar w:fldCharType="end"/>
      </w:r>
    </w:p>
    <w:p w14:paraId="2A7E0E3A" w14:textId="0D346658" w:rsidR="00F55ED6" w:rsidRDefault="00F55ED6" w:rsidP="00E20558">
      <w:pPr>
        <w:pStyle w:val="Akapitzlist"/>
        <w:numPr>
          <w:ilvl w:val="0"/>
          <w:numId w:val="6"/>
        </w:numPr>
      </w:pPr>
      <w:r>
        <w:fldChar w:fldCharType="begin"/>
      </w:r>
      <w:r>
        <w:instrText xml:space="preserve"> REF _Ref157425238 \h </w:instrText>
      </w:r>
      <w:r>
        <w:fldChar w:fldCharType="separate"/>
      </w:r>
      <w:r w:rsidR="00DD3929" w:rsidRPr="00163CF0">
        <w:t xml:space="preserve">Działanie </w:t>
      </w:r>
      <w:r w:rsidR="00DD3929">
        <w:rPr>
          <w:noProof/>
        </w:rPr>
        <w:t>139</w:t>
      </w:r>
      <w:r w:rsidR="00DD3929" w:rsidRPr="00163CF0">
        <w:t>. Redukowanie emisji metanu z procesów produkcji i dystrybucji paliw.</w:t>
      </w:r>
      <w:r>
        <w:fldChar w:fldCharType="end"/>
      </w:r>
    </w:p>
    <w:p w14:paraId="09ADE4B0" w14:textId="715FD4D8" w:rsidR="00F55ED6" w:rsidRDefault="00F55ED6" w:rsidP="00E20558">
      <w:pPr>
        <w:pStyle w:val="Akapitzlist"/>
        <w:numPr>
          <w:ilvl w:val="0"/>
          <w:numId w:val="6"/>
        </w:numPr>
      </w:pPr>
      <w:r>
        <w:fldChar w:fldCharType="begin"/>
      </w:r>
      <w:r>
        <w:instrText xml:space="preserve"> REF _Ref157429580 \h </w:instrText>
      </w:r>
      <w:r>
        <w:fldChar w:fldCharType="separate"/>
      </w:r>
      <w:r w:rsidR="00DD3929" w:rsidRPr="00163CF0">
        <w:t xml:space="preserve">Działanie </w:t>
      </w:r>
      <w:r w:rsidR="00DD3929">
        <w:rPr>
          <w:noProof/>
        </w:rPr>
        <w:t>140</w:t>
      </w:r>
      <w:r w:rsidR="00DD3929" w:rsidRPr="00163CF0">
        <w:t>. Projekt badawczy – odmetanowanie z zastosowaniem technologii podziemnych wierceń kierunkowych.</w:t>
      </w:r>
      <w:r>
        <w:fldChar w:fldCharType="end"/>
      </w:r>
    </w:p>
    <w:p w14:paraId="2EF3A576" w14:textId="3B99928E" w:rsidR="00F55ED6" w:rsidRDefault="00F55ED6" w:rsidP="00E20558">
      <w:pPr>
        <w:pStyle w:val="Akapitzlist"/>
        <w:numPr>
          <w:ilvl w:val="0"/>
          <w:numId w:val="6"/>
        </w:numPr>
      </w:pPr>
      <w:r>
        <w:fldChar w:fldCharType="begin"/>
      </w:r>
      <w:r>
        <w:instrText xml:space="preserve"> REF _Ref157428874 \h </w:instrText>
      </w:r>
      <w:r>
        <w:fldChar w:fldCharType="separate"/>
      </w:r>
      <w:r w:rsidR="00DD3929" w:rsidRPr="00163CF0">
        <w:t xml:space="preserve">Działanie </w:t>
      </w:r>
      <w:r w:rsidR="00DD3929">
        <w:rPr>
          <w:noProof/>
        </w:rPr>
        <w:t>141</w:t>
      </w:r>
      <w:r w:rsidR="00DD3929" w:rsidRPr="00163CF0">
        <w:t>. Budowanie kompetencji i kreowanie świadomości – zeroemisyjny transport.</w:t>
      </w:r>
      <w:r>
        <w:fldChar w:fldCharType="end"/>
      </w:r>
    </w:p>
    <w:p w14:paraId="469439C2" w14:textId="66221A59" w:rsidR="00F55ED6" w:rsidRDefault="00F55ED6" w:rsidP="00E20558">
      <w:pPr>
        <w:pStyle w:val="Akapitzlist"/>
        <w:numPr>
          <w:ilvl w:val="0"/>
          <w:numId w:val="6"/>
        </w:numPr>
      </w:pPr>
      <w:r>
        <w:fldChar w:fldCharType="begin"/>
      </w:r>
      <w:r>
        <w:instrText xml:space="preserve"> REF _Ref157428847 \h </w:instrText>
      </w:r>
      <w:r>
        <w:fldChar w:fldCharType="separate"/>
      </w:r>
      <w:r w:rsidR="00DD3929" w:rsidRPr="00163CF0">
        <w:t xml:space="preserve">Działanie </w:t>
      </w:r>
      <w:r w:rsidR="00DD3929">
        <w:rPr>
          <w:noProof/>
        </w:rPr>
        <w:t>142</w:t>
      </w:r>
      <w:r w:rsidR="00DD3929" w:rsidRPr="00163CF0">
        <w:t>. Badania i projekty naukowe oraz edukacyjne w zakresie racjonalnej i niskoemisyjnej produkcji rolnej.</w:t>
      </w:r>
      <w:r>
        <w:fldChar w:fldCharType="end"/>
      </w:r>
    </w:p>
    <w:p w14:paraId="6040F400" w14:textId="78478FFA" w:rsidR="00F55ED6" w:rsidRDefault="007619B6" w:rsidP="00E20558">
      <w:pPr>
        <w:pStyle w:val="Akapitzlist"/>
        <w:numPr>
          <w:ilvl w:val="0"/>
          <w:numId w:val="6"/>
        </w:numPr>
      </w:pPr>
      <w:r>
        <w:fldChar w:fldCharType="begin"/>
      </w:r>
      <w:r>
        <w:instrText xml:space="preserve"> REF _Ref157430436 \h </w:instrText>
      </w:r>
      <w:r>
        <w:fldChar w:fldCharType="separate"/>
      </w:r>
      <w:r w:rsidR="00DD3929" w:rsidRPr="00163CF0">
        <w:t xml:space="preserve">Działanie </w:t>
      </w:r>
      <w:r w:rsidR="00DD3929">
        <w:rPr>
          <w:noProof/>
        </w:rPr>
        <w:t>143</w:t>
      </w:r>
      <w:r w:rsidR="00DD3929" w:rsidRPr="00163CF0">
        <w:t>. Budowanie świadomości – działania związane z adaptacją do zmian klimatu.</w:t>
      </w:r>
      <w:r>
        <w:fldChar w:fldCharType="end"/>
      </w:r>
    </w:p>
    <w:p w14:paraId="324A335D" w14:textId="5CD51388" w:rsidR="007619B6" w:rsidRDefault="007619B6" w:rsidP="00E20558">
      <w:pPr>
        <w:pStyle w:val="Akapitzlist"/>
        <w:numPr>
          <w:ilvl w:val="0"/>
          <w:numId w:val="6"/>
        </w:numPr>
      </w:pPr>
      <w:r>
        <w:fldChar w:fldCharType="begin"/>
      </w:r>
      <w:r>
        <w:instrText xml:space="preserve"> REF _Ref157421395 \h </w:instrText>
      </w:r>
      <w:r>
        <w:fldChar w:fldCharType="separate"/>
      </w:r>
      <w:r w:rsidR="00DD3929" w:rsidRPr="00163CF0">
        <w:t xml:space="preserve">Działanie </w:t>
      </w:r>
      <w:r w:rsidR="00DD3929">
        <w:rPr>
          <w:noProof/>
        </w:rPr>
        <w:t>144</w:t>
      </w:r>
      <w:r w:rsidR="00DD3929" w:rsidRPr="00163CF0">
        <w:t>. Budowanie świadomości – energetyka jądrowa.</w:t>
      </w:r>
      <w:r>
        <w:fldChar w:fldCharType="end"/>
      </w:r>
    </w:p>
    <w:p w14:paraId="6B6F2680" w14:textId="7775535F" w:rsidR="007619B6" w:rsidRDefault="007619B6" w:rsidP="00E20558">
      <w:pPr>
        <w:pStyle w:val="Akapitzlist"/>
        <w:numPr>
          <w:ilvl w:val="0"/>
          <w:numId w:val="6"/>
        </w:numPr>
      </w:pPr>
      <w:r>
        <w:fldChar w:fldCharType="begin"/>
      </w:r>
      <w:r>
        <w:instrText xml:space="preserve"> REF _Ref157430266 \h </w:instrText>
      </w:r>
      <w:r>
        <w:fldChar w:fldCharType="separate"/>
      </w:r>
      <w:r w:rsidR="00DD3929" w:rsidRPr="00163CF0">
        <w:t xml:space="preserve">Działanie </w:t>
      </w:r>
      <w:r w:rsidR="00DD3929">
        <w:rPr>
          <w:noProof/>
        </w:rPr>
        <w:t>145</w:t>
      </w:r>
      <w:r w:rsidR="00DD3929" w:rsidRPr="00163CF0">
        <w:t>. Budowanie świadomości – gospodarka o obiegu zamkniętym.</w:t>
      </w:r>
      <w:r>
        <w:fldChar w:fldCharType="end"/>
      </w:r>
    </w:p>
    <w:p w14:paraId="052AE26D" w14:textId="3265B434" w:rsidR="007619B6" w:rsidRDefault="007619B6" w:rsidP="00E20558">
      <w:pPr>
        <w:pStyle w:val="Akapitzlist"/>
        <w:numPr>
          <w:ilvl w:val="0"/>
          <w:numId w:val="6"/>
        </w:numPr>
      </w:pPr>
      <w:r>
        <w:fldChar w:fldCharType="begin"/>
      </w:r>
      <w:r>
        <w:instrText xml:space="preserve"> REF _Ref157422348 \h </w:instrText>
      </w:r>
      <w:r>
        <w:fldChar w:fldCharType="separate"/>
      </w:r>
      <w:r w:rsidR="00DD3929" w:rsidRPr="00163CF0">
        <w:t xml:space="preserve">Działanie </w:t>
      </w:r>
      <w:r w:rsidR="00DD3929">
        <w:rPr>
          <w:noProof/>
        </w:rPr>
        <w:t>146</w:t>
      </w:r>
      <w:r w:rsidR="00DD3929" w:rsidRPr="00163CF0">
        <w:t>. Budowanie świadomości – odnawialne źródła energii.</w:t>
      </w:r>
      <w:r>
        <w:fldChar w:fldCharType="end"/>
      </w:r>
    </w:p>
    <w:p w14:paraId="20653F9D" w14:textId="14659A04" w:rsidR="007619B6" w:rsidRPr="0041319C" w:rsidRDefault="007619B6" w:rsidP="00E20558">
      <w:pPr>
        <w:pStyle w:val="Akapitzlist"/>
        <w:numPr>
          <w:ilvl w:val="0"/>
          <w:numId w:val="6"/>
        </w:numPr>
      </w:pPr>
      <w:r>
        <w:fldChar w:fldCharType="begin"/>
      </w:r>
      <w:r>
        <w:instrText xml:space="preserve"> REF _Ref157435890 \h </w:instrText>
      </w:r>
      <w:r>
        <w:fldChar w:fldCharType="separate"/>
      </w:r>
      <w:r w:rsidR="00DD3929" w:rsidRPr="00BA3E0C">
        <w:t xml:space="preserve">Działanie </w:t>
      </w:r>
      <w:r w:rsidR="00DD3929">
        <w:rPr>
          <w:noProof/>
        </w:rPr>
        <w:t>149</w:t>
      </w:r>
      <w:r w:rsidR="00DD3929" w:rsidRPr="00BA3E0C">
        <w:t>.</w:t>
      </w:r>
      <w:r w:rsidR="00DD3929">
        <w:t xml:space="preserve"> </w:t>
      </w:r>
      <w:r w:rsidR="00DD3929" w:rsidRPr="00BA3E0C">
        <w:t>Instrument finansowy – Horyzont Europa.</w:t>
      </w:r>
      <w:r>
        <w:fldChar w:fldCharType="end"/>
      </w:r>
    </w:p>
    <w:p w14:paraId="7A658416" w14:textId="2FB31A04" w:rsidR="00FD77A4" w:rsidRPr="00985B6A" w:rsidRDefault="00FD77A4" w:rsidP="00FD77A4">
      <w:pPr>
        <w:pStyle w:val="Nagwek4"/>
        <w:rPr>
          <w:color w:val="7B7B7B" w:themeColor="accent3" w:themeShade="BF"/>
        </w:rPr>
      </w:pPr>
      <w:bookmarkStart w:id="261" w:name="_Toc159598353"/>
      <w:bookmarkStart w:id="262" w:name="_Toc179537006"/>
      <w:r w:rsidRPr="00985B6A">
        <w:rPr>
          <w:color w:val="7B7B7B" w:themeColor="accent3" w:themeShade="BF"/>
        </w:rPr>
        <w:t xml:space="preserve">Rozwój </w:t>
      </w:r>
      <w:r>
        <w:rPr>
          <w:color w:val="7B7B7B" w:themeColor="accent3" w:themeShade="BF"/>
        </w:rPr>
        <w:t>kompetencji kadrowych na potrzeby transformacji klimatyczno-energetycznej</w:t>
      </w:r>
      <w:bookmarkEnd w:id="261"/>
      <w:bookmarkEnd w:id="262"/>
      <w:r>
        <w:rPr>
          <w:color w:val="7B7B7B" w:themeColor="accent3" w:themeShade="BF"/>
        </w:rPr>
        <w:t xml:space="preserve"> </w:t>
      </w:r>
      <w:r w:rsidRPr="00985B6A">
        <w:rPr>
          <w:color w:val="7B7B7B" w:themeColor="accent3" w:themeShade="BF"/>
        </w:rPr>
        <w:t xml:space="preserve"> </w:t>
      </w:r>
    </w:p>
    <w:p w14:paraId="72D44E8C" w14:textId="32D9D84A" w:rsidR="00993F4F" w:rsidRDefault="00FD77A4" w:rsidP="00993F4F">
      <w:r>
        <w:t xml:space="preserve">Przeprowadzenie odpowiedzialnej transformacji klimatyczno-energetycznej </w:t>
      </w:r>
      <w:r w:rsidR="00EA0B18">
        <w:t xml:space="preserve">to wieloletni proces, </w:t>
      </w:r>
      <w:r>
        <w:t>wymaga</w:t>
      </w:r>
      <w:r w:rsidR="00EA0B18">
        <w:t>jący również</w:t>
      </w:r>
      <w:r>
        <w:t xml:space="preserve"> </w:t>
      </w:r>
      <w:r w:rsidR="00993F4F">
        <w:t xml:space="preserve">dostosowania i </w:t>
      </w:r>
      <w:r>
        <w:t xml:space="preserve">budowania kadr </w:t>
      </w:r>
      <w:r w:rsidR="00993F4F">
        <w:t>oraz</w:t>
      </w:r>
      <w:r>
        <w:t xml:space="preserve"> rozwoju umiejętności, </w:t>
      </w:r>
      <w:r w:rsidR="00AA7CF5">
        <w:t>spójnych z</w:t>
      </w:r>
      <w:r w:rsidR="00925656">
        <w:t> </w:t>
      </w:r>
      <w:r w:rsidR="00993F4F">
        <w:t>priorytetowy</w:t>
      </w:r>
      <w:r w:rsidR="00AA7CF5">
        <w:t>mi</w:t>
      </w:r>
      <w:r w:rsidR="00993F4F">
        <w:t xml:space="preserve"> </w:t>
      </w:r>
      <w:r>
        <w:t>kierunk</w:t>
      </w:r>
      <w:r w:rsidR="00AA7CF5">
        <w:t>ami</w:t>
      </w:r>
      <w:r w:rsidR="00993F4F">
        <w:t xml:space="preserve"> rozwoju</w:t>
      </w:r>
      <w:r>
        <w:t>,</w:t>
      </w:r>
      <w:r w:rsidR="00993F4F">
        <w:t xml:space="preserve"> wyzwa</w:t>
      </w:r>
      <w:r w:rsidR="00AA7CF5">
        <w:t>niami</w:t>
      </w:r>
      <w:r w:rsidR="00993F4F">
        <w:t xml:space="preserve"> i potrzeb</w:t>
      </w:r>
      <w:r w:rsidR="00AA7CF5">
        <w:t>ami</w:t>
      </w:r>
      <w:r w:rsidR="00993F4F">
        <w:t xml:space="preserve"> sektorow</w:t>
      </w:r>
      <w:r w:rsidR="00AA7CF5">
        <w:t>ymi</w:t>
      </w:r>
      <w:r w:rsidR="00993F4F">
        <w:t xml:space="preserve"> oraz postępując</w:t>
      </w:r>
      <w:r w:rsidR="00AA7CF5">
        <w:t>ym</w:t>
      </w:r>
      <w:r w:rsidR="00993F4F">
        <w:t xml:space="preserve"> rozwoj</w:t>
      </w:r>
      <w:r w:rsidR="00AA7CF5">
        <w:t>em</w:t>
      </w:r>
      <w:r w:rsidR="00993F4F">
        <w:t xml:space="preserve"> technologii. </w:t>
      </w:r>
      <w:r w:rsidRPr="00FD77A4">
        <w:t>Umiejętności mają zasadnicze znaczenie dla rozwoju społecznego</w:t>
      </w:r>
      <w:r>
        <w:t>, przemysłowego</w:t>
      </w:r>
      <w:r w:rsidRPr="00FD77A4">
        <w:t xml:space="preserve"> i</w:t>
      </w:r>
      <w:r w:rsidR="00AA7CF5">
        <w:t> </w:t>
      </w:r>
      <w:r w:rsidRPr="00FD77A4">
        <w:t>gospodarczego</w:t>
      </w:r>
      <w:r>
        <w:t xml:space="preserve">, jak również dla pozyskania większej akceptacji </w:t>
      </w:r>
      <w:r w:rsidR="00993F4F">
        <w:t xml:space="preserve">społecznej dla przeprowadzenia zmian, </w:t>
      </w:r>
      <w:r w:rsidR="00993F4F" w:rsidRPr="00EA0B18">
        <w:t xml:space="preserve">zwłaszcza w społecznościach i regionach narażonych na negatywne skutki transformacji energetycznej. </w:t>
      </w:r>
      <w:r w:rsidR="00925656">
        <w:t xml:space="preserve">Zapotrzebowanie na kadry w procesie transformacji jest ogromne, zwłaszcza w aspekcie równolegle prowadzonych procesów i inwestycji w analogicznych obszarach niskoemisyjnego rozwoju w wielu krajach europejskich (np. technologii OZE, </w:t>
      </w:r>
      <w:r w:rsidR="00EE28D9">
        <w:t xml:space="preserve">wielkoskalowej i małoskalowej energetyki jądrowej, </w:t>
      </w:r>
      <w:r w:rsidR="00925656">
        <w:t>magazynowania energii, technologii bilansowania, utrzymania konwencjonalnych jednostek wytwórczych, technologii wodorowych – w tym elektrolizerów, zarządzania energią, termomodernizacji budynków, infrastruktury sieciowej, elektromobilności, automatyzacji i cyfryzacji rozwiązań, i</w:t>
      </w:r>
      <w:r w:rsidR="00EE28D9">
        <w:t xml:space="preserve"> innych nowoczesnych rozwiązań energetycznych</w:t>
      </w:r>
      <w:r w:rsidR="00925656">
        <w:t>). Niedobór wykwalifikowanych kadr może stanowić jedno z</w:t>
      </w:r>
      <w:r w:rsidR="00EE28D9">
        <w:t> </w:t>
      </w:r>
      <w:r w:rsidR="00925656">
        <w:t xml:space="preserve">kluczowych wąskich gardeł transformacji energetycznej. </w:t>
      </w:r>
    </w:p>
    <w:p w14:paraId="57FF3F16" w14:textId="284F564B" w:rsidR="00B13BD0" w:rsidRPr="00B13BD0" w:rsidRDefault="00B13BD0" w:rsidP="00B13BD0">
      <w:r w:rsidRPr="00B13BD0">
        <w:t>Polskie uczelnie kształcą zgodnie z zasadą autonomii programowej, która pozwala im swobodnie kształtować ofertę dydaktyczną dostosowaną do potrzeb gospodarki. Rozwiązania prawne kładą duży nacisk na promowanie współpracy uczelni z otoczeniem społeczno-gospodarczym, zwłaszcza w zakresie kształcenia na kierunkach studiów, na które istnieje zapotrzebowanie na lokalnych rynkach pracy. System szkolnictwa wyższego i nauki zapewnia uczelniom autonomię oraz narzędzia, z których mogą korzystać, aby dostosować działalność dydaktyczną do potrzeb rozwoju gospodarczego i zmieniających się wymagań współczesnego rynku pracy, jak również do zacieśniania współpracy z pracodawcami. W tym kontekście</w:t>
      </w:r>
      <w:r w:rsidR="00685AF1">
        <w:t xml:space="preserve"> możliwe jest </w:t>
      </w:r>
      <w:r w:rsidRPr="00B13BD0">
        <w:t>sprofilowanie kształcenia</w:t>
      </w:r>
      <w:r w:rsidR="00685AF1">
        <w:t>, co</w:t>
      </w:r>
      <w:r w:rsidRPr="00B13BD0">
        <w:t xml:space="preserve"> przybliża ofertę dydaktyczną do potrzeb rynku pracy. W</w:t>
      </w:r>
      <w:r w:rsidR="00685AF1">
        <w:t> </w:t>
      </w:r>
      <w:r w:rsidRPr="00B13BD0">
        <w:t xml:space="preserve">programie studiów o profilu praktycznym ponad połowa punktów ECTS jest przypisana zajęciom kształtującym umiejętności praktyczne, umożliwiającym wykonywanie czynności praktycznych przez studentów w warunkach właściwych dla danego zawodu. Na studiach o profilu praktycznym istnieje obowiązek organizowania praktyk zawodowych: co najmniej 6 miesięcy na studiach pierwszego stopnia </w:t>
      </w:r>
      <w:r w:rsidR="001F7F05">
        <w:t>i </w:t>
      </w:r>
      <w:r w:rsidRPr="00B13BD0">
        <w:t>jednolitych magisterskich oraz co najmniej 3 miesięcy na studiach drugiego stopnia. Ważny jest także udział praktyków w procesie kształcenia, zwłaszcza przy realizacji zajęć rozwijających umiejętności praktyczne. Uczelnie mogą prowadzić studia z udziałem pracodawców, w tym studia dualne (łączące zajęcia teoretyczne z praktykami) oraz studia we współpracy z instytucjami nadającymi uprawnienia do wykonywania określonych zawodów. Pracodawcy mogą współtworzyć programy studiów, organizować praktyki, prowadzić zajęcia oraz opiniować kierunki rozwoju uczelni. Istnieje również Program Doktoratu Wdrożeniowego, który wspiera rozwój współpracy uczelni z otoczeniem społeczno-gospodarczym poprzez kształcenie doktorantów we współpracy z przedsiębiorcami, co prowadzi do wdrażania wyników badań naukowych w tych podmiotach.</w:t>
      </w:r>
    </w:p>
    <w:p w14:paraId="2F7653CB" w14:textId="77777777" w:rsidR="00B13BD0" w:rsidRPr="00EA0B18" w:rsidRDefault="00B13BD0" w:rsidP="00993F4F"/>
    <w:p w14:paraId="7047D5A9" w14:textId="354F6C8A" w:rsidR="00AA7CF5" w:rsidRDefault="00925656" w:rsidP="00C531E2">
      <w:r>
        <w:t>W związku z powyższym, ł</w:t>
      </w:r>
      <w:r w:rsidR="00993F4F">
        <w:t xml:space="preserve">ącznie z wyznaczeniem celów, polityk i działań transformacyjnych w poszczególnych sektorach gospodarki </w:t>
      </w:r>
      <w:r>
        <w:t xml:space="preserve">(o których mowa w powyższych rozdziałach) </w:t>
      </w:r>
      <w:r w:rsidR="00993F4F">
        <w:t xml:space="preserve">prowadzone będą działania dot. dostosowania </w:t>
      </w:r>
      <w:r w:rsidR="00AA7CF5">
        <w:t xml:space="preserve">profilów </w:t>
      </w:r>
      <w:r w:rsidR="00993F4F">
        <w:t xml:space="preserve">edukacji, rozwoju </w:t>
      </w:r>
      <w:r w:rsidR="00EA0B18">
        <w:t xml:space="preserve">umiejętności i </w:t>
      </w:r>
      <w:r w:rsidR="00993F4F">
        <w:t>kompetencji</w:t>
      </w:r>
      <w:r w:rsidR="00AA7CF5">
        <w:t xml:space="preserve">, </w:t>
      </w:r>
      <w:r w:rsidR="00993F4F" w:rsidRPr="00993F4F">
        <w:t>co</w:t>
      </w:r>
      <w:r w:rsidR="00AA7CF5">
        <w:t> </w:t>
      </w:r>
      <w:r w:rsidR="00993F4F" w:rsidRPr="00993F4F">
        <w:t>przyczyni się do</w:t>
      </w:r>
      <w:r w:rsidR="00AA7CF5">
        <w:t xml:space="preserve"> </w:t>
      </w:r>
      <w:r w:rsidR="00AA7CF5" w:rsidRPr="00993F4F">
        <w:t>pozyskani</w:t>
      </w:r>
      <w:r w:rsidR="00AA7CF5">
        <w:t>a</w:t>
      </w:r>
      <w:r w:rsidR="00AA7CF5" w:rsidRPr="00993F4F">
        <w:t xml:space="preserve"> wysoko wykwalifikowanych kadr</w:t>
      </w:r>
      <w:r w:rsidR="00AA7CF5">
        <w:t xml:space="preserve">, rozwoju przemysłu i tworzenia miejsc pracy o wysokiej wartości dodanej dla krajowej gospodarki. </w:t>
      </w:r>
      <w:r w:rsidR="00EA0B18" w:rsidRPr="00EA0B18">
        <w:t xml:space="preserve">Jest to inwestycja w przyszłość, ponieważ </w:t>
      </w:r>
      <w:r w:rsidR="00EA0B18">
        <w:t xml:space="preserve">cennym </w:t>
      </w:r>
      <w:r w:rsidR="00EA0B18" w:rsidRPr="00EA0B18">
        <w:t xml:space="preserve">aktywem jest </w:t>
      </w:r>
      <w:r w:rsidR="00EA0B18">
        <w:t xml:space="preserve">również </w:t>
      </w:r>
      <w:r w:rsidR="00EA0B18" w:rsidRPr="00EA0B18">
        <w:t>ludzkie know-how.</w:t>
      </w:r>
      <w:r w:rsidR="00EA0B18">
        <w:t xml:space="preserve"> </w:t>
      </w:r>
      <w:r w:rsidR="006A2F2E">
        <w:t>Powyższe działania pozwolą na optymalną i efektywną</w:t>
      </w:r>
      <w:r w:rsidR="006A2F2E" w:rsidRPr="00993F4F">
        <w:t xml:space="preserve"> realizacj</w:t>
      </w:r>
      <w:r w:rsidR="006A2F2E">
        <w:t xml:space="preserve">ę </w:t>
      </w:r>
      <w:r w:rsidR="006A2F2E" w:rsidRPr="00993F4F">
        <w:t>zadań w</w:t>
      </w:r>
      <w:r w:rsidR="00F14D65">
        <w:t> </w:t>
      </w:r>
      <w:r w:rsidR="006A2F2E" w:rsidRPr="00993F4F">
        <w:t>obszarze polityki klimatyczno-energetycznej</w:t>
      </w:r>
      <w:r w:rsidR="006A2F2E">
        <w:t>, wykorzystanie przewag konkurencyjnych Polski i</w:t>
      </w:r>
      <w:r w:rsidR="00F14D65">
        <w:t> </w:t>
      </w:r>
      <w:r w:rsidR="006A2F2E">
        <w:t>wzmacnianie jej konkurencyjności</w:t>
      </w:r>
      <w:r w:rsidR="00993F4F" w:rsidRPr="00993F4F">
        <w:t xml:space="preserve">. Stworzenie bazy specjalistów z różnych dziedzin umożliwi </w:t>
      </w:r>
      <w:r w:rsidR="00EA0B18">
        <w:t xml:space="preserve">odpowiedź </w:t>
      </w:r>
      <w:r w:rsidR="00993F4F" w:rsidRPr="00993F4F">
        <w:t>na wyzwania, które czekają polską energetykę</w:t>
      </w:r>
      <w:r w:rsidR="00EA0B18">
        <w:t xml:space="preserve"> w najbliższych dekadach.</w:t>
      </w:r>
    </w:p>
    <w:p w14:paraId="04AD8230" w14:textId="03F0B8E9" w:rsidR="00AA7CF5" w:rsidRPr="00FD77A4" w:rsidRDefault="00AA7CF5" w:rsidP="00AA7CF5">
      <w:pPr>
        <w:tabs>
          <w:tab w:val="left" w:pos="0"/>
        </w:tabs>
        <w:sectPr w:rsidR="00AA7CF5" w:rsidRPr="00FD77A4" w:rsidSect="005209BA">
          <w:pgSz w:w="11906" w:h="16838"/>
          <w:pgMar w:top="1417" w:right="1417" w:bottom="1417" w:left="1417" w:header="708" w:footer="708" w:gutter="0"/>
          <w:cols w:space="708"/>
          <w:docGrid w:linePitch="360"/>
        </w:sectPr>
      </w:pPr>
    </w:p>
    <w:p w14:paraId="68B26012" w14:textId="4981E31F" w:rsidR="00A4361E" w:rsidRDefault="005F4621" w:rsidP="009A1852">
      <w:pPr>
        <w:pStyle w:val="Nagwek1"/>
      </w:pPr>
      <w:bookmarkStart w:id="263" w:name="_Toc159598354"/>
      <w:bookmarkStart w:id="264" w:name="_Toc179537007"/>
      <w:r w:rsidRPr="005F4621">
        <w:rPr>
          <w:noProof/>
        </w:rPr>
        <w:drawing>
          <wp:anchor distT="0" distB="0" distL="114300" distR="114300" simplePos="0" relativeHeight="251636224" behindDoc="0" locked="0" layoutInCell="1" allowOverlap="1" wp14:anchorId="2EAF3F33" wp14:editId="66CEFECB">
            <wp:simplePos x="0" y="0"/>
            <wp:positionH relativeFrom="margin">
              <wp:align>center</wp:align>
            </wp:positionH>
            <wp:positionV relativeFrom="paragraph">
              <wp:posOffset>-572694</wp:posOffset>
            </wp:positionV>
            <wp:extent cx="6982865" cy="7519670"/>
            <wp:effectExtent l="0" t="0" r="8890" b="5080"/>
            <wp:wrapNone/>
            <wp:docPr id="1655160849" name="Obraz 1655160849" descr="Obraz zawierający ubrania, chłopiec, osoba, piłka&#10;&#10;Opis wygenerowany automatycznie">
              <a:extLst xmlns:a="http://schemas.openxmlformats.org/drawingml/2006/main">
                <a:ext uri="{FF2B5EF4-FFF2-40B4-BE49-F238E27FC236}">
                  <a16:creationId xmlns:a16="http://schemas.microsoft.com/office/drawing/2014/main" id="{1BBB49B9-A656-248F-3AAA-3E05B0153D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braz 9" descr="Obraz zawierający ubrania, chłopiec, osoba, piłka&#10;&#10;Opis wygenerowany automatycznie">
                      <a:extLst>
                        <a:ext uri="{FF2B5EF4-FFF2-40B4-BE49-F238E27FC236}">
                          <a16:creationId xmlns:a16="http://schemas.microsoft.com/office/drawing/2014/main" id="{1BBB49B9-A656-248F-3AAA-3E05B0153D3A}"/>
                        </a:ext>
                      </a:extLst>
                    </pic:cNvPr>
                    <pic:cNvPicPr>
                      <a:picLocks noChangeAspect="1"/>
                    </pic:cNvPicPr>
                  </pic:nvPicPr>
                  <pic:blipFill rotWithShape="1">
                    <a:blip r:embed="rId84" cstate="print">
                      <a:extLst>
                        <a:ext uri="{28A0092B-C50C-407E-A947-70E740481C1C}">
                          <a14:useLocalDpi xmlns:a14="http://schemas.microsoft.com/office/drawing/2010/main" val="0"/>
                        </a:ext>
                      </a:extLst>
                    </a:blip>
                    <a:srcRect/>
                    <a:stretch/>
                  </pic:blipFill>
                  <pic:spPr bwMode="auto">
                    <a:xfrm>
                      <a:off x="0" y="0"/>
                      <a:ext cx="6984000" cy="7520892"/>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B5BED">
        <w:t>DZIAŁANIA</w:t>
      </w:r>
      <w:bookmarkEnd w:id="263"/>
      <w:bookmarkEnd w:id="264"/>
    </w:p>
    <w:p w14:paraId="4498E9D9" w14:textId="12724D71" w:rsidR="005F4621" w:rsidRDefault="005F4621" w:rsidP="005F4621"/>
    <w:p w14:paraId="4E75C5F9" w14:textId="77777777" w:rsidR="005F4621" w:rsidRDefault="005F4621" w:rsidP="005F4621"/>
    <w:p w14:paraId="62C22EC0" w14:textId="29FAA2F7" w:rsidR="005F4621" w:rsidRDefault="00DE0CED" w:rsidP="005F4621">
      <w:r>
        <w:rPr>
          <w:noProof/>
        </w:rPr>
        <mc:AlternateContent>
          <mc:Choice Requires="wps">
            <w:drawing>
              <wp:anchor distT="0" distB="0" distL="114300" distR="114300" simplePos="0" relativeHeight="251616256" behindDoc="0" locked="0" layoutInCell="1" allowOverlap="1" wp14:anchorId="734B41EE" wp14:editId="13D5ECC2">
                <wp:simplePos x="0" y="0"/>
                <wp:positionH relativeFrom="column">
                  <wp:posOffset>151130</wp:posOffset>
                </wp:positionH>
                <wp:positionV relativeFrom="paragraph">
                  <wp:posOffset>6967855</wp:posOffset>
                </wp:positionV>
                <wp:extent cx="5606415" cy="1029335"/>
                <wp:effectExtent l="0" t="0" r="0" b="0"/>
                <wp:wrapNone/>
                <wp:docPr id="85765783" name="Pole tekstowe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06415" cy="1029335"/>
                        </a:xfrm>
                        <a:prstGeom prst="rect">
                          <a:avLst/>
                        </a:prstGeom>
                      </wps:spPr>
                      <wps:txbx>
                        <w:txbxContent>
                          <w:p w14:paraId="5E3D3D51" w14:textId="1B3EAF11" w:rsidR="005F4621" w:rsidRDefault="005F4621" w:rsidP="005F4621">
                            <w:pPr>
                              <w:jc w:val="center"/>
                              <w:rPr>
                                <w:rFonts w:ascii="Bahnschrift" w:hAnsi="Bahnschrift"/>
                                <w:b/>
                                <w:bCs/>
                                <w:color w:val="444661"/>
                                <w:kern w:val="24"/>
                                <w:sz w:val="40"/>
                                <w:szCs w:val="40"/>
                                <w14:ligatures w14:val="none"/>
                              </w:rPr>
                            </w:pPr>
                            <w:r>
                              <w:rPr>
                                <w:rFonts w:ascii="Bahnschrift" w:hAnsi="Bahnschrift"/>
                                <w:b/>
                                <w:bCs/>
                                <w:color w:val="444661"/>
                                <w:kern w:val="24"/>
                                <w:sz w:val="40"/>
                                <w:szCs w:val="40"/>
                              </w:rPr>
                              <w:t>wdrażające 5 wymiarów unii energetycznej</w:t>
                            </w:r>
                          </w:p>
                        </w:txbxContent>
                      </wps:txbx>
                      <wps:bodyPr vert="horz" lIns="91440" tIns="45720" rIns="91440" bIns="45720" rtlCol="0" anchor="ctr">
                        <a:normAutofit/>
                      </wps:bodyPr>
                    </wps:wsp>
                  </a:graphicData>
                </a:graphic>
                <wp14:sizeRelH relativeFrom="page">
                  <wp14:pctWidth>0</wp14:pctWidth>
                </wp14:sizeRelH>
                <wp14:sizeRelV relativeFrom="page">
                  <wp14:pctHeight>0</wp14:pctHeight>
                </wp14:sizeRelV>
              </wp:anchor>
            </w:drawing>
          </mc:Choice>
          <mc:Fallback>
            <w:pict>
              <v:shape w14:anchorId="734B41EE" id="Pole tekstowe 8" o:spid="_x0000_s1111" type="#_x0000_t202" style="position:absolute;left:0;text-align:left;margin-left:11.9pt;margin-top:548.65pt;width:441.45pt;height:81.05pt;z-index:25161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" filled="f" stroked="f">
                <v:textbox>
                  <w:txbxContent>
                    <w:p w14:paraId="5E3D3D51" w14:textId="1B3EAF11" w:rsidR="005F4621" w:rsidRDefault="005F4621" w:rsidP="005F4621">
                      <w:pPr>
                        <w:jc w:val="center"/>
                        <w:rPr>
                          <w:rFonts w:ascii="Bahnschrift" w:hAnsi="Bahnschrift"/>
                          <w:b/>
                          <w:bCs/>
                          <w:color w:val="444661"/>
                          <w:kern w:val="24"/>
                          <w:sz w:val="40"/>
                          <w:szCs w:val="40"/>
                          <w14:ligatures w14:val="none"/>
                        </w:rPr>
                      </w:pPr>
                      <w:r>
                        <w:rPr>
                          <w:rFonts w:ascii="Bahnschrift" w:hAnsi="Bahnschrift"/>
                          <w:b/>
                          <w:bCs/>
                          <w:color w:val="444661"/>
                          <w:kern w:val="24"/>
                          <w:sz w:val="40"/>
                          <w:szCs w:val="40"/>
                        </w:rPr>
                        <w:t>wdrażające 5 wymiarów unii energetycznej</w:t>
                      </w:r>
                    </w:p>
                  </w:txbxContent>
                </v:textbox>
              </v:shape>
            </w:pict>
          </mc:Fallback>
        </mc:AlternateContent>
      </w:r>
      <w:r>
        <w:rPr>
          <w:noProof/>
        </w:rPr>
        <mc:AlternateContent>
          <mc:Choice Requires="wps">
            <w:drawing>
              <wp:anchor distT="0" distB="0" distL="114300" distR="114300" simplePos="0" relativeHeight="251615232" behindDoc="0" locked="0" layoutInCell="1" allowOverlap="1" wp14:anchorId="4F53034A" wp14:editId="70374819">
                <wp:simplePos x="0" y="0"/>
                <wp:positionH relativeFrom="margin">
                  <wp:align>center</wp:align>
                </wp:positionH>
                <wp:positionV relativeFrom="paragraph">
                  <wp:posOffset>6393815</wp:posOffset>
                </wp:positionV>
                <wp:extent cx="5606415" cy="1029335"/>
                <wp:effectExtent l="0" t="0" r="0" b="0"/>
                <wp:wrapNone/>
                <wp:docPr id="1198914306" name="Pole tekstowe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06415" cy="1029335"/>
                        </a:xfrm>
                        <a:prstGeom prst="rect">
                          <a:avLst/>
                        </a:prstGeom>
                      </wps:spPr>
                      <wps:txbx>
                        <w:txbxContent>
                          <w:p w14:paraId="1738C929" w14:textId="2A042E87" w:rsidR="005F4621" w:rsidRPr="0026186D" w:rsidRDefault="00156737" w:rsidP="005F4621">
                            <w:pPr>
                              <w:jc w:val="center"/>
                              <w:rPr>
                                <w:rFonts w:ascii="Bahnschrift" w:hAnsi="Bahnschrift"/>
                                <w:b/>
                                <w:bCs/>
                                <w:color w:val="444661"/>
                                <w:kern w:val="24"/>
                                <w:sz w:val="72"/>
                                <w:szCs w:val="72"/>
                                <w14:ligatures w14:val="none"/>
                              </w:rPr>
                            </w:pPr>
                            <w:r>
                              <w:rPr>
                                <w:rFonts w:ascii="Bahnschrift" w:hAnsi="Bahnschrift"/>
                                <w:b/>
                                <w:bCs/>
                                <w:color w:val="444661"/>
                                <w:kern w:val="24"/>
                                <w:sz w:val="72"/>
                                <w:szCs w:val="72"/>
                              </w:rPr>
                              <w:t xml:space="preserve">III. </w:t>
                            </w:r>
                            <w:r w:rsidR="005F4621" w:rsidRPr="0026186D">
                              <w:rPr>
                                <w:rFonts w:ascii="Bahnschrift" w:hAnsi="Bahnschrift"/>
                                <w:b/>
                                <w:bCs/>
                                <w:color w:val="444661"/>
                                <w:kern w:val="24"/>
                                <w:sz w:val="72"/>
                                <w:szCs w:val="72"/>
                              </w:rPr>
                              <w:t>DZIAŁANIA</w:t>
                            </w:r>
                          </w:p>
                        </w:txbxContent>
                      </wps:txbx>
                      <wps:bodyPr vert="horz" lIns="91440" tIns="45720" rIns="91440" bIns="45720" rtlCol="0" anchor="ctr">
                        <a:normAutofit/>
                      </wps:bodyPr>
                    </wps:wsp>
                  </a:graphicData>
                </a:graphic>
                <wp14:sizeRelH relativeFrom="page">
                  <wp14:pctWidth>0</wp14:pctWidth>
                </wp14:sizeRelH>
                <wp14:sizeRelV relativeFrom="page">
                  <wp14:pctHeight>0</wp14:pctHeight>
                </wp14:sizeRelV>
              </wp:anchor>
            </w:drawing>
          </mc:Choice>
          <mc:Fallback>
            <w:pict>
              <v:shape w14:anchorId="4F53034A" id="Pole tekstowe 7" o:spid="_x0000_s1112" type="#_x0000_t202" style="position:absolute;left:0;text-align:left;margin-left:0;margin-top:503.45pt;width:441.45pt;height:81.05pt;z-index:25161523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" filled="f" stroked="f">
                <v:textbox>
                  <w:txbxContent>
                    <w:p w14:paraId="1738C929" w14:textId="2A042E87" w:rsidR="005F4621" w:rsidRPr="0026186D" w:rsidRDefault="00156737" w:rsidP="005F4621">
                      <w:pPr>
                        <w:jc w:val="center"/>
                        <w:rPr>
                          <w:rFonts w:ascii="Bahnschrift" w:hAnsi="Bahnschrift"/>
                          <w:b/>
                          <w:bCs/>
                          <w:color w:val="444661"/>
                          <w:kern w:val="24"/>
                          <w:sz w:val="72"/>
                          <w:szCs w:val="72"/>
                          <w14:ligatures w14:val="none"/>
                        </w:rPr>
                      </w:pPr>
                      <w:r>
                        <w:rPr>
                          <w:rFonts w:ascii="Bahnschrift" w:hAnsi="Bahnschrift"/>
                          <w:b/>
                          <w:bCs/>
                          <w:color w:val="444661"/>
                          <w:kern w:val="24"/>
                          <w:sz w:val="72"/>
                          <w:szCs w:val="72"/>
                        </w:rPr>
                        <w:t xml:space="preserve">III. </w:t>
                      </w:r>
                      <w:r w:rsidR="005F4621" w:rsidRPr="0026186D">
                        <w:rPr>
                          <w:rFonts w:ascii="Bahnschrift" w:hAnsi="Bahnschrift"/>
                          <w:b/>
                          <w:bCs/>
                          <w:color w:val="444661"/>
                          <w:kern w:val="24"/>
                          <w:sz w:val="72"/>
                          <w:szCs w:val="72"/>
                        </w:rPr>
                        <w:t>DZIAŁANIA</w:t>
                      </w:r>
                    </w:p>
                  </w:txbxContent>
                </v:textbox>
                <w10:wrap anchorx="margin"/>
              </v:shape>
            </w:pict>
          </mc:Fallback>
        </mc:AlternateContent>
      </w:r>
      <w:r>
        <w:rPr>
          <w:noProof/>
        </w:rPr>
        <mc:AlternateContent>
          <mc:Choice Requires="wps">
            <w:drawing>
              <wp:anchor distT="0" distB="0" distL="114300" distR="114300" simplePos="0" relativeHeight="251614208" behindDoc="0" locked="0" layoutInCell="1" allowOverlap="1" wp14:anchorId="39C7D3BA" wp14:editId="447FA705">
                <wp:simplePos x="0" y="0"/>
                <wp:positionH relativeFrom="column">
                  <wp:posOffset>-598805</wp:posOffset>
                </wp:positionH>
                <wp:positionV relativeFrom="paragraph">
                  <wp:posOffset>6018530</wp:posOffset>
                </wp:positionV>
                <wp:extent cx="6983730" cy="2291080"/>
                <wp:effectExtent l="0" t="0" r="0" b="0"/>
                <wp:wrapNone/>
                <wp:docPr id="1377140744" name="Prostokąt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983730" cy="2291080"/>
                        </a:xfrm>
                        <a:prstGeom prst="rect">
                          <a:avLst/>
                        </a:prstGeom>
                        <a:solidFill>
                          <a:schemeClr val="bg2"/>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ect w14:anchorId="623A1C00" id="Prostokąt 6" o:spid="_x0000_s1026" style="position:absolute;margin-left:-47.15pt;margin-top:473.9pt;width:549.9pt;height:180.4pt;z-index:25161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" fillcolor="#e7e6e6 [3214]" stroked="f" strokeweight="1pt"/>
            </w:pict>
          </mc:Fallback>
        </mc:AlternateContent>
      </w:r>
      <w:r w:rsidR="005F4621">
        <w:br w:type="page"/>
      </w:r>
    </w:p>
    <w:p w14:paraId="03AAC032" w14:textId="7B026FEE" w:rsidR="005F4621" w:rsidRPr="005F4621" w:rsidRDefault="005F4621" w:rsidP="005F4621">
      <w:pPr>
        <w:sectPr w:rsidR="005F4621" w:rsidRPr="005F4621" w:rsidSect="005209BA">
          <w:pgSz w:w="11906" w:h="16838"/>
          <w:pgMar w:top="1417" w:right="1417" w:bottom="1417" w:left="1417" w:header="708" w:footer="708" w:gutter="0"/>
          <w:cols w:space="708"/>
          <w:docGrid w:linePitch="360"/>
        </w:sectPr>
      </w:pPr>
    </w:p>
    <w:p w14:paraId="7027691A" w14:textId="1502202F" w:rsidR="006D2F10" w:rsidRPr="005622DF" w:rsidRDefault="005E059A" w:rsidP="0057223B">
      <w:pPr>
        <w:pStyle w:val="Nagwek2"/>
        <w:rPr>
          <w:color w:val="FFFFFF" w:themeColor="background1"/>
        </w:rPr>
      </w:pPr>
      <w:bookmarkStart w:id="265" w:name="_Toc159598355"/>
      <w:bookmarkStart w:id="266" w:name="_Toc179537008"/>
      <w:r>
        <w:rPr>
          <w:noProof/>
        </w:rPr>
        <mc:AlternateContent>
          <mc:Choice Requires="wps">
            <w:drawing>
              <wp:anchor distT="0" distB="0" distL="114300" distR="114300" simplePos="0" relativeHeight="251623424" behindDoc="0" locked="0" layoutInCell="1" allowOverlap="1" wp14:anchorId="2366DCAB" wp14:editId="3203C3C2">
                <wp:simplePos x="0" y="0"/>
                <wp:positionH relativeFrom="margin">
                  <wp:posOffset>-627380</wp:posOffset>
                </wp:positionH>
                <wp:positionV relativeFrom="paragraph">
                  <wp:posOffset>-575919</wp:posOffset>
                </wp:positionV>
                <wp:extent cx="6983730" cy="1814195"/>
                <wp:effectExtent l="0" t="0" r="0" b="0"/>
                <wp:wrapNone/>
                <wp:docPr id="1492077722" name="Prostokąt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983730" cy="1814195"/>
                        </a:xfrm>
                        <a:prstGeom prst="rect">
                          <a:avLst/>
                        </a:prstGeom>
                        <a:solidFill>
                          <a:srgbClr val="70AD47">
                            <a:alpha val="80000"/>
                          </a:srgbClr>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32654B71" w14:textId="77992551" w:rsidR="006D2F10" w:rsidRDefault="00924DDE" w:rsidP="006D2F10">
                            <w:pPr>
                              <w:spacing w:after="0"/>
                              <w:ind w:left="993" w:right="706"/>
                              <w:jc w:val="left"/>
                              <w:rPr>
                                <w:rFonts w:ascii="Bahnschrift" w:hAnsi="Bahnschrift"/>
                                <w:color w:val="FFFFFF" w:themeColor="light1"/>
                                <w:kern w:val="24"/>
                                <w:sz w:val="56"/>
                                <w:szCs w:val="56"/>
                                <w14:ligatures w14:val="none"/>
                              </w:rPr>
                            </w:pPr>
                            <w:r>
                              <w:rPr>
                                <w:rFonts w:ascii="Bahnschrift" w:hAnsi="Bahnschrift"/>
                                <w:color w:val="FFFFFF" w:themeColor="light1"/>
                                <w:kern w:val="24"/>
                                <w:sz w:val="56"/>
                                <w:szCs w:val="56"/>
                              </w:rPr>
                              <w:t>W</w:t>
                            </w:r>
                            <w:r w:rsidR="00517CE9">
                              <w:rPr>
                                <w:rFonts w:ascii="Bahnschrift" w:hAnsi="Bahnschrift"/>
                                <w:color w:val="FFFFFF" w:themeColor="light1"/>
                                <w:kern w:val="24"/>
                                <w:sz w:val="56"/>
                                <w:szCs w:val="56"/>
                              </w:rPr>
                              <w:t>y</w:t>
                            </w:r>
                            <w:r w:rsidR="006D2F10">
                              <w:rPr>
                                <w:rFonts w:ascii="Bahnschrift" w:hAnsi="Bahnschrift"/>
                                <w:color w:val="FFFFFF" w:themeColor="light1"/>
                                <w:kern w:val="24"/>
                                <w:sz w:val="56"/>
                                <w:szCs w:val="56"/>
                              </w:rPr>
                              <w:t xml:space="preserve">miar </w:t>
                            </w:r>
                            <w:r>
                              <w:rPr>
                                <w:rFonts w:ascii="Bahnschrift" w:hAnsi="Bahnschrift"/>
                                <w:color w:val="FFFFFF" w:themeColor="light1"/>
                                <w:kern w:val="24"/>
                                <w:sz w:val="56"/>
                                <w:szCs w:val="56"/>
                              </w:rPr>
                              <w:t>1.</w:t>
                            </w:r>
                            <w:r w:rsidR="006D2F10">
                              <w:rPr>
                                <w:rFonts w:ascii="Bahnschrift" w:hAnsi="Bahnschrift"/>
                                <w:color w:val="FFFFFF" w:themeColor="light1"/>
                                <w:kern w:val="24"/>
                                <w:sz w:val="72"/>
                                <w:szCs w:val="72"/>
                              </w:rPr>
                              <w:br/>
                            </w:r>
                            <w:r w:rsidR="006D2F10" w:rsidRPr="009F667D">
                              <w:rPr>
                                <w:rFonts w:ascii="Bahnschrift" w:hAnsi="Bahnschrift"/>
                                <w:b/>
                                <w:bCs/>
                                <w:color w:val="FFFFFF" w:themeColor="light1"/>
                                <w:kern w:val="24"/>
                                <w:sz w:val="64"/>
                                <w:szCs w:val="64"/>
                              </w:rPr>
                              <w:t>Obniżenie emisyjności</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2366DCAB" id="Prostokąt 5" o:spid="_x0000_s1113" style="position:absolute;left:0;text-align:left;margin-left:-49.4pt;margin-top:-45.35pt;width:549.9pt;height:142.85pt;z-index:2516234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" fillcolor="#70ad47" stroked="f" strokeweight="1pt">
                <v:fill opacity="52428f"/>
                <v:textbox>
                  <w:txbxContent>
                    <w:p w14:paraId="32654B71" w14:textId="77992551" w:rsidR="006D2F10" w:rsidRDefault="00924DDE" w:rsidP="006D2F10">
                      <w:pPr>
                        <w:spacing w:after="0"/>
                        <w:ind w:left="993" w:right="706"/>
                        <w:jc w:val="left"/>
                        <w:rPr>
                          <w:rFonts w:ascii="Bahnschrift" w:hAnsi="Bahnschrift"/>
                          <w:color w:val="FFFFFF" w:themeColor="light1"/>
                          <w:kern w:val="24"/>
                          <w:sz w:val="56"/>
                          <w:szCs w:val="56"/>
                          <w14:ligatures w14:val="none"/>
                        </w:rPr>
                      </w:pPr>
                      <w:r>
                        <w:rPr>
                          <w:rFonts w:ascii="Bahnschrift" w:hAnsi="Bahnschrift"/>
                          <w:color w:val="FFFFFF" w:themeColor="light1"/>
                          <w:kern w:val="24"/>
                          <w:sz w:val="56"/>
                          <w:szCs w:val="56"/>
                        </w:rPr>
                        <w:t>W</w:t>
                      </w:r>
                      <w:r w:rsidR="00517CE9">
                        <w:rPr>
                          <w:rFonts w:ascii="Bahnschrift" w:hAnsi="Bahnschrift"/>
                          <w:color w:val="FFFFFF" w:themeColor="light1"/>
                          <w:kern w:val="24"/>
                          <w:sz w:val="56"/>
                          <w:szCs w:val="56"/>
                        </w:rPr>
                        <w:t>y</w:t>
                      </w:r>
                      <w:r w:rsidR="006D2F10">
                        <w:rPr>
                          <w:rFonts w:ascii="Bahnschrift" w:hAnsi="Bahnschrift"/>
                          <w:color w:val="FFFFFF" w:themeColor="light1"/>
                          <w:kern w:val="24"/>
                          <w:sz w:val="56"/>
                          <w:szCs w:val="56"/>
                        </w:rPr>
                        <w:t xml:space="preserve">miar </w:t>
                      </w:r>
                      <w:r>
                        <w:rPr>
                          <w:rFonts w:ascii="Bahnschrift" w:hAnsi="Bahnschrift"/>
                          <w:color w:val="FFFFFF" w:themeColor="light1"/>
                          <w:kern w:val="24"/>
                          <w:sz w:val="56"/>
                          <w:szCs w:val="56"/>
                        </w:rPr>
                        <w:t>1.</w:t>
                      </w:r>
                      <w:r w:rsidR="006D2F10">
                        <w:rPr>
                          <w:rFonts w:ascii="Bahnschrift" w:hAnsi="Bahnschrift"/>
                          <w:color w:val="FFFFFF" w:themeColor="light1"/>
                          <w:kern w:val="24"/>
                          <w:sz w:val="72"/>
                          <w:szCs w:val="72"/>
                        </w:rPr>
                        <w:br/>
                      </w:r>
                      <w:r w:rsidR="006D2F10" w:rsidRPr="009F667D">
                        <w:rPr>
                          <w:rFonts w:ascii="Bahnschrift" w:hAnsi="Bahnschrift"/>
                          <w:b/>
                          <w:bCs/>
                          <w:color w:val="FFFFFF" w:themeColor="light1"/>
                          <w:kern w:val="24"/>
                          <w:sz w:val="64"/>
                          <w:szCs w:val="64"/>
                        </w:rPr>
                        <w:t>Obniżenie emisyjności</w:t>
                      </w:r>
                    </w:p>
                  </w:txbxContent>
                </v:textbox>
                <w10:wrap anchorx="margin"/>
              </v:rect>
            </w:pict>
          </mc:Fallback>
        </mc:AlternateContent>
      </w:r>
      <w:r w:rsidR="0057223B" w:rsidRPr="005622DF">
        <w:rPr>
          <w:color w:val="FFFFFF" w:themeColor="background1"/>
        </w:rPr>
        <w:t>Obniżenie emisyjności</w:t>
      </w:r>
      <w:bookmarkEnd w:id="265"/>
      <w:bookmarkEnd w:id="266"/>
    </w:p>
    <w:p w14:paraId="6BF4CB24" w14:textId="77777777" w:rsidR="006D2F10" w:rsidRDefault="006D2F10" w:rsidP="006D2F10"/>
    <w:p w14:paraId="1D72145B" w14:textId="77777777" w:rsidR="006D2F10" w:rsidRDefault="006D2F10" w:rsidP="006D2F10"/>
    <w:p w14:paraId="241939E9" w14:textId="77777777" w:rsidR="006D2F10" w:rsidRDefault="006D2F10" w:rsidP="006D2F10"/>
    <w:p w14:paraId="211A7C52" w14:textId="47FB8DE3" w:rsidR="00F721EE" w:rsidRPr="00F12C9E" w:rsidRDefault="00F721EE" w:rsidP="00CE5AEF">
      <w:pPr>
        <w:pStyle w:val="Nagwek6"/>
      </w:pPr>
      <w:bookmarkStart w:id="267" w:name="_Ref157417713"/>
      <w:bookmarkStart w:id="268" w:name="_Hlk173431978"/>
      <w:r w:rsidRPr="00F12C9E">
        <w:t xml:space="preserve">Działanie </w:t>
      </w:r>
      <w:r w:rsidR="005C2642">
        <w:fldChar w:fldCharType="begin"/>
      </w:r>
      <w:r w:rsidR="005C2642">
        <w:instrText xml:space="preserve"> SEQ Działanie \* ARABIC </w:instrText>
      </w:r>
      <w:r w:rsidR="005C2642">
        <w:fldChar w:fldCharType="separate"/>
      </w:r>
      <w:r w:rsidR="00DD3929">
        <w:rPr>
          <w:noProof/>
        </w:rPr>
        <w:t>1</w:t>
      </w:r>
      <w:r w:rsidR="005C2642">
        <w:rPr>
          <w:noProof/>
        </w:rPr>
        <w:fldChar w:fldCharType="end"/>
      </w:r>
      <w:r w:rsidRPr="00F12C9E">
        <w:t>.</w:t>
      </w:r>
      <w:r w:rsidR="002A6DFA" w:rsidRPr="00F12C9E">
        <w:t xml:space="preserve"> </w:t>
      </w:r>
      <w:r w:rsidRPr="00F12C9E">
        <w:t>Uczestnictwo w systemie handlu emisjami EU-ETS.</w:t>
      </w:r>
      <w:bookmarkEnd w:id="267"/>
    </w:p>
    <w:p w14:paraId="10202AD6" w14:textId="75A55836" w:rsidR="00F721EE" w:rsidRDefault="00F721EE" w:rsidP="00BA3E0C">
      <w:r w:rsidRPr="009F0F44">
        <w:t>System handlu uprawnieniami do emisji funkcjonujący w UE od 2005 r., obejmuje instalacje z sektorów gospodarki emitujących gazy cieplarniane (energetyka, przemysł) oraz operatorów statków powietrznych (loty w ramach UE i EOG)</w:t>
      </w:r>
      <w:r w:rsidR="0092187F">
        <w:t xml:space="preserve"> i morskie przedsiębiorstwa żeglugowe (rejsy w ramach UE i EOG)</w:t>
      </w:r>
      <w:r w:rsidR="0092187F" w:rsidRPr="009F0F44">
        <w:t>. Każda instalacja</w:t>
      </w:r>
      <w:r w:rsidR="0092187F">
        <w:t>,</w:t>
      </w:r>
      <w:r w:rsidR="0092187F" w:rsidRPr="009F0F44">
        <w:t xml:space="preserve"> operator statków powietrznych</w:t>
      </w:r>
      <w:r w:rsidR="0092187F">
        <w:t xml:space="preserve"> lub morskie przedsiębiorstwo żeglugowe</w:t>
      </w:r>
      <w:r w:rsidR="0092187F" w:rsidRPr="009F0F44">
        <w:t xml:space="preserve"> objęt</w:t>
      </w:r>
      <w:r w:rsidR="0092187F">
        <w:t>e</w:t>
      </w:r>
      <w:r w:rsidR="0092187F" w:rsidRPr="009F0F44">
        <w:t xml:space="preserve"> systemem musi corocznie rozliczać swoje emisje gazów cieplarnianych uprawnieniami do emisji (EUA).</w:t>
      </w:r>
      <w:r w:rsidR="008B2371">
        <w:t xml:space="preserve"> </w:t>
      </w:r>
      <w:r w:rsidRPr="009F0F44">
        <w:t xml:space="preserve">Konieczność zakupu uprawnień motywuje </w:t>
      </w:r>
      <w:r w:rsidR="00117B86">
        <w:t xml:space="preserve">podmioty zobowiązane do uczestnictwa w systemie </w:t>
      </w:r>
      <w:r w:rsidRPr="009F0F44">
        <w:t>do działań dekarbonizacyjnych.</w:t>
      </w:r>
    </w:p>
    <w:p w14:paraId="23C369F6" w14:textId="0D5A90EA" w:rsidR="007B2658" w:rsidRDefault="007B2658" w:rsidP="00B4077C">
      <w:pPr>
        <w:pStyle w:val="Nagwek6"/>
      </w:pPr>
      <w:bookmarkStart w:id="269" w:name="_Ref159078277"/>
      <w:bookmarkEnd w:id="268"/>
      <w:r w:rsidRPr="00F12C9E">
        <w:t xml:space="preserve">Działanie </w:t>
      </w:r>
      <w:r w:rsidR="005C2642">
        <w:fldChar w:fldCharType="begin"/>
      </w:r>
      <w:r w:rsidR="005C2642">
        <w:instrText xml:space="preserve"> SEQ Działanie \* ARABIC </w:instrText>
      </w:r>
      <w:r w:rsidR="005C2642">
        <w:fldChar w:fldCharType="separate"/>
      </w:r>
      <w:r w:rsidR="00DD3929">
        <w:rPr>
          <w:noProof/>
        </w:rPr>
        <w:t>2</w:t>
      </w:r>
      <w:r w:rsidR="005C2642">
        <w:rPr>
          <w:noProof/>
        </w:rPr>
        <w:fldChar w:fldCharType="end"/>
      </w:r>
      <w:r w:rsidRPr="00F12C9E">
        <w:t>.</w:t>
      </w:r>
      <w:r w:rsidRPr="003248FD">
        <w:t xml:space="preserve"> </w:t>
      </w:r>
      <w:r w:rsidRPr="00F12C9E">
        <w:t>Instrument finansowy – obowiązek zakupu energii elektrycznej wytwarzanej w</w:t>
      </w:r>
      <w:r>
        <w:t> </w:t>
      </w:r>
      <w:r w:rsidRPr="00F12C9E">
        <w:t>instalacjach OZE</w:t>
      </w:r>
      <w:r w:rsidR="00C50AD0">
        <w:t xml:space="preserve"> (z określonym progiem mocy)</w:t>
      </w:r>
      <w:r w:rsidRPr="00F12C9E">
        <w:t>.</w:t>
      </w:r>
      <w:bookmarkEnd w:id="269"/>
    </w:p>
    <w:p w14:paraId="724658D0" w14:textId="77777777" w:rsidR="007B2658" w:rsidRDefault="007B2658" w:rsidP="007B2658">
      <w:r w:rsidRPr="009F0F44">
        <w:t>Działanie polega na obowiązku zakupu energii z instalacji OZE poniżej 500</w:t>
      </w:r>
      <w:r>
        <w:t xml:space="preserve"> </w:t>
      </w:r>
      <w:r w:rsidRPr="009F0F44">
        <w:t xml:space="preserve">kW przez zobowiązanego sprzedawcę. Sprzedawcą zobowiązanym określamy podmiot, który musi kupić i rozliczyć energię pochodzącą z odnawialnych źródeł energii. Listę sprzedawców zobowiązanych publikuje co roku Prezes Urzędu Regulacji Energetyki. </w:t>
      </w:r>
    </w:p>
    <w:p w14:paraId="0FCA1DEC" w14:textId="77777777" w:rsidR="007B2658" w:rsidRPr="009F0F44" w:rsidRDefault="007B2658" w:rsidP="007B2658">
      <w:r>
        <w:t>W związku ze zmianą przepisów r</w:t>
      </w:r>
      <w:r w:rsidRPr="00DD55B7">
        <w:t>ozporządzeni</w:t>
      </w:r>
      <w:r>
        <w:t>a</w:t>
      </w:r>
      <w:r w:rsidRPr="00DD55B7">
        <w:t xml:space="preserve"> Komisji (UE) 2023/1315 z dnia 23 czerwca 2023 r. zmieniające</w:t>
      </w:r>
      <w:r>
        <w:t>go</w:t>
      </w:r>
      <w:r w:rsidRPr="00DD55B7">
        <w:t xml:space="preserve"> rozporządzenie (UE) nr 651/2014 uznające</w:t>
      </w:r>
      <w:r>
        <w:t>go</w:t>
      </w:r>
      <w:r w:rsidRPr="00DD55B7">
        <w:t xml:space="preserve"> niektóre rodzaje pomocy za zgodne z</w:t>
      </w:r>
      <w:r>
        <w:t> </w:t>
      </w:r>
      <w:r w:rsidRPr="00DD55B7">
        <w:t>rynkiem wewnętrznym w zastosowaniu art. 107 i 108 Traktatu oraz rozporządzeni</w:t>
      </w:r>
      <w:r>
        <w:t>a</w:t>
      </w:r>
      <w:r w:rsidRPr="00DD55B7">
        <w:t xml:space="preserve"> (UE) 2022/2473</w:t>
      </w:r>
      <w:r>
        <w:t xml:space="preserve"> planowane jest obniżenie progu mocy zainstalowanej elektrycznej dla instalacji objętej tym mechanizmem z 500 kW do 400 kW w drugiej połowie 2024 r. oraz do 200 kW od dnia 1 stycznia 2026 r. </w:t>
      </w:r>
    </w:p>
    <w:p w14:paraId="14FF8F0C" w14:textId="4B4756D5" w:rsidR="00F721EE" w:rsidRPr="00F12C9E" w:rsidRDefault="00F721EE" w:rsidP="00B4077C">
      <w:pPr>
        <w:pStyle w:val="Nagwek6"/>
      </w:pPr>
      <w:bookmarkStart w:id="270" w:name="_Ref157418135"/>
      <w:r w:rsidRPr="00F12C9E">
        <w:t xml:space="preserve">Działanie </w:t>
      </w:r>
      <w:r w:rsidR="005C2642">
        <w:fldChar w:fldCharType="begin"/>
      </w:r>
      <w:r w:rsidR="005C2642">
        <w:instrText xml:space="preserve"> SEQ Działanie \* ARABIC </w:instrText>
      </w:r>
      <w:r w:rsidR="005C2642">
        <w:fldChar w:fldCharType="separate"/>
      </w:r>
      <w:r w:rsidR="00DD3929">
        <w:rPr>
          <w:noProof/>
        </w:rPr>
        <w:t>3</w:t>
      </w:r>
      <w:r w:rsidR="005C2642">
        <w:rPr>
          <w:noProof/>
        </w:rPr>
        <w:fldChar w:fldCharType="end"/>
      </w:r>
      <w:r w:rsidRPr="00F12C9E">
        <w:t>.</w:t>
      </w:r>
      <w:r w:rsidR="006D0C65" w:rsidRPr="00F12C9E">
        <w:t xml:space="preserve"> </w:t>
      </w:r>
      <w:r w:rsidRPr="00F12C9E">
        <w:t>Instrument finansowy – system świadectw pochodzenia OZE.</w:t>
      </w:r>
      <w:bookmarkEnd w:id="270"/>
    </w:p>
    <w:p w14:paraId="2B1F753C" w14:textId="1D52C7C2" w:rsidR="00F721EE" w:rsidRPr="009F0F44" w:rsidRDefault="00117B86" w:rsidP="00BA3E0C">
      <w:r>
        <w:t>Wytwórcy energii w OZE, którzy uruchomili swoje i</w:t>
      </w:r>
      <w:r w:rsidRPr="009D15B8">
        <w:t xml:space="preserve">nstalacje </w:t>
      </w:r>
      <w:r>
        <w:t>p</w:t>
      </w:r>
      <w:r w:rsidRPr="009D15B8">
        <w:t>rzed 1 lipca 2016 r.</w:t>
      </w:r>
      <w:r>
        <w:t>, są uprawnieni do otrzymania wsparcia w postaci tzw. c</w:t>
      </w:r>
      <w:r w:rsidRPr="009F0F44">
        <w:t>ertyfikat</w:t>
      </w:r>
      <w:r>
        <w:t xml:space="preserve">ów, czyli praw majątkowych do </w:t>
      </w:r>
      <w:r w:rsidRPr="009F0F44">
        <w:t>świadectw pochodzenia OZE</w:t>
      </w:r>
      <w:r>
        <w:t>.</w:t>
      </w:r>
      <w:r w:rsidRPr="009F0F44">
        <w:t xml:space="preserve"> </w:t>
      </w:r>
      <w:r>
        <w:t xml:space="preserve">Certyfikaty </w:t>
      </w:r>
      <w:r w:rsidRPr="009F0F44">
        <w:t xml:space="preserve">powstają w wyniku </w:t>
      </w:r>
      <w:r>
        <w:t>rejestracji tychże świadectw pochodzenia w rejestrze</w:t>
      </w:r>
      <w:r w:rsidRPr="009F0F44">
        <w:t xml:space="preserve"> </w:t>
      </w:r>
      <w:r>
        <w:t>prowadzonym przez Towarową Giełdę Energii. Certyfikaty p</w:t>
      </w:r>
      <w:r w:rsidRPr="009F0F44">
        <w:t xml:space="preserve">odlegają </w:t>
      </w:r>
      <w:r>
        <w:t xml:space="preserve">również </w:t>
      </w:r>
      <w:r w:rsidRPr="009F0F44">
        <w:t>obrotowi na Towarowej Giełdzie Energii</w:t>
      </w:r>
      <w:r>
        <w:t>, gdzie</w:t>
      </w:r>
      <w:r w:rsidRPr="009F0F44">
        <w:t xml:space="preserve"> </w:t>
      </w:r>
      <w:r>
        <w:t>są kupowane</w:t>
      </w:r>
      <w:r w:rsidRPr="009F0F44">
        <w:t xml:space="preserve"> </w:t>
      </w:r>
      <w:r>
        <w:t xml:space="preserve">przez odbiorców i </w:t>
      </w:r>
      <w:r w:rsidRPr="009F0F44">
        <w:t xml:space="preserve">przedsiębiorstwa energetyczne zobowiązane ustawowo </w:t>
      </w:r>
      <w:r>
        <w:t>do umorzenia</w:t>
      </w:r>
      <w:r w:rsidRPr="009F0F44">
        <w:t xml:space="preserve"> </w:t>
      </w:r>
      <w:r>
        <w:t xml:space="preserve">świadectw pochodzenia OZE. Wysokość obowiązku jest ustalana </w:t>
      </w:r>
      <w:r w:rsidRPr="009F0F44">
        <w:t>rozporządzeni</w:t>
      </w:r>
      <w:r>
        <w:t>em ministra właściwego ds. energii względem energii zużytej na własne potrzeby lub sprzedanej odbiorcom końcowym</w:t>
      </w:r>
      <w:r w:rsidRPr="009F0F44">
        <w:t xml:space="preserve">. </w:t>
      </w:r>
      <w:r>
        <w:t>Wsparcie w postaci certyfikatów przysługuje wytwórcom przez okres maksymalnie 15 lat, nie dłużej niż do 30 czerwca 2031 r.</w:t>
      </w:r>
      <w:r w:rsidR="00F721EE" w:rsidRPr="009F0F44">
        <w:t xml:space="preserve"> </w:t>
      </w:r>
    </w:p>
    <w:p w14:paraId="0DC4F167" w14:textId="4F6D2EB9" w:rsidR="00F721EE" w:rsidRPr="00F12C9E" w:rsidRDefault="00F721EE" w:rsidP="00B4077C">
      <w:pPr>
        <w:pStyle w:val="Nagwek6"/>
      </w:pPr>
      <w:bookmarkStart w:id="271" w:name="_Ref157418247"/>
      <w:r w:rsidRPr="00F12C9E">
        <w:t xml:space="preserve">Działanie </w:t>
      </w:r>
      <w:r w:rsidR="005C2642">
        <w:fldChar w:fldCharType="begin"/>
      </w:r>
      <w:r w:rsidR="005C2642">
        <w:instrText xml:space="preserve"> SEQ Działanie \* ARABIC </w:instrText>
      </w:r>
      <w:r w:rsidR="005C2642">
        <w:fldChar w:fldCharType="separate"/>
      </w:r>
      <w:r w:rsidR="00DD3929">
        <w:rPr>
          <w:noProof/>
        </w:rPr>
        <w:t>4</w:t>
      </w:r>
      <w:r w:rsidR="005C2642">
        <w:rPr>
          <w:noProof/>
        </w:rPr>
        <w:fldChar w:fldCharType="end"/>
      </w:r>
      <w:r w:rsidRPr="00F12C9E">
        <w:t>.</w:t>
      </w:r>
      <w:r w:rsidR="006D0C65" w:rsidRPr="00F12C9E">
        <w:t xml:space="preserve"> </w:t>
      </w:r>
      <w:r w:rsidRPr="00F12C9E">
        <w:t>Instrument finansowy – aukcyjny system OZE.</w:t>
      </w:r>
      <w:bookmarkEnd w:id="271"/>
    </w:p>
    <w:p w14:paraId="576DB058" w14:textId="56B0DD62" w:rsidR="00F721EE" w:rsidRDefault="00F721EE" w:rsidP="00BA3E0C">
      <w:r w:rsidRPr="009F0F44">
        <w:t>System wsparcia dla źródeł OZE przyznawanego w ramach aukcji, odbywających się w podziale na koszyki technologiczne i moc instalacji. Dotyczy zarówno źródeł mniejszych tj. o mocy poniżej 1 MW</w:t>
      </w:r>
      <w:r w:rsidR="00117B86">
        <w:t>,</w:t>
      </w:r>
      <w:r w:rsidRPr="009F0F44">
        <w:t xml:space="preserve"> jak i</w:t>
      </w:r>
      <w:r w:rsidR="00117B86">
        <w:t> </w:t>
      </w:r>
      <w:r w:rsidRPr="009F0F44">
        <w:t>większych tj. o mocy powyżej 1 MW. Gwarantuje wytwórcom przez 15 lat stały przychód w wysokości ceny za energię ze zwycięskiej oferty w aukcji na zasadzie kontraktu różnicowego.</w:t>
      </w:r>
    </w:p>
    <w:p w14:paraId="5570F77F" w14:textId="0A60B28E" w:rsidR="00117B86" w:rsidRDefault="00117B86" w:rsidP="00BA3E0C">
      <w:r>
        <w:t xml:space="preserve">Po wydaniu pozytywnej decyzji przez Komisję Europejską o zgodności pomocy publicznej </w:t>
      </w:r>
      <w:r w:rsidRPr="00DD55B7">
        <w:t xml:space="preserve">z rynkiem wewnętrznym </w:t>
      </w:r>
      <w:r>
        <w:t>UE planuje się włączenie do aukcji zmodernizowanych</w:t>
      </w:r>
      <w:r w:rsidRPr="00DD55B7">
        <w:t xml:space="preserve"> </w:t>
      </w:r>
      <w:r>
        <w:t>instalacji OZE o mocy zainstalowanej elektrycznej większej niż 1 MW. Modernizacja z prawem uczestnictwa w aukcjach OZE</w:t>
      </w:r>
      <w:r w:rsidRPr="00C97C0F">
        <w:t xml:space="preserve"> </w:t>
      </w:r>
      <w:r>
        <w:t>przewidziana</w:t>
      </w:r>
      <w:r w:rsidRPr="00C97C0F">
        <w:t xml:space="preserve"> </w:t>
      </w:r>
      <w:r>
        <w:t xml:space="preserve">jest </w:t>
      </w:r>
      <w:r w:rsidRPr="00C97C0F">
        <w:t xml:space="preserve">dla wytwórców energii </w:t>
      </w:r>
      <w:r>
        <w:t>w</w:t>
      </w:r>
      <w:r w:rsidRPr="00C97C0F">
        <w:t xml:space="preserve"> instalacj</w:t>
      </w:r>
      <w:r>
        <w:t>ach OZE</w:t>
      </w:r>
      <w:r w:rsidRPr="00C97C0F">
        <w:t xml:space="preserve"> będących w stanie technicznym umożliwiającym ich dalszą eksploatację</w:t>
      </w:r>
      <w:r w:rsidR="005B546E">
        <w:t>.</w:t>
      </w:r>
    </w:p>
    <w:p w14:paraId="40513405" w14:textId="12213571" w:rsidR="00F721EE" w:rsidRPr="00F12C9E" w:rsidRDefault="00F721EE" w:rsidP="00B4077C">
      <w:pPr>
        <w:pStyle w:val="Nagwek6"/>
      </w:pPr>
      <w:bookmarkStart w:id="272" w:name="_Ref157418226"/>
      <w:r w:rsidRPr="00F12C9E">
        <w:t xml:space="preserve">Działanie </w:t>
      </w:r>
      <w:r w:rsidR="005C2642">
        <w:fldChar w:fldCharType="begin"/>
      </w:r>
      <w:r w:rsidR="005C2642">
        <w:instrText xml:space="preserve"> SEQ Działanie \* ARABIC </w:instrText>
      </w:r>
      <w:r w:rsidR="005C2642">
        <w:fldChar w:fldCharType="separate"/>
      </w:r>
      <w:r w:rsidR="00DD3929">
        <w:rPr>
          <w:noProof/>
        </w:rPr>
        <w:t>5</w:t>
      </w:r>
      <w:r w:rsidR="005C2642">
        <w:rPr>
          <w:noProof/>
        </w:rPr>
        <w:fldChar w:fldCharType="end"/>
      </w:r>
      <w:r w:rsidRPr="00F12C9E">
        <w:t>.</w:t>
      </w:r>
      <w:r w:rsidR="006D0C65" w:rsidRPr="00F12C9E">
        <w:t xml:space="preserve"> </w:t>
      </w:r>
      <w:r w:rsidRPr="00F12C9E">
        <w:t>Instrument finansowy – system taryf gwarantow</w:t>
      </w:r>
      <w:r w:rsidR="006D0C65" w:rsidRPr="00F12C9E">
        <w:t>a</w:t>
      </w:r>
      <w:r w:rsidRPr="00F12C9E">
        <w:t>nych i dopłat do OZE.</w:t>
      </w:r>
      <w:bookmarkEnd w:id="272"/>
    </w:p>
    <w:p w14:paraId="33C796C2" w14:textId="509BAD58" w:rsidR="00F63A67" w:rsidRDefault="00F721EE" w:rsidP="00BA3E0C">
      <w:r w:rsidRPr="009F0F44">
        <w:t xml:space="preserve">System wsparcia dla małych źródeł OZE (tj. o mocy </w:t>
      </w:r>
      <w:r w:rsidR="00637929">
        <w:t xml:space="preserve">do </w:t>
      </w:r>
      <w:r w:rsidRPr="009F0F44">
        <w:t>1 MW) opiera się na taryfach gwar</w:t>
      </w:r>
      <w:r w:rsidR="006D0C65">
        <w:t>a</w:t>
      </w:r>
      <w:r w:rsidRPr="009F0F44">
        <w:t>ntowanych w</w:t>
      </w:r>
      <w:r w:rsidR="00637929">
        <w:t> </w:t>
      </w:r>
      <w:r w:rsidR="006D0C65" w:rsidRPr="009F0F44">
        <w:t>postaci</w:t>
      </w:r>
      <w:r w:rsidRPr="009F0F44">
        <w:t xml:space="preserve"> FIT (</w:t>
      </w:r>
      <w:r w:rsidR="00F63A67">
        <w:t xml:space="preserve">ang. </w:t>
      </w:r>
      <w:r w:rsidRPr="00F63A67">
        <w:rPr>
          <w:i/>
          <w:iCs/>
        </w:rPr>
        <w:t>feed-in tariff</w:t>
      </w:r>
      <w:r w:rsidRPr="009F0F44">
        <w:t>) oraz FIP (</w:t>
      </w:r>
      <w:r w:rsidR="00F63A67">
        <w:t xml:space="preserve">ang. </w:t>
      </w:r>
      <w:r w:rsidRPr="00F63A67">
        <w:rPr>
          <w:i/>
          <w:iCs/>
        </w:rPr>
        <w:t>feed-in premium</w:t>
      </w:r>
      <w:r w:rsidRPr="009F0F44">
        <w:t>)</w:t>
      </w:r>
      <w:r w:rsidR="00F63A67">
        <w:t>.</w:t>
      </w:r>
      <w:r w:rsidRPr="009F0F44">
        <w:t xml:space="preserve"> </w:t>
      </w:r>
      <w:r w:rsidR="00F63A67">
        <w:t xml:space="preserve">Obydwa systemy </w:t>
      </w:r>
      <w:r w:rsidR="00F63A67" w:rsidRPr="009F0F44">
        <w:t>przewidzian</w:t>
      </w:r>
      <w:r w:rsidR="00F63A67">
        <w:t>e są</w:t>
      </w:r>
      <w:r w:rsidR="00F63A67" w:rsidRPr="009F0F44">
        <w:t xml:space="preserve"> dla instalacji biogazowych, biomasowych i wodnych</w:t>
      </w:r>
      <w:r w:rsidR="00F63A67">
        <w:t>, natomiast FIP obejmuje też instalacje biometanowe</w:t>
      </w:r>
      <w:r w:rsidR="00F63A67" w:rsidRPr="009F0F44">
        <w:t xml:space="preserve">. System FIT przeznaczony jest dla instalacji OZE o łącznej mocy zainstalowanej </w:t>
      </w:r>
      <w:r w:rsidR="00F63A67">
        <w:t>do</w:t>
      </w:r>
      <w:r w:rsidR="00F63A67" w:rsidRPr="009F0F44">
        <w:t xml:space="preserve"> 500 kW, natomiast system FIP </w:t>
      </w:r>
      <w:r w:rsidR="00F63A67">
        <w:t>–</w:t>
      </w:r>
      <w:r w:rsidR="00F63A67" w:rsidRPr="009F0F44">
        <w:t xml:space="preserve"> </w:t>
      </w:r>
      <w:r w:rsidR="00F63A67">
        <w:t>od 500 kW do 1 MW</w:t>
      </w:r>
      <w:r w:rsidR="00F63A67" w:rsidRPr="009F0F44">
        <w:t xml:space="preserve"> </w:t>
      </w:r>
      <w:r w:rsidR="00F63A67">
        <w:t>(w przypadku biometanu o łącznej mocy zainstalowanej do 1 MW).</w:t>
      </w:r>
    </w:p>
    <w:p w14:paraId="2511FD2F" w14:textId="4303B330" w:rsidR="00F63A67" w:rsidRDefault="00F63A67" w:rsidP="00BA3E0C">
      <w:r>
        <w:t>Po wydaniu pozytywnej decyzji przez Komisję Europejską o zgodności pomocy publicznej planuje się rozszerzenie systemu o zmodernizowane instalacje OZE o mocy do 1 MW. Podobnie jak w przypadku aukcji OZE</w:t>
      </w:r>
      <w:r w:rsidR="00F14D65">
        <w:t>,</w:t>
      </w:r>
      <w:r>
        <w:t xml:space="preserve"> do systemu będą mogły wejść instalacje OZE po modernizacji</w:t>
      </w:r>
      <w:r w:rsidRPr="00C97C0F">
        <w:t>, któr</w:t>
      </w:r>
      <w:r>
        <w:t>ych</w:t>
      </w:r>
      <w:r w:rsidRPr="00C97C0F">
        <w:t xml:space="preserve"> nakłady inwestycyjne wyniosą co najmniej 25% kosztów kwalifikacyjnych wybudowania nowej referencyjnej instalacji.</w:t>
      </w:r>
    </w:p>
    <w:p w14:paraId="44CF111F" w14:textId="670528C2" w:rsidR="004406B7" w:rsidRDefault="004406B7" w:rsidP="00B4077C">
      <w:pPr>
        <w:pStyle w:val="Nagwek6"/>
        <w:jc w:val="both"/>
      </w:pPr>
      <w:bookmarkStart w:id="273" w:name="_Ref159080606"/>
      <w:bookmarkStart w:id="274" w:name="_Ref159928248"/>
      <w:r w:rsidRPr="00F12C9E">
        <w:t xml:space="preserve">Działanie </w:t>
      </w:r>
      <w:r w:rsidR="005C2642">
        <w:fldChar w:fldCharType="begin"/>
      </w:r>
      <w:r w:rsidR="005C2642">
        <w:instrText xml:space="preserve"> SEQ Działanie \* ARABIC </w:instrText>
      </w:r>
      <w:r w:rsidR="005C2642">
        <w:fldChar w:fldCharType="separate"/>
      </w:r>
      <w:r w:rsidR="00DD3929">
        <w:rPr>
          <w:noProof/>
        </w:rPr>
        <w:t>6</w:t>
      </w:r>
      <w:r w:rsidR="005C2642">
        <w:rPr>
          <w:noProof/>
        </w:rPr>
        <w:fldChar w:fldCharType="end"/>
      </w:r>
      <w:r w:rsidRPr="00F12C9E">
        <w:t>.</w:t>
      </w:r>
      <w:r w:rsidRPr="004406B7">
        <w:t xml:space="preserve"> </w:t>
      </w:r>
      <w:r w:rsidRPr="00F12C9E">
        <w:t xml:space="preserve">Instrument finansowy – </w:t>
      </w:r>
      <w:r>
        <w:t>dodatkowe wsparcie operacyjne dla dyspozycyjnych OZE</w:t>
      </w:r>
      <w:bookmarkEnd w:id="273"/>
      <w:r w:rsidR="00A270C7">
        <w:t>.</w:t>
      </w:r>
      <w:bookmarkEnd w:id="274"/>
    </w:p>
    <w:p w14:paraId="3F7C1536" w14:textId="7FFE1618" w:rsidR="003248FD" w:rsidRDefault="003248FD" w:rsidP="004406B7">
      <w:r>
        <w:t>Od 1 lipca 2025 r. zapewnione będzie wsparcie dla instalacji OZE</w:t>
      </w:r>
      <w:r w:rsidR="00BC23E7">
        <w:t xml:space="preserve"> zapewniających stabilne dostawy energii, którym upłynął okres dotychczasowego wsparcia, a nadal mogą być eksploatowane,</w:t>
      </w:r>
      <w:r>
        <w:t xml:space="preserve"> ale charakteryzują się wysokimi kosztami operacyjnymi </w:t>
      </w:r>
      <w:r w:rsidR="00F14D65">
        <w:t>,</w:t>
      </w:r>
      <w:r>
        <w:t xml:space="preserve">przewyższającymi uzyskiwane przychody. Wsparcie </w:t>
      </w:r>
      <w:r w:rsidR="00BC23E7">
        <w:t>operacyjne będzie przyznawane w dwóch modelach – zależnie od mocy instalacji. S</w:t>
      </w:r>
      <w:r>
        <w:t xml:space="preserve">kierowane </w:t>
      </w:r>
      <w:r w:rsidR="00BC23E7">
        <w:t xml:space="preserve">będzie </w:t>
      </w:r>
      <w:r>
        <w:t>dla elektrowni:</w:t>
      </w:r>
    </w:p>
    <w:p w14:paraId="4472DF3C" w14:textId="35840969" w:rsidR="003248FD" w:rsidRDefault="003248FD" w:rsidP="001D4BA5">
      <w:pPr>
        <w:pStyle w:val="Akapitzlist"/>
        <w:numPr>
          <w:ilvl w:val="0"/>
          <w:numId w:val="22"/>
        </w:numPr>
      </w:pPr>
      <w:r>
        <w:t>wodnyc</w:t>
      </w:r>
      <w:r w:rsidR="00D83B8C">
        <w:t>h</w:t>
      </w:r>
      <w:r>
        <w:t xml:space="preserve">, </w:t>
      </w:r>
    </w:p>
    <w:p w14:paraId="05EACF40" w14:textId="77777777" w:rsidR="003248FD" w:rsidRDefault="003248FD" w:rsidP="001D4BA5">
      <w:pPr>
        <w:pStyle w:val="Akapitzlist"/>
        <w:numPr>
          <w:ilvl w:val="0"/>
          <w:numId w:val="22"/>
        </w:numPr>
      </w:pPr>
      <w:r>
        <w:t xml:space="preserve">biomasowych (obejmujących instalacje spalania biomasy, układy hybrydowe i instalacje spalania wielopaliwowego), </w:t>
      </w:r>
    </w:p>
    <w:p w14:paraId="1C1D848C" w14:textId="77777777" w:rsidR="003248FD" w:rsidRPr="009F0F44" w:rsidRDefault="003248FD" w:rsidP="001D4BA5">
      <w:pPr>
        <w:pStyle w:val="Akapitzlist"/>
        <w:numPr>
          <w:ilvl w:val="0"/>
          <w:numId w:val="22"/>
        </w:numPr>
      </w:pPr>
      <w:r>
        <w:t>biogazowych oraz wykorzystujących odpady (instalacje termicznego przekształcania odpadów w wysokosprawnej kogeneracji).</w:t>
      </w:r>
    </w:p>
    <w:p w14:paraId="5C254574" w14:textId="77777777" w:rsidR="00BC23E7" w:rsidRDefault="00BC23E7" w:rsidP="00BC23E7">
      <w:r>
        <w:t>D</w:t>
      </w:r>
      <w:r w:rsidRPr="003248FD">
        <w:t xml:space="preserve">la </w:t>
      </w:r>
      <w:r>
        <w:t xml:space="preserve">powyższych </w:t>
      </w:r>
      <w:r w:rsidRPr="003248FD">
        <w:t xml:space="preserve">instalacji o mocy </w:t>
      </w:r>
      <w:r>
        <w:t>większej niż</w:t>
      </w:r>
      <w:r w:rsidRPr="003248FD">
        <w:t xml:space="preserve"> 1 MW</w:t>
      </w:r>
      <w:r>
        <w:t xml:space="preserve"> planuje się uruchomić </w:t>
      </w:r>
      <w:r w:rsidRPr="00BC23E7">
        <w:rPr>
          <w:b/>
          <w:bCs/>
        </w:rPr>
        <w:t>aukcje na wsparcie operacyjne</w:t>
      </w:r>
      <w:r>
        <w:t xml:space="preserve">. gwarantować będą wytwórcom stały dochód w okresie roku i możliwość ponownego przystąpienia do wsparcia w roku kolejnym. </w:t>
      </w:r>
      <w:r w:rsidRPr="002306B1">
        <w:t>Maksymalny okres wsparcia również potrwa nie dłużej niż do dnia 31 grudnia 2034 r.</w:t>
      </w:r>
    </w:p>
    <w:p w14:paraId="6BBB3CF5" w14:textId="2B9DB6AD" w:rsidR="004406B7" w:rsidRPr="009F0F44" w:rsidRDefault="003248FD" w:rsidP="00D83B8C">
      <w:r>
        <w:t>D</w:t>
      </w:r>
      <w:r w:rsidRPr="003248FD">
        <w:t xml:space="preserve">la instalacji o mocy nie większej niż 1 MW </w:t>
      </w:r>
      <w:r w:rsidR="00D83B8C">
        <w:t xml:space="preserve">(w przypadku elektrowni wodnych do 5 MW) </w:t>
      </w:r>
      <w:r w:rsidRPr="003248FD">
        <w:t xml:space="preserve">obowiązywać będzie system </w:t>
      </w:r>
      <w:r w:rsidRPr="00BC23E7">
        <w:rPr>
          <w:b/>
          <w:bCs/>
        </w:rPr>
        <w:t>dopłat do ceny rynkowej</w:t>
      </w:r>
      <w:r w:rsidRPr="003248FD">
        <w:t xml:space="preserve"> (FiP)</w:t>
      </w:r>
      <w:r w:rsidR="00BC23E7">
        <w:t xml:space="preserve">, </w:t>
      </w:r>
      <w:r w:rsidR="00BC23E7" w:rsidRPr="00C70D02">
        <w:t>przez kolejne 10 lat</w:t>
      </w:r>
      <w:r w:rsidR="00BC23E7">
        <w:t xml:space="preserve"> po zakończeniu pierwotnego okresu wsparcia</w:t>
      </w:r>
      <w:r w:rsidR="00BC23E7" w:rsidRPr="00C70D02">
        <w:t xml:space="preserve">. </w:t>
      </w:r>
    </w:p>
    <w:p w14:paraId="6A39FE3B" w14:textId="0AAFC490" w:rsidR="00F721EE" w:rsidRPr="00F12C9E" w:rsidRDefault="00F721EE" w:rsidP="00B4077C">
      <w:pPr>
        <w:pStyle w:val="Nagwek6"/>
      </w:pPr>
      <w:bookmarkStart w:id="275" w:name="_Ref157420055"/>
      <w:r w:rsidRPr="00F12C9E">
        <w:t xml:space="preserve">Działanie </w:t>
      </w:r>
      <w:r w:rsidR="005C2642">
        <w:fldChar w:fldCharType="begin"/>
      </w:r>
      <w:r w:rsidR="005C2642">
        <w:instrText xml:space="preserve"> SEQ Działanie \* ARABIC </w:instrText>
      </w:r>
      <w:r w:rsidR="005C2642">
        <w:fldChar w:fldCharType="separate"/>
      </w:r>
      <w:r w:rsidR="00DD3929">
        <w:rPr>
          <w:noProof/>
        </w:rPr>
        <w:t>7</w:t>
      </w:r>
      <w:r w:rsidR="005C2642">
        <w:rPr>
          <w:noProof/>
        </w:rPr>
        <w:fldChar w:fldCharType="end"/>
      </w:r>
      <w:r w:rsidRPr="00F12C9E">
        <w:t>.</w:t>
      </w:r>
      <w:r w:rsidR="006D0C65" w:rsidRPr="00F12C9E">
        <w:t xml:space="preserve"> </w:t>
      </w:r>
      <w:r w:rsidRPr="00F12C9E">
        <w:t>Instrument finansowy – kontrakty różnicowe dla wytwarzania energii elektrycznej w morskich farmach wiatrowych.</w:t>
      </w:r>
      <w:bookmarkEnd w:id="275"/>
    </w:p>
    <w:p w14:paraId="4DDAFA58" w14:textId="77777777" w:rsidR="00F721EE" w:rsidRDefault="00F721EE" w:rsidP="00BA3E0C">
      <w:r w:rsidRPr="009F0F44">
        <w:t>Działanie polega na wsparciu wytwórców energii elektrycznej w morskich farmach wiatrowych. Dzięki niemu uzyskają prawo do pokrycia ujemnego salda ceny wytworzonej energii elektrycznej. Oznacza to pokrycie różnicy pomiędzy rynkową ceną energii, a ceną umożliwiającą wytwórcom pokrycie kosztów wytwarzania energii elektrycznej na morzu.</w:t>
      </w:r>
    </w:p>
    <w:p w14:paraId="78E8D31B" w14:textId="6126E932" w:rsidR="005B546E" w:rsidRPr="009F0F44" w:rsidRDefault="005B546E" w:rsidP="00BA3E0C">
      <w:r>
        <w:t>System wsparcia instalacji służącym do produkcji energii elektrycznej z energii wiatru na morzu</w:t>
      </w:r>
      <w:r w:rsidR="00F14D65">
        <w:t xml:space="preserve"> </w:t>
      </w:r>
      <w:r>
        <w:t>opiera się na koncepcji dwustronnego kontraktu różnicowego. Wytwórcy energii elektrycznej w morskich farmach wiatrowych, którzy zostaną dopuszczeni do systemu wsparcia, uzyskają prawo do pokrycia ujemnego salda. Wielkość udzielonego wsparcia wyznaczana jest jako iloczyn planowanej mocy zainstalowanej morskiej farmy wiatrowej i 100 000 godzin. Takie rozwiązanie pozwala na optymalne rozłożenie wsparcia w czasie, w którym będzie ono udzielane czyli przez maksymalnie 25 lat.</w:t>
      </w:r>
      <w:r w:rsidR="00637929">
        <w:t xml:space="preserve"> W ramach aukcji przewidzianych na lata 2025, 2027, 2029 i 2031 prawo do pokrycia ujemnego salda przyznane zostanie instalacjom o łącznej mocy nieprzekraczającej 12 GW, natomiast aukcje w kolejnych latach będą przeprowadzane w zależności od postępu rozwoju farm. </w:t>
      </w:r>
    </w:p>
    <w:p w14:paraId="23D0565B" w14:textId="649E99AD" w:rsidR="00F721EE" w:rsidRPr="00F12C9E" w:rsidRDefault="00F721EE" w:rsidP="00B4077C">
      <w:pPr>
        <w:pStyle w:val="Nagwek6"/>
      </w:pPr>
      <w:bookmarkStart w:id="276" w:name="_Ref157420066"/>
      <w:r w:rsidRPr="00F12C9E">
        <w:t xml:space="preserve">Działanie </w:t>
      </w:r>
      <w:r w:rsidR="005C2642">
        <w:fldChar w:fldCharType="begin"/>
      </w:r>
      <w:r w:rsidR="005C2642">
        <w:instrText xml:space="preserve"> SEQ Działanie \* ARABIC </w:instrText>
      </w:r>
      <w:r w:rsidR="005C2642">
        <w:fldChar w:fldCharType="separate"/>
      </w:r>
      <w:r w:rsidR="00DD3929">
        <w:rPr>
          <w:noProof/>
        </w:rPr>
        <w:t>8</w:t>
      </w:r>
      <w:r w:rsidR="005C2642">
        <w:rPr>
          <w:noProof/>
        </w:rPr>
        <w:fldChar w:fldCharType="end"/>
      </w:r>
      <w:r w:rsidRPr="00F12C9E">
        <w:t>.</w:t>
      </w:r>
      <w:r w:rsidR="006D0C65" w:rsidRPr="00F12C9E">
        <w:t xml:space="preserve"> </w:t>
      </w:r>
      <w:r w:rsidR="00547C31">
        <w:t>Pakiet wsparcia</w:t>
      </w:r>
      <w:r w:rsidR="00547C31" w:rsidRPr="00F12C9E">
        <w:t xml:space="preserve"> </w:t>
      </w:r>
      <w:r w:rsidRPr="00F12C9E">
        <w:t xml:space="preserve">rozwoju </w:t>
      </w:r>
      <w:r w:rsidR="00741069">
        <w:t xml:space="preserve">morskiej </w:t>
      </w:r>
      <w:r w:rsidRPr="00F12C9E">
        <w:t>energetyki wiatrowej.</w:t>
      </w:r>
      <w:bookmarkEnd w:id="276"/>
    </w:p>
    <w:p w14:paraId="0A8D9849" w14:textId="53ECA92A" w:rsidR="00F721EE" w:rsidRDefault="00F721EE" w:rsidP="00BA3E0C">
      <w:r w:rsidRPr="009F0F44">
        <w:t>Działani</w:t>
      </w:r>
      <w:r w:rsidR="00F14D65">
        <w:t>e</w:t>
      </w:r>
      <w:r w:rsidRPr="009F0F44">
        <w:t xml:space="preserve"> polega na zapewnieniu rozwiązań</w:t>
      </w:r>
      <w:r w:rsidR="00DE3B75">
        <w:t xml:space="preserve"> </w:t>
      </w:r>
      <w:r w:rsidR="00DE3B75" w:rsidRPr="00511E55">
        <w:t>zmierzających do osiągnięcia efektywnego i</w:t>
      </w:r>
      <w:r w:rsidR="00DE3B75">
        <w:t> </w:t>
      </w:r>
      <w:r w:rsidR="00DE3B75" w:rsidRPr="00511E55">
        <w:t>zrównoważonego rozwoju morskiej energetyki wiatrowej w Polsce</w:t>
      </w:r>
      <w:r w:rsidR="00DE3B75" w:rsidRPr="009F0F44">
        <w:t xml:space="preserve">. Dotyczy </w:t>
      </w:r>
      <w:r w:rsidR="00103729">
        <w:t>m.in.</w:t>
      </w:r>
      <w:r w:rsidR="00DE3B75" w:rsidRPr="009F0F44">
        <w:t xml:space="preserve"> ram regulacyjnych, kształcenia kadr, budowania świadomości</w:t>
      </w:r>
      <w:r w:rsidR="00DE3B75">
        <w:t>,</w:t>
      </w:r>
      <w:r w:rsidR="00DE3B75" w:rsidRPr="00511E55">
        <w:t xml:space="preserve"> budowania krajowego łańcucha dostaw materiałów i usług</w:t>
      </w:r>
      <w:r w:rsidR="00DE3B75" w:rsidRPr="009F0F44">
        <w:t xml:space="preserve"> czy wydawania pozwoleń</w:t>
      </w:r>
      <w:r w:rsidR="00DE3B75">
        <w:t xml:space="preserve"> i uzgodnień, w tym</w:t>
      </w:r>
      <w:r w:rsidR="00DE3B75" w:rsidRPr="009F0F44">
        <w:t xml:space="preserve"> środowiskowych</w:t>
      </w:r>
      <w:r w:rsidRPr="009F0F44">
        <w:t>.</w:t>
      </w:r>
    </w:p>
    <w:p w14:paraId="266294F1" w14:textId="5FD24898" w:rsidR="00845CDE" w:rsidRDefault="00845CDE" w:rsidP="00845CDE">
      <w:pPr>
        <w:pStyle w:val="Nagwek6"/>
      </w:pPr>
      <w:bookmarkStart w:id="277" w:name="_Ref174104352"/>
      <w:r>
        <w:t xml:space="preserve">Działanie </w:t>
      </w:r>
      <w:r w:rsidR="005C2642">
        <w:fldChar w:fldCharType="begin"/>
      </w:r>
      <w:r w:rsidR="005C2642">
        <w:instrText xml:space="preserve"> SEQ Działanie \* ARABIC </w:instrText>
      </w:r>
      <w:r w:rsidR="005C2642">
        <w:fldChar w:fldCharType="separate"/>
      </w:r>
      <w:r w:rsidR="00DD3929">
        <w:rPr>
          <w:noProof/>
        </w:rPr>
        <w:t>9</w:t>
      </w:r>
      <w:r w:rsidR="005C2642">
        <w:rPr>
          <w:noProof/>
        </w:rPr>
        <w:fldChar w:fldCharType="end"/>
      </w:r>
      <w:r>
        <w:t>.</w:t>
      </w:r>
      <w:r w:rsidRPr="00845CDE">
        <w:t xml:space="preserve"> </w:t>
      </w:r>
      <w:r w:rsidR="00547C31">
        <w:t>Pakiet wsparcia</w:t>
      </w:r>
      <w:r>
        <w:t xml:space="preserve"> rozwoju rynku </w:t>
      </w:r>
      <w:r w:rsidR="005B4882">
        <w:t xml:space="preserve">biogazu i </w:t>
      </w:r>
      <w:r>
        <w:t>biometanu.</w:t>
      </w:r>
      <w:bookmarkEnd w:id="277"/>
    </w:p>
    <w:p w14:paraId="29D289AF" w14:textId="77777777" w:rsidR="005B4882" w:rsidRDefault="005B4882" w:rsidP="005B4882">
      <w:pPr>
        <w:spacing w:after="80"/>
      </w:pPr>
      <w:r w:rsidRPr="00547C31">
        <w:t>Działania obejmować będą w szczególności</w:t>
      </w:r>
      <w:r>
        <w:t>:</w:t>
      </w:r>
      <w:r w:rsidRPr="00547C31">
        <w:t xml:space="preserve"> </w:t>
      </w:r>
    </w:p>
    <w:p w14:paraId="0CF8D3FF" w14:textId="77777777" w:rsidR="005B4882" w:rsidRDefault="005B4882" w:rsidP="00612B5D">
      <w:pPr>
        <w:numPr>
          <w:ilvl w:val="0"/>
          <w:numId w:val="52"/>
        </w:numPr>
        <w:spacing w:after="80"/>
        <w:ind w:left="426"/>
      </w:pPr>
      <w:r>
        <w:t>uruchomienie</w:t>
      </w:r>
      <w:r w:rsidRPr="00547C31">
        <w:t xml:space="preserve"> </w:t>
      </w:r>
      <w:r w:rsidRPr="001F47AB">
        <w:rPr>
          <w:b/>
          <w:bCs/>
        </w:rPr>
        <w:t>mechanizmu wsparcia operacyjnego, dedykowanego dla instalacji biometanowych powyżej 1 MWe</w:t>
      </w:r>
      <w:r w:rsidRPr="00D560DF">
        <w:t xml:space="preserve"> </w:t>
      </w:r>
      <w:r w:rsidRPr="00682A43">
        <w:t xml:space="preserve">co będzie </w:t>
      </w:r>
      <w:r>
        <w:t>kolejnym krokiem pozwalającym na objęcie wsparciem operacyjnym wszystkich jednostek wytwórczych niezależnie od mocy</w:t>
      </w:r>
      <w:r w:rsidRPr="00547C31">
        <w:t xml:space="preserve">, </w:t>
      </w:r>
    </w:p>
    <w:p w14:paraId="46CF8D1B" w14:textId="77777777" w:rsidR="003656D5" w:rsidRDefault="005B4882" w:rsidP="00612B5D">
      <w:pPr>
        <w:numPr>
          <w:ilvl w:val="0"/>
          <w:numId w:val="52"/>
        </w:numPr>
        <w:spacing w:after="80"/>
        <w:ind w:left="426"/>
      </w:pPr>
      <w:r>
        <w:t>stworzenie ram prawnych do wykorzystania</w:t>
      </w:r>
      <w:r w:rsidRPr="00547C31">
        <w:t xml:space="preserve"> tzw. </w:t>
      </w:r>
      <w:r w:rsidRPr="001F47AB">
        <w:rPr>
          <w:b/>
          <w:bCs/>
        </w:rPr>
        <w:t xml:space="preserve">gazociągu bezpośredniego dla biogazu </w:t>
      </w:r>
      <w:r w:rsidRPr="001F47AB">
        <w:t xml:space="preserve">istotnego </w:t>
      </w:r>
      <w:r w:rsidR="003656D5">
        <w:t>dla</w:t>
      </w:r>
      <w:r w:rsidRPr="001F47AB">
        <w:t xml:space="preserve"> zwiększenia wykorzystania potencjału wytwórczego biogazu i biometanu na obszarach o dużym rozdrobnieniu produkcji rolnej oraz zastąpienia </w:t>
      </w:r>
      <w:r w:rsidR="003656D5" w:rsidRPr="001F47AB">
        <w:t xml:space="preserve">gazociągiem bezpośrednim </w:t>
      </w:r>
      <w:r w:rsidRPr="001F47AB">
        <w:t>transportu kołowego biogazu między wytwórcą a odbiorcą</w:t>
      </w:r>
      <w:r>
        <w:t>, którym może być wytwórca biometanu,</w:t>
      </w:r>
    </w:p>
    <w:p w14:paraId="73638506" w14:textId="616B2A85" w:rsidR="005B4882" w:rsidRDefault="005B4882" w:rsidP="00612B5D">
      <w:pPr>
        <w:numPr>
          <w:ilvl w:val="0"/>
          <w:numId w:val="52"/>
        </w:numPr>
        <w:ind w:left="426"/>
      </w:pPr>
      <w:r>
        <w:t xml:space="preserve">analizę możliwości zmniejszenia obciążeń i skrócenia terminów postępowań w ramach realizacji inwestycji </w:t>
      </w:r>
      <w:r w:rsidR="003656D5">
        <w:t>i</w:t>
      </w:r>
      <w:r>
        <w:t xml:space="preserve"> poprawę warunków prowadzenia działalności wytwórczej na etapie eksploatacyjnym</w:t>
      </w:r>
      <w:r w:rsidRPr="00547C31">
        <w:t>.</w:t>
      </w:r>
    </w:p>
    <w:p w14:paraId="7F85CD2C" w14:textId="617BA451" w:rsidR="00547C31" w:rsidRPr="00547C31" w:rsidRDefault="00547C31" w:rsidP="00547C31">
      <w:pPr>
        <w:spacing w:after="80"/>
      </w:pPr>
      <w:r w:rsidRPr="00547C31">
        <w:t xml:space="preserve">Szczególnie znacznie będzie mieć wdrożenie tzw. </w:t>
      </w:r>
      <w:r w:rsidRPr="00547C31">
        <w:rPr>
          <w:b/>
          <w:bCs/>
        </w:rPr>
        <w:t>pakietu gazow</w:t>
      </w:r>
      <w:r w:rsidR="003656D5">
        <w:rPr>
          <w:b/>
          <w:bCs/>
        </w:rPr>
        <w:t>o-wodorowego</w:t>
      </w:r>
      <w:r w:rsidRPr="00547C31">
        <w:t>, zawierającego wytyczne oraz regulacje mające na celu jeszcze szersze otwarcie się operatorów gazociągów przesyłowych i dystrybucyjnych na wytwórców biometanu. Pakiet obejmuje m.in.:</w:t>
      </w:r>
    </w:p>
    <w:p w14:paraId="4B1D0FFD" w14:textId="61C56347" w:rsidR="00547C31" w:rsidRPr="00547C31" w:rsidRDefault="00174660" w:rsidP="00612B5D">
      <w:pPr>
        <w:numPr>
          <w:ilvl w:val="0"/>
          <w:numId w:val="52"/>
        </w:numPr>
        <w:ind w:left="426"/>
      </w:pPr>
      <w:r>
        <w:t xml:space="preserve">wdrożenie </w:t>
      </w:r>
      <w:r w:rsidR="00547C31" w:rsidRPr="00547C31">
        <w:t>obowiązk</w:t>
      </w:r>
      <w:r>
        <w:t>ów</w:t>
      </w:r>
      <w:r w:rsidR="00547C31" w:rsidRPr="00547C31">
        <w:t xml:space="preserve"> w zakresie zapewnienia transparentnego procesu kształtowania planów rozwoju (OSP) i likwidacji (OSD) sieci gazowych uwzględniającego obowiązki konsultacji ze wszystkimi ważnymi interesariuszami – w praktyce obowiązek będzie dotyczył także wymogów uwzględnienia w planach operatora inwestycji w infrastrukturę biometanu;</w:t>
      </w:r>
    </w:p>
    <w:p w14:paraId="55314E3B" w14:textId="59CC5089" w:rsidR="00845CDE" w:rsidRDefault="00174660" w:rsidP="00612B5D">
      <w:pPr>
        <w:numPr>
          <w:ilvl w:val="0"/>
          <w:numId w:val="52"/>
        </w:numPr>
        <w:ind w:left="426"/>
      </w:pPr>
      <w:r>
        <w:t xml:space="preserve">wdrożenie </w:t>
      </w:r>
      <w:r w:rsidR="00547C31" w:rsidRPr="00547C31">
        <w:t>obowiązk</w:t>
      </w:r>
      <w:r>
        <w:t>ów</w:t>
      </w:r>
      <w:r w:rsidR="00547C31" w:rsidRPr="00547C31">
        <w:t xml:space="preserve"> zapewnienia stałej zdolności przesyłu instalacji biometanu podłączonych do sieci (m.in. opracowanie stosownych procedur, analizy potrzeb inwestycyjnych i umieszczenie ich w</w:t>
      </w:r>
      <w:r>
        <w:t> </w:t>
      </w:r>
      <w:r w:rsidR="00547C31" w:rsidRPr="00547C31">
        <w:t>planie rozwoju sieci, zapewnienie rewersu z sieci dystrybucyjnej do sieci przesyłowej)</w:t>
      </w:r>
      <w:r w:rsidR="00547C31">
        <w:t>.</w:t>
      </w:r>
    </w:p>
    <w:p w14:paraId="00C355C1" w14:textId="1BB4E3A8" w:rsidR="00F26E84" w:rsidRDefault="00F26E84" w:rsidP="00F26E84">
      <w:pPr>
        <w:pStyle w:val="Nagwek6"/>
      </w:pPr>
      <w:bookmarkStart w:id="278" w:name="_Ref175481244"/>
      <w:r>
        <w:t xml:space="preserve">Działanie </w:t>
      </w:r>
      <w:r w:rsidR="005C2642">
        <w:fldChar w:fldCharType="begin"/>
      </w:r>
      <w:r w:rsidR="005C2642">
        <w:instrText xml:space="preserve"> SEQ Działanie \* ARABIC </w:instrText>
      </w:r>
      <w:r w:rsidR="005C2642">
        <w:fldChar w:fldCharType="separate"/>
      </w:r>
      <w:r w:rsidR="00DD3929">
        <w:rPr>
          <w:noProof/>
        </w:rPr>
        <w:t>10</w:t>
      </w:r>
      <w:r w:rsidR="005C2642">
        <w:rPr>
          <w:noProof/>
        </w:rPr>
        <w:fldChar w:fldCharType="end"/>
      </w:r>
      <w:r>
        <w:t xml:space="preserve">. </w:t>
      </w:r>
      <w:r w:rsidRPr="00F26E84">
        <w:t>Wprowadzenie wymogów w zakresie stosowania energii słonecznej</w:t>
      </w:r>
      <w:r w:rsidR="001A64DF">
        <w:t xml:space="preserve"> w budynkach</w:t>
      </w:r>
      <w:r>
        <w:t>.</w:t>
      </w:r>
      <w:bookmarkEnd w:id="278"/>
    </w:p>
    <w:p w14:paraId="6D5E53CB" w14:textId="2B5FD9D7" w:rsidR="00F26E84" w:rsidRDefault="00F26E84" w:rsidP="00F26E84">
      <w:r w:rsidRPr="00F26E84">
        <w:t>Działanie polega na wprowadzeniu wymogów projektowania nowych budynków w celu wykorzystania energii słonecznej, jeżeli jest to odpowiednie pod względem technicznym oraz wykonalne pod względem ekonomicznym i funkcjonalnym</w:t>
      </w:r>
      <w:r w:rsidR="001A64DF">
        <w:t>, ale także w określonych przypadkach na istniejących, nadających się do tego budynkach. Harmonogram określony w</w:t>
      </w:r>
      <w:r w:rsidR="00DF08FE">
        <w:t xml:space="preserve"> art. 10</w:t>
      </w:r>
      <w:r w:rsidR="001A64DF">
        <w:t xml:space="preserve"> dyrektyw</w:t>
      </w:r>
      <w:r w:rsidR="00DF08FE">
        <w:t>y</w:t>
      </w:r>
      <w:r w:rsidR="001A64DF">
        <w:t xml:space="preserve"> EPBD wskazuje następujące terminy wdrażania</w:t>
      </w:r>
      <w:r w:rsidR="00A63617">
        <w:t xml:space="preserve"> (do 31 grudnia danego roku)</w:t>
      </w:r>
      <w:r w:rsidR="001A64DF">
        <w:t xml:space="preserve">: </w:t>
      </w:r>
    </w:p>
    <w:p w14:paraId="0B0AA81B" w14:textId="75705920" w:rsidR="00C8003F" w:rsidRDefault="00C8003F" w:rsidP="00612B5D">
      <w:pPr>
        <w:pStyle w:val="Akapitzlist"/>
        <w:numPr>
          <w:ilvl w:val="0"/>
          <w:numId w:val="61"/>
        </w:numPr>
        <w:ind w:left="426"/>
      </w:pPr>
      <w:r>
        <w:t>budynki sektora publicznego:</w:t>
      </w:r>
    </w:p>
    <w:p w14:paraId="08082F44" w14:textId="29D2F5C3" w:rsidR="00C8003F" w:rsidRPr="00C8003F" w:rsidRDefault="00C8003F" w:rsidP="00612B5D">
      <w:pPr>
        <w:pStyle w:val="Akapitzlist"/>
        <w:numPr>
          <w:ilvl w:val="1"/>
          <w:numId w:val="61"/>
        </w:numPr>
      </w:pPr>
      <w:r>
        <w:t>2026</w:t>
      </w:r>
      <w:r w:rsidR="00A63617">
        <w:t xml:space="preserve"> –</w:t>
      </w:r>
      <w:r>
        <w:t xml:space="preserve"> nowe budynki </w:t>
      </w:r>
      <w:r w:rsidRPr="008949A1">
        <w:t>o powierzchni użytkowej powyżej 250 m</w:t>
      </w:r>
      <w:r w:rsidRPr="008949A1">
        <w:rPr>
          <w:vertAlign w:val="superscript"/>
        </w:rPr>
        <w:t>2</w:t>
      </w:r>
      <w:r w:rsidR="00A63617">
        <w:rPr>
          <w:vertAlign w:val="subscript"/>
        </w:rPr>
        <w:t>,</w:t>
      </w:r>
    </w:p>
    <w:p w14:paraId="02196FC2" w14:textId="7FE28ABA" w:rsidR="00C8003F" w:rsidRDefault="00C8003F" w:rsidP="00612B5D">
      <w:pPr>
        <w:pStyle w:val="Akapitzlist"/>
        <w:numPr>
          <w:ilvl w:val="1"/>
          <w:numId w:val="61"/>
        </w:numPr>
      </w:pPr>
      <w:r>
        <w:t>2027</w:t>
      </w:r>
      <w:r w:rsidR="00A63617">
        <w:t xml:space="preserve"> –</w:t>
      </w:r>
      <w:r>
        <w:t xml:space="preserve"> istniejące budynki o powierzchni </w:t>
      </w:r>
      <w:r w:rsidRPr="008949A1">
        <w:t>użytkowej powyżej 2</w:t>
      </w:r>
      <w:r>
        <w:t>00</w:t>
      </w:r>
      <w:r w:rsidRPr="008949A1">
        <w:t>0 m</w:t>
      </w:r>
      <w:r w:rsidRPr="008949A1">
        <w:rPr>
          <w:vertAlign w:val="superscript"/>
        </w:rPr>
        <w:t>2</w:t>
      </w:r>
      <w:r w:rsidR="00A63617">
        <w:rPr>
          <w:vertAlign w:val="subscript"/>
        </w:rPr>
        <w:t>,</w:t>
      </w:r>
    </w:p>
    <w:p w14:paraId="3497EB64" w14:textId="6B81F9FC" w:rsidR="00A63617" w:rsidRDefault="00A63617" w:rsidP="00612B5D">
      <w:pPr>
        <w:pStyle w:val="Akapitzlist"/>
        <w:numPr>
          <w:ilvl w:val="1"/>
          <w:numId w:val="61"/>
        </w:numPr>
      </w:pPr>
      <w:r>
        <w:t xml:space="preserve">2028 – istniejące budynki o powierzchni </w:t>
      </w:r>
      <w:r w:rsidRPr="008949A1">
        <w:t xml:space="preserve">użytkowej powyżej </w:t>
      </w:r>
      <w:r>
        <w:t>750</w:t>
      </w:r>
      <w:r w:rsidRPr="008949A1">
        <w:t> m</w:t>
      </w:r>
      <w:r w:rsidRPr="008949A1">
        <w:rPr>
          <w:vertAlign w:val="superscript"/>
        </w:rPr>
        <w:t>2</w:t>
      </w:r>
      <w:r>
        <w:rPr>
          <w:vertAlign w:val="subscript"/>
        </w:rPr>
        <w:t>,</w:t>
      </w:r>
    </w:p>
    <w:p w14:paraId="3BCAECA2" w14:textId="2ADB7735" w:rsidR="00A63617" w:rsidRDefault="00A63617" w:rsidP="00612B5D">
      <w:pPr>
        <w:pStyle w:val="Akapitzlist"/>
        <w:numPr>
          <w:ilvl w:val="1"/>
          <w:numId w:val="61"/>
        </w:numPr>
      </w:pPr>
      <w:r>
        <w:t xml:space="preserve">2030 – istniejące budynki o powierzchni </w:t>
      </w:r>
      <w:r w:rsidRPr="008949A1">
        <w:t>użytkowej powyżej 2</w:t>
      </w:r>
      <w:r>
        <w:t>5</w:t>
      </w:r>
      <w:r w:rsidRPr="008949A1">
        <w:t>0 m</w:t>
      </w:r>
      <w:r w:rsidRPr="008949A1">
        <w:rPr>
          <w:vertAlign w:val="superscript"/>
        </w:rPr>
        <w:t>2</w:t>
      </w:r>
      <w:r>
        <w:rPr>
          <w:vertAlign w:val="subscript"/>
        </w:rPr>
        <w:t>;</w:t>
      </w:r>
    </w:p>
    <w:p w14:paraId="6C3D3BFD" w14:textId="22A0E86C" w:rsidR="00C8003F" w:rsidRDefault="00C8003F" w:rsidP="00612B5D">
      <w:pPr>
        <w:pStyle w:val="Akapitzlist"/>
        <w:numPr>
          <w:ilvl w:val="0"/>
          <w:numId w:val="61"/>
        </w:numPr>
        <w:ind w:left="426"/>
      </w:pPr>
      <w:r>
        <w:t>budynki komercyjne</w:t>
      </w:r>
      <w:r w:rsidR="00A63617">
        <w:t xml:space="preserve"> (niemieszkalne):</w:t>
      </w:r>
    </w:p>
    <w:p w14:paraId="644D70D4" w14:textId="6BC85E12" w:rsidR="00A63617" w:rsidRPr="00C8003F" w:rsidRDefault="00A63617" w:rsidP="00612B5D">
      <w:pPr>
        <w:pStyle w:val="Akapitzlist"/>
        <w:numPr>
          <w:ilvl w:val="1"/>
          <w:numId w:val="61"/>
        </w:numPr>
      </w:pPr>
      <w:r>
        <w:t xml:space="preserve">2026 – nowe budynki </w:t>
      </w:r>
      <w:r w:rsidRPr="008949A1">
        <w:t>o powierzchni użytkowej powyżej 250 m</w:t>
      </w:r>
      <w:r w:rsidRPr="008949A1">
        <w:rPr>
          <w:vertAlign w:val="superscript"/>
        </w:rPr>
        <w:t>2</w:t>
      </w:r>
      <w:r>
        <w:rPr>
          <w:vertAlign w:val="subscript"/>
        </w:rPr>
        <w:t>,</w:t>
      </w:r>
    </w:p>
    <w:p w14:paraId="39709EF3" w14:textId="1F48C674" w:rsidR="00A63617" w:rsidRDefault="00A63617" w:rsidP="00612B5D">
      <w:pPr>
        <w:pStyle w:val="Akapitzlist"/>
        <w:numPr>
          <w:ilvl w:val="1"/>
          <w:numId w:val="61"/>
        </w:numPr>
      </w:pPr>
      <w:r>
        <w:t xml:space="preserve">2027 – istniejące budynki o powierzchni użytkowej powyżej </w:t>
      </w:r>
      <w:r w:rsidRPr="008949A1">
        <w:t>5</w:t>
      </w:r>
      <w:r>
        <w:t>0</w:t>
      </w:r>
      <w:r w:rsidRPr="008949A1">
        <w:t>0 m</w:t>
      </w:r>
      <w:r w:rsidRPr="008949A1">
        <w:rPr>
          <w:vertAlign w:val="superscript"/>
        </w:rPr>
        <w:t>2</w:t>
      </w:r>
      <w:r>
        <w:rPr>
          <w:vertAlign w:val="superscript"/>
        </w:rPr>
        <w:t xml:space="preserve"> </w:t>
      </w:r>
      <w:r>
        <w:t>przechodzące gruntowną modernizację;</w:t>
      </w:r>
    </w:p>
    <w:p w14:paraId="05E0033B" w14:textId="26353EF9" w:rsidR="00A63617" w:rsidRDefault="00C8003F" w:rsidP="00612B5D">
      <w:pPr>
        <w:pStyle w:val="Akapitzlist"/>
        <w:numPr>
          <w:ilvl w:val="0"/>
          <w:numId w:val="61"/>
        </w:numPr>
        <w:ind w:left="426"/>
      </w:pPr>
      <w:r>
        <w:t>budynki mieszka</w:t>
      </w:r>
      <w:r w:rsidR="00A63617">
        <w:t>lne: 2029 – wszystkie nowe budynki mieszkalne</w:t>
      </w:r>
      <w:r w:rsidR="00DF08FE">
        <w:t>;</w:t>
      </w:r>
    </w:p>
    <w:p w14:paraId="79E8C7E4" w14:textId="3A1F5E52" w:rsidR="001A64DF" w:rsidRPr="00F26E84" w:rsidRDefault="00C8003F" w:rsidP="00612B5D">
      <w:pPr>
        <w:pStyle w:val="Akapitzlist"/>
        <w:numPr>
          <w:ilvl w:val="0"/>
          <w:numId w:val="61"/>
        </w:numPr>
        <w:ind w:left="426"/>
      </w:pPr>
      <w:r>
        <w:t>parkingi</w:t>
      </w:r>
      <w:r w:rsidR="00A63617">
        <w:t>: 2029 –</w:t>
      </w:r>
      <w:r w:rsidR="00A63617" w:rsidRPr="00A63617">
        <w:t xml:space="preserve"> </w:t>
      </w:r>
      <w:r w:rsidR="00A63617" w:rsidRPr="00C8003F">
        <w:t>wszystki</w:t>
      </w:r>
      <w:r w:rsidR="00A63617">
        <w:t>e</w:t>
      </w:r>
      <w:r w:rsidR="00A63617" w:rsidRPr="00C8003F">
        <w:t xml:space="preserve"> now</w:t>
      </w:r>
      <w:r w:rsidR="00A63617">
        <w:t>e</w:t>
      </w:r>
      <w:r w:rsidR="00A63617" w:rsidRPr="00C8003F">
        <w:t xml:space="preserve"> zadaszon</w:t>
      </w:r>
      <w:r w:rsidR="00A63617">
        <w:t>e</w:t>
      </w:r>
      <w:r w:rsidR="00A63617" w:rsidRPr="00C8003F">
        <w:t xml:space="preserve"> parking</w:t>
      </w:r>
      <w:r w:rsidR="00A63617">
        <w:t>i</w:t>
      </w:r>
      <w:r w:rsidR="00A63617" w:rsidRPr="00C8003F">
        <w:t xml:space="preserve"> przylegając</w:t>
      </w:r>
      <w:r w:rsidR="00A63617">
        <w:t>e</w:t>
      </w:r>
      <w:r w:rsidR="00A63617" w:rsidRPr="00C8003F">
        <w:t xml:space="preserve"> do budynków</w:t>
      </w:r>
      <w:r w:rsidR="00DF08FE">
        <w:t>.</w:t>
      </w:r>
    </w:p>
    <w:p w14:paraId="2E9EFFFA" w14:textId="2F3B1AE4" w:rsidR="00F721EE" w:rsidRPr="00F12C9E" w:rsidRDefault="00F721EE" w:rsidP="00B4077C">
      <w:pPr>
        <w:pStyle w:val="Nagwek6"/>
      </w:pPr>
      <w:bookmarkStart w:id="279" w:name="_Ref157420175"/>
      <w:r w:rsidRPr="00F12C9E">
        <w:t xml:space="preserve">Działanie </w:t>
      </w:r>
      <w:r w:rsidR="005C2642">
        <w:fldChar w:fldCharType="begin"/>
      </w:r>
      <w:r w:rsidR="005C2642">
        <w:instrText xml:space="preserve"> SEQ Działanie \* ARABIC </w:instrText>
      </w:r>
      <w:r w:rsidR="005C2642">
        <w:fldChar w:fldCharType="separate"/>
      </w:r>
      <w:r w:rsidR="00DD3929">
        <w:rPr>
          <w:noProof/>
        </w:rPr>
        <w:t>11</w:t>
      </w:r>
      <w:r w:rsidR="005C2642">
        <w:rPr>
          <w:noProof/>
        </w:rPr>
        <w:fldChar w:fldCharType="end"/>
      </w:r>
      <w:r w:rsidRPr="00F12C9E">
        <w:t>.</w:t>
      </w:r>
      <w:r w:rsidR="006D0C65" w:rsidRPr="00F12C9E">
        <w:t xml:space="preserve"> </w:t>
      </w:r>
      <w:r w:rsidRPr="00F12C9E">
        <w:t xml:space="preserve">Instrument finansowy – Program Priorytetowy NFOŚiGW – </w:t>
      </w:r>
      <w:r w:rsidR="006E7D5E">
        <w:t>„</w:t>
      </w:r>
      <w:r w:rsidRPr="00F12C9E">
        <w:t>Mój Prąd</w:t>
      </w:r>
      <w:r w:rsidR="006E7D5E">
        <w:t>”</w:t>
      </w:r>
      <w:r w:rsidRPr="00F12C9E">
        <w:t>.</w:t>
      </w:r>
      <w:bookmarkEnd w:id="279"/>
    </w:p>
    <w:p w14:paraId="24CED47E" w14:textId="77777777" w:rsidR="00F721EE" w:rsidRPr="009F0F44" w:rsidRDefault="00F721EE" w:rsidP="00BA3E0C">
      <w:r w:rsidRPr="009F0F44">
        <w:t xml:space="preserve">Program polega na dofinansowaniu budowy mikroinstalacji fotowoltaicznych, magazynów energii, magazynów ciepła lub pomp ciepła, kolektorów słonecznych oraz systemów zarządzania energią przez beneficjentów indywidualnych. </w:t>
      </w:r>
    </w:p>
    <w:p w14:paraId="6BE08F0C" w14:textId="3BD4861E" w:rsidR="00F721EE" w:rsidRPr="00F12C9E" w:rsidRDefault="00F721EE" w:rsidP="00B4077C">
      <w:pPr>
        <w:pStyle w:val="Nagwek6"/>
      </w:pPr>
      <w:bookmarkStart w:id="280" w:name="_Ref157420182"/>
      <w:r w:rsidRPr="00F12C9E">
        <w:t xml:space="preserve">Działanie </w:t>
      </w:r>
      <w:r w:rsidR="005C2642">
        <w:fldChar w:fldCharType="begin"/>
      </w:r>
      <w:r w:rsidR="005C2642">
        <w:instrText xml:space="preserve"> SEQ Działanie \* ARABIC </w:instrText>
      </w:r>
      <w:r w:rsidR="005C2642">
        <w:fldChar w:fldCharType="separate"/>
      </w:r>
      <w:r w:rsidR="00DD3929">
        <w:rPr>
          <w:noProof/>
        </w:rPr>
        <w:t>12</w:t>
      </w:r>
      <w:r w:rsidR="005C2642">
        <w:rPr>
          <w:noProof/>
        </w:rPr>
        <w:fldChar w:fldCharType="end"/>
      </w:r>
      <w:r w:rsidRPr="00F12C9E">
        <w:t>.</w:t>
      </w:r>
      <w:r w:rsidR="006D0C65" w:rsidRPr="00F12C9E">
        <w:t xml:space="preserve"> </w:t>
      </w:r>
      <w:r w:rsidRPr="00F12C9E">
        <w:t xml:space="preserve">Instrument finansowy – Program Priorytetowy NFOŚiGW – </w:t>
      </w:r>
      <w:r w:rsidR="006E7D5E">
        <w:t>„</w:t>
      </w:r>
      <w:r w:rsidRPr="00F12C9E">
        <w:t>Energia Plus</w:t>
      </w:r>
      <w:r w:rsidR="006E7D5E">
        <w:t>”</w:t>
      </w:r>
      <w:r w:rsidRPr="00F12C9E">
        <w:t>.</w:t>
      </w:r>
      <w:bookmarkEnd w:id="280"/>
    </w:p>
    <w:p w14:paraId="20DCB18D" w14:textId="77777777" w:rsidR="00F721EE" w:rsidRPr="009F0F44" w:rsidRDefault="00F721EE" w:rsidP="00BA3E0C">
      <w:r w:rsidRPr="009F0F44">
        <w:t>Program obejmuje dofinansowanie przedsięwzięć w zakresie zmniejszenia negatywnego oddziaływania na środowisko skutkujące np. poprawą jakości powietrza, zmniejszaniem zużycia surowców pierwotnych, poprawą efektywności energetycznej. Beneficjentami programu są podmioty wykonujące działalność gospodarczą.</w:t>
      </w:r>
    </w:p>
    <w:p w14:paraId="4B94EB62" w14:textId="0DB8FAAF" w:rsidR="00F721EE" w:rsidRPr="00F12C9E" w:rsidRDefault="00F721EE" w:rsidP="00B4077C">
      <w:pPr>
        <w:pStyle w:val="Nagwek6"/>
      </w:pPr>
      <w:bookmarkStart w:id="281" w:name="_Ref157420191"/>
      <w:r w:rsidRPr="00F12C9E">
        <w:t xml:space="preserve">Działanie </w:t>
      </w:r>
      <w:r w:rsidR="005C2642">
        <w:fldChar w:fldCharType="begin"/>
      </w:r>
      <w:r w:rsidR="005C2642">
        <w:instrText xml:space="preserve"> SEQ Działanie \* ARABIC </w:instrText>
      </w:r>
      <w:r w:rsidR="005C2642">
        <w:fldChar w:fldCharType="separate"/>
      </w:r>
      <w:r w:rsidR="00DD3929">
        <w:rPr>
          <w:noProof/>
        </w:rPr>
        <w:t>13</w:t>
      </w:r>
      <w:r w:rsidR="005C2642">
        <w:rPr>
          <w:noProof/>
        </w:rPr>
        <w:fldChar w:fldCharType="end"/>
      </w:r>
      <w:r w:rsidRPr="00F12C9E">
        <w:t>.</w:t>
      </w:r>
      <w:r w:rsidR="006D0C65" w:rsidRPr="00F12C9E">
        <w:t xml:space="preserve"> </w:t>
      </w:r>
      <w:r w:rsidRPr="00F12C9E">
        <w:t xml:space="preserve">Instrument finansowy – Program Priorytetowy NFOŚiGW – </w:t>
      </w:r>
      <w:r w:rsidR="006E7D5E">
        <w:t>„</w:t>
      </w:r>
      <w:r w:rsidRPr="00F12C9E">
        <w:t>Polska Geotermia</w:t>
      </w:r>
      <w:r w:rsidRPr="00BA3E0C">
        <w:rPr>
          <w:szCs w:val="24"/>
        </w:rPr>
        <w:t xml:space="preserve"> </w:t>
      </w:r>
      <w:r w:rsidRPr="00F12C9E">
        <w:t>Plus</w:t>
      </w:r>
      <w:r w:rsidR="006E7D5E">
        <w:t>”</w:t>
      </w:r>
      <w:r w:rsidRPr="00F12C9E">
        <w:t>.</w:t>
      </w:r>
      <w:bookmarkEnd w:id="281"/>
    </w:p>
    <w:p w14:paraId="2B16E37F" w14:textId="68727A35" w:rsidR="00F721EE" w:rsidRPr="009F0F44" w:rsidRDefault="00F721EE" w:rsidP="004D0406">
      <w:r w:rsidRPr="009F0F44">
        <w:t xml:space="preserve">Program obejmuje </w:t>
      </w:r>
      <w:r w:rsidR="00620D19">
        <w:t>wsparcie finansowe</w:t>
      </w:r>
      <w:r w:rsidR="004D0406">
        <w:t xml:space="preserve"> inwestycji </w:t>
      </w:r>
      <w:r w:rsidR="00F26E84">
        <w:t>polegających</w:t>
      </w:r>
      <w:r w:rsidR="004D0406">
        <w:t xml:space="preserve"> na </w:t>
      </w:r>
      <w:r w:rsidR="00620D19">
        <w:t>budow</w:t>
      </w:r>
      <w:r w:rsidR="004D0406">
        <w:t>ie</w:t>
      </w:r>
      <w:r w:rsidR="00620D19">
        <w:t xml:space="preserve"> nowej, modernizacj</w:t>
      </w:r>
      <w:r w:rsidR="004D0406">
        <w:t>i</w:t>
      </w:r>
      <w:r w:rsidR="00620D19">
        <w:t xml:space="preserve"> lub rozbudow</w:t>
      </w:r>
      <w:r w:rsidR="004D0406">
        <w:t>ie</w:t>
      </w:r>
      <w:r w:rsidR="00620D19">
        <w:t xml:space="preserve"> istniejącej ciepłowni /elektrociepłowni / elektrowni geotermalnej / istniejących źródeł wytwarzania ciepła, w tym wykonanie kolejnego geotermalnego odwiertu produkcyjnego lub otworu chłonnego</w:t>
      </w:r>
      <w:r w:rsidR="004D0406">
        <w:t xml:space="preserve">. Ponadto możliwe są wsparcie </w:t>
      </w:r>
      <w:r w:rsidR="00620D19">
        <w:t>zabieg</w:t>
      </w:r>
      <w:r w:rsidR="004D0406">
        <w:t>ów</w:t>
      </w:r>
      <w:r w:rsidR="00620D19">
        <w:t xml:space="preserve"> techniczn</w:t>
      </w:r>
      <w:r w:rsidR="004D0406">
        <w:t>ych</w:t>
      </w:r>
      <w:r w:rsidR="00620D19">
        <w:t xml:space="preserve"> w istniejących otworach geotermalnych wydobywczych i</w:t>
      </w:r>
      <w:r w:rsidR="004D0406">
        <w:t xml:space="preserve"> </w:t>
      </w:r>
      <w:r w:rsidR="00620D19">
        <w:t>zatłaczających</w:t>
      </w:r>
      <w:r w:rsidR="004D0406">
        <w:t xml:space="preserve">, jak również </w:t>
      </w:r>
      <w:r w:rsidR="004D0406" w:rsidRPr="004D0406">
        <w:t>rekonstrukcję otworu innego niż odwierconego w celach geotermalnych, w których</w:t>
      </w:r>
      <w:r w:rsidR="004D0406">
        <w:t xml:space="preserve"> </w:t>
      </w:r>
      <w:r w:rsidR="004D0406" w:rsidRPr="004D0406">
        <w:t>wystąpiły przypływy wód termalnych</w:t>
      </w:r>
      <w:r w:rsidR="004D0406">
        <w:t xml:space="preserve">. </w:t>
      </w:r>
    </w:p>
    <w:p w14:paraId="47942DD0" w14:textId="0798364B" w:rsidR="00F721EE" w:rsidRPr="00F12C9E" w:rsidRDefault="00F721EE" w:rsidP="00B4077C">
      <w:pPr>
        <w:pStyle w:val="Nagwek6"/>
      </w:pPr>
      <w:bookmarkStart w:id="282" w:name="_Ref157422536"/>
      <w:r w:rsidRPr="00F12C9E">
        <w:t xml:space="preserve">Działanie </w:t>
      </w:r>
      <w:r w:rsidR="005C2642">
        <w:fldChar w:fldCharType="begin"/>
      </w:r>
      <w:r w:rsidR="005C2642">
        <w:instrText xml:space="preserve"> SEQ Działanie \* ARABIC </w:instrText>
      </w:r>
      <w:r w:rsidR="005C2642">
        <w:fldChar w:fldCharType="separate"/>
      </w:r>
      <w:r w:rsidR="00DD3929">
        <w:rPr>
          <w:noProof/>
        </w:rPr>
        <w:t>14</w:t>
      </w:r>
      <w:r w:rsidR="005C2642">
        <w:rPr>
          <w:noProof/>
        </w:rPr>
        <w:fldChar w:fldCharType="end"/>
      </w:r>
      <w:r w:rsidRPr="00F12C9E">
        <w:t>.</w:t>
      </w:r>
      <w:r w:rsidR="006D0C65" w:rsidRPr="00F12C9E">
        <w:t xml:space="preserve"> </w:t>
      </w:r>
      <w:r w:rsidRPr="00F12C9E">
        <w:t xml:space="preserve">Instrument finansowy – Program Priorytetowy NFOŚiGW – </w:t>
      </w:r>
      <w:r w:rsidR="001D2611" w:rsidRPr="00F12C9E">
        <w:t>„</w:t>
      </w:r>
      <w:r w:rsidRPr="00F12C9E">
        <w:t>Ciepłownictwo powiatowe</w:t>
      </w:r>
      <w:r w:rsidR="006E7D5E">
        <w:t>”</w:t>
      </w:r>
      <w:r w:rsidRPr="00F12C9E">
        <w:t>.</w:t>
      </w:r>
      <w:bookmarkEnd w:id="282"/>
    </w:p>
    <w:p w14:paraId="1AAE606D" w14:textId="77777777" w:rsidR="00F721EE" w:rsidRDefault="00F721EE" w:rsidP="00BA3E0C">
      <w:r w:rsidRPr="009F0F44">
        <w:t xml:space="preserve">Program obejmuje projekty w zakresie redukcji emisji gazów cieplarnianych (inwestycje w OZE do produkcji ciepła), rozbudowy systemów ciepłowniczych oraz zastępowania wysokoemisyjnych źródeł ciepła należących do osób prywatnych. </w:t>
      </w:r>
    </w:p>
    <w:p w14:paraId="1FC8DE4B" w14:textId="3F03DA6C" w:rsidR="00E276A7" w:rsidRDefault="00E276A7" w:rsidP="00E276A7">
      <w:pPr>
        <w:pStyle w:val="Nagwek6"/>
      </w:pPr>
      <w:bookmarkStart w:id="283" w:name="_Ref175333245"/>
      <w:r>
        <w:t xml:space="preserve">Działanie </w:t>
      </w:r>
      <w:r w:rsidR="005C2642">
        <w:fldChar w:fldCharType="begin"/>
      </w:r>
      <w:r w:rsidR="005C2642">
        <w:instrText xml:space="preserve"> SEQ Działanie \* ARABIC </w:instrText>
      </w:r>
      <w:r w:rsidR="005C2642">
        <w:fldChar w:fldCharType="separate"/>
      </w:r>
      <w:r w:rsidR="00DD3929">
        <w:rPr>
          <w:noProof/>
        </w:rPr>
        <w:t>15</w:t>
      </w:r>
      <w:r w:rsidR="005C2642">
        <w:rPr>
          <w:noProof/>
        </w:rPr>
        <w:fldChar w:fldCharType="end"/>
      </w:r>
      <w:r>
        <w:t>. Instrument finansowy – Program Priorytetowy NFOŚiGW – „OZE - źródło ciepła dla ciepłownictwa”.</w:t>
      </w:r>
      <w:bookmarkEnd w:id="283"/>
    </w:p>
    <w:p w14:paraId="1AD8F434" w14:textId="173C2EF1" w:rsidR="00E276A7" w:rsidRDefault="00E276A7" w:rsidP="00E276A7">
      <w:r>
        <w:t>Inwestycje dotyczące budowy lub/i przebudowy źródeł o łącznej mocy zainstalowanej co najmniej 2 MWt, w których do produkcji energii cieplnej wykorzystuje się:</w:t>
      </w:r>
      <w:r w:rsidR="00B94E2A">
        <w:t xml:space="preserve"> </w:t>
      </w:r>
      <w:r>
        <w:t>pomp</w:t>
      </w:r>
      <w:r w:rsidR="00B94E2A">
        <w:t>y</w:t>
      </w:r>
      <w:r>
        <w:t xml:space="preserve"> ciepła,</w:t>
      </w:r>
      <w:r w:rsidR="00B94E2A">
        <w:t xml:space="preserve"> </w:t>
      </w:r>
      <w:r>
        <w:t>kolektor</w:t>
      </w:r>
      <w:r w:rsidR="00B94E2A">
        <w:t>y</w:t>
      </w:r>
      <w:r>
        <w:t xml:space="preserve"> słoneczn</w:t>
      </w:r>
      <w:r w:rsidR="00B94E2A">
        <w:t xml:space="preserve">e lub geotermię. Z programu można pozyskać także wsparcie na magazyny energii. </w:t>
      </w:r>
      <w:r w:rsidR="00B94E2A" w:rsidRPr="00B94E2A">
        <w:t>Dofinansowani</w:t>
      </w:r>
      <w:r w:rsidR="00B94E2A">
        <w:t>e</w:t>
      </w:r>
      <w:r w:rsidR="00B94E2A" w:rsidRPr="00B94E2A">
        <w:t xml:space="preserve"> </w:t>
      </w:r>
      <w:r w:rsidR="00B94E2A">
        <w:t xml:space="preserve">może dotyczyć tylko </w:t>
      </w:r>
      <w:r w:rsidR="00B94E2A" w:rsidRPr="00B94E2A">
        <w:t>instalacje, z których co najmniej 70% ciepła użytkowego wytworzonego w jednostce OZE w roku kalendarzowym zostanie wprowadzone do publicznej sieci ciepłowniczej.</w:t>
      </w:r>
    </w:p>
    <w:p w14:paraId="17B4E1CC" w14:textId="686913D0" w:rsidR="00F721EE" w:rsidRPr="00F12C9E" w:rsidRDefault="00F721EE" w:rsidP="00CE5AEF">
      <w:pPr>
        <w:pStyle w:val="Nagwek6"/>
        <w:spacing w:before="400"/>
      </w:pPr>
      <w:bookmarkStart w:id="284" w:name="_Ref157420357"/>
      <w:r w:rsidRPr="00F12C9E">
        <w:t xml:space="preserve">Działanie </w:t>
      </w:r>
      <w:r w:rsidR="005C2642">
        <w:fldChar w:fldCharType="begin"/>
      </w:r>
      <w:r w:rsidR="005C2642">
        <w:instrText xml:space="preserve"> SEQ Działanie \* ARABIC </w:instrText>
      </w:r>
      <w:r w:rsidR="005C2642">
        <w:fldChar w:fldCharType="separate"/>
      </w:r>
      <w:r w:rsidR="00DD3929">
        <w:rPr>
          <w:noProof/>
        </w:rPr>
        <w:t>16</w:t>
      </w:r>
      <w:r w:rsidR="005C2642">
        <w:rPr>
          <w:noProof/>
        </w:rPr>
        <w:fldChar w:fldCharType="end"/>
      </w:r>
      <w:r w:rsidRPr="00F12C9E">
        <w:t>.</w:t>
      </w:r>
      <w:r w:rsidR="006D0C65" w:rsidRPr="00F12C9E">
        <w:t xml:space="preserve"> </w:t>
      </w:r>
      <w:r w:rsidRPr="00F12C9E">
        <w:t xml:space="preserve">Instrument finansowy – Program Priorytetowy NFOŚiGW – </w:t>
      </w:r>
      <w:r w:rsidR="001D2611" w:rsidRPr="00F12C9E">
        <w:t>„</w:t>
      </w:r>
      <w:r w:rsidRPr="00F12C9E">
        <w:t>Agroenergia</w:t>
      </w:r>
      <w:r w:rsidR="006E7D5E">
        <w:t>”</w:t>
      </w:r>
      <w:r w:rsidRPr="00F12C9E">
        <w:t>.</w:t>
      </w:r>
      <w:bookmarkEnd w:id="284"/>
    </w:p>
    <w:p w14:paraId="11470117" w14:textId="77777777" w:rsidR="00F721EE" w:rsidRPr="009F0F44" w:rsidRDefault="00F721EE" w:rsidP="00BA3E0C">
      <w:r w:rsidRPr="009F0F44">
        <w:t>Program obejmuje dofinansowanie zakupu i montażu (wraz z doradztwem) instalacji fotowoltaicznych, instalacji wiatrowych, pomp ciepła oraz instalacji hybrydowych dla podmiotów prowadzących działalność rolniczą.</w:t>
      </w:r>
    </w:p>
    <w:p w14:paraId="11E80CD6" w14:textId="6C0B46A8" w:rsidR="00F721EE" w:rsidRPr="00F12C9E" w:rsidRDefault="00F721EE" w:rsidP="00CE5AEF">
      <w:pPr>
        <w:pStyle w:val="Nagwek6"/>
        <w:spacing w:before="400"/>
      </w:pPr>
      <w:bookmarkStart w:id="285" w:name="_Ref157420961"/>
      <w:bookmarkStart w:id="286" w:name="_Hlk173431991"/>
      <w:r w:rsidRPr="00F12C9E">
        <w:t xml:space="preserve">Działanie </w:t>
      </w:r>
      <w:r w:rsidR="005C2642">
        <w:fldChar w:fldCharType="begin"/>
      </w:r>
      <w:r w:rsidR="005C2642">
        <w:instrText xml:space="preserve"> SEQ Działanie \* ARABIC </w:instrText>
      </w:r>
      <w:r w:rsidR="005C2642">
        <w:fldChar w:fldCharType="separate"/>
      </w:r>
      <w:r w:rsidR="00DD3929">
        <w:rPr>
          <w:noProof/>
        </w:rPr>
        <w:t>17</w:t>
      </w:r>
      <w:r w:rsidR="005C2642">
        <w:rPr>
          <w:noProof/>
        </w:rPr>
        <w:fldChar w:fldCharType="end"/>
      </w:r>
      <w:r w:rsidRPr="00F12C9E">
        <w:t>.</w:t>
      </w:r>
      <w:r w:rsidR="006D0C65" w:rsidRPr="00F12C9E">
        <w:t xml:space="preserve"> </w:t>
      </w:r>
      <w:r w:rsidRPr="00F12C9E">
        <w:t>Instrument finansowy – inne programy NFOŚiGW wspierające rozwój OZE.</w:t>
      </w:r>
      <w:bookmarkEnd w:id="285"/>
    </w:p>
    <w:p w14:paraId="0E41348E" w14:textId="1187CF9D" w:rsidR="00F721EE" w:rsidRPr="009F0F44" w:rsidRDefault="00F721EE" w:rsidP="00BA3E0C">
      <w:r w:rsidRPr="009F0F44">
        <w:t xml:space="preserve">Działanie obejmuje dofinansowanie przedsięwzięć zmierzających do budowy lub modernizacji systemów </w:t>
      </w:r>
      <w:r w:rsidR="006D0C65" w:rsidRPr="009F0F44">
        <w:t>elektroenergetycznych</w:t>
      </w:r>
      <w:r w:rsidRPr="009F0F44">
        <w:t xml:space="preserve"> celem </w:t>
      </w:r>
      <w:r w:rsidR="006D0C65" w:rsidRPr="009F0F44">
        <w:t>umożliwienia</w:t>
      </w:r>
      <w:r w:rsidRPr="009F0F44">
        <w:t xml:space="preserve"> ich podłączenia</w:t>
      </w:r>
      <w:r w:rsidR="00F14D65">
        <w:t xml:space="preserve"> do nich</w:t>
      </w:r>
      <w:r w:rsidRPr="009F0F44">
        <w:t xml:space="preserve"> OZE, oraz budowę lub modernizację jednostek OZE, innych niż wymienione powyżej, o </w:t>
      </w:r>
      <w:r w:rsidR="006D0C65" w:rsidRPr="009F0F44">
        <w:t>charakterze</w:t>
      </w:r>
      <w:r w:rsidRPr="009F0F44">
        <w:t xml:space="preserve"> regionalnym lub z indywidualnym. </w:t>
      </w:r>
    </w:p>
    <w:p w14:paraId="065C5C69" w14:textId="66A43690" w:rsidR="001A4B5E" w:rsidRPr="00F12C9E" w:rsidRDefault="001A4B5E" w:rsidP="00B4077C">
      <w:pPr>
        <w:pStyle w:val="Nagwek6"/>
      </w:pPr>
      <w:bookmarkStart w:id="287" w:name="_Ref157421165"/>
      <w:bookmarkStart w:id="288" w:name="_Ref157420973"/>
      <w:r w:rsidRPr="00F12C9E">
        <w:t xml:space="preserve">Działanie </w:t>
      </w:r>
      <w:r w:rsidR="005C2642">
        <w:fldChar w:fldCharType="begin"/>
      </w:r>
      <w:r w:rsidR="005C2642">
        <w:instrText xml:space="preserve"> SEQ Działanie \* ARABIC </w:instrText>
      </w:r>
      <w:r w:rsidR="005C2642">
        <w:fldChar w:fldCharType="separate"/>
      </w:r>
      <w:r w:rsidR="00DD3929">
        <w:rPr>
          <w:noProof/>
        </w:rPr>
        <w:t>18</w:t>
      </w:r>
      <w:r w:rsidR="005C2642">
        <w:rPr>
          <w:noProof/>
        </w:rPr>
        <w:fldChar w:fldCharType="end"/>
      </w:r>
      <w:r w:rsidRPr="00F12C9E">
        <w:t xml:space="preserve">. Instrument finansowy – </w:t>
      </w:r>
      <w:r>
        <w:t>i</w:t>
      </w:r>
      <w:r w:rsidRPr="00F12C9E">
        <w:t>nne instrumenty wspierające rozwój OZE.</w:t>
      </w:r>
      <w:bookmarkEnd w:id="287"/>
    </w:p>
    <w:p w14:paraId="2051E297" w14:textId="534B2A61" w:rsidR="001A4B5E" w:rsidRPr="009F0F44" w:rsidRDefault="001A4B5E" w:rsidP="001A4B5E">
      <w:r w:rsidRPr="009F0F44">
        <w:t>Działanie obejmuje finansowanie działań zmierzających do budowy lub modernizacji systemów elektroenergetycznych dla umożliwienia podłączenia OZE oraz budowę lub modernizację jednostek OZE o charakterze regionalnym lub indywidualnym (z wyłączeniem środków pochodzących z NFOŚiGW).</w:t>
      </w:r>
    </w:p>
    <w:p w14:paraId="5A2F9490" w14:textId="4A7CF110" w:rsidR="006F4DF2" w:rsidRDefault="006F4DF2" w:rsidP="00B4077C">
      <w:pPr>
        <w:pStyle w:val="Nagwek6"/>
      </w:pPr>
      <w:bookmarkStart w:id="289" w:name="_Ref159078615"/>
      <w:bookmarkEnd w:id="286"/>
      <w:r w:rsidRPr="00F12C9E">
        <w:t xml:space="preserve">Działanie </w:t>
      </w:r>
      <w:r w:rsidR="005C2642">
        <w:fldChar w:fldCharType="begin"/>
      </w:r>
      <w:r w:rsidR="005C2642">
        <w:instrText xml:space="preserve"> SEQ Działanie \* ARABIC </w:instrText>
      </w:r>
      <w:r w:rsidR="005C2642">
        <w:fldChar w:fldCharType="separate"/>
      </w:r>
      <w:r w:rsidR="00DD3929">
        <w:rPr>
          <w:noProof/>
        </w:rPr>
        <w:t>19</w:t>
      </w:r>
      <w:r w:rsidR="005C2642">
        <w:rPr>
          <w:noProof/>
        </w:rPr>
        <w:fldChar w:fldCharType="end"/>
      </w:r>
      <w:r w:rsidRPr="00F12C9E">
        <w:t>.</w:t>
      </w:r>
      <w:r>
        <w:t xml:space="preserve"> Krajowy Punkt Kontaktowy do spraw odnawialnych źródeł energii.</w:t>
      </w:r>
      <w:bookmarkEnd w:id="289"/>
    </w:p>
    <w:p w14:paraId="6E6334EC" w14:textId="77777777" w:rsidR="006F4DF2" w:rsidRDefault="006F4DF2" w:rsidP="006F4DF2">
      <w:r>
        <w:t xml:space="preserve">Działanie polega na </w:t>
      </w:r>
      <w:r w:rsidRPr="007B2658">
        <w:t>stworzeniu punktu, w którym wnioskodawca będzie mógł znaleźć informacje na temat tego, jakie procedury administracyjne są konieczne w przypadku danego projektu OZE oraz w jaki sposób należy je przeprowadzić</w:t>
      </w:r>
      <w:r w:rsidRPr="009F0F44">
        <w:t>.</w:t>
      </w:r>
    </w:p>
    <w:p w14:paraId="16B21A7B" w14:textId="61336128" w:rsidR="00B868A7" w:rsidRDefault="00B868A7" w:rsidP="007D57DE">
      <w:pPr>
        <w:pStyle w:val="Nagwek6"/>
      </w:pPr>
      <w:bookmarkStart w:id="290" w:name="_Ref175558287"/>
      <w:r>
        <w:t xml:space="preserve">Działanie </w:t>
      </w:r>
      <w:r w:rsidR="005C2642">
        <w:fldChar w:fldCharType="begin"/>
      </w:r>
      <w:r w:rsidR="005C2642">
        <w:instrText xml:space="preserve"> SEQ Działanie \* ARABIC </w:instrText>
      </w:r>
      <w:r w:rsidR="005C2642">
        <w:fldChar w:fldCharType="separate"/>
      </w:r>
      <w:r w:rsidR="00DD3929">
        <w:rPr>
          <w:noProof/>
        </w:rPr>
        <w:t>20</w:t>
      </w:r>
      <w:r w:rsidR="005C2642">
        <w:rPr>
          <w:noProof/>
        </w:rPr>
        <w:fldChar w:fldCharType="end"/>
      </w:r>
      <w:r>
        <w:t xml:space="preserve">. </w:t>
      </w:r>
      <w:r w:rsidR="007D57DE">
        <w:t xml:space="preserve">Zapewnienie </w:t>
      </w:r>
      <w:r w:rsidR="002419F3">
        <w:t xml:space="preserve">możliwości </w:t>
      </w:r>
      <w:r w:rsidR="007D57DE">
        <w:t>funkcjonowania</w:t>
      </w:r>
      <w:r>
        <w:t xml:space="preserve"> obszar</w:t>
      </w:r>
      <w:r w:rsidR="00D43763">
        <w:t>ó</w:t>
      </w:r>
      <w:r w:rsidR="002419F3">
        <w:t>w</w:t>
      </w:r>
      <w:r>
        <w:t xml:space="preserve"> przyspieszonego rozwoju OZE</w:t>
      </w:r>
      <w:r w:rsidR="007D57DE">
        <w:t>.</w:t>
      </w:r>
      <w:bookmarkEnd w:id="290"/>
    </w:p>
    <w:p w14:paraId="5B67B47F" w14:textId="5B7CA0CB" w:rsidR="00D43763" w:rsidRPr="00D43763" w:rsidRDefault="007D57DE" w:rsidP="00D43763">
      <w:r>
        <w:t xml:space="preserve">Działanie polega w szczególności na opracowaniu regulacji dotyczących obszarów przyspieszonego rozwoju. </w:t>
      </w:r>
      <w:r w:rsidR="00D43763" w:rsidRPr="00D43763">
        <w:t>Obszary te mają zostać wyznaczone na powierzchniach i terenach niebudzących wątpliwości z punktu widzenia ochrony środowiska, dzięki czemu czas wydawanie zezwoleń potrzebnych do rozpoczęcia inwestycji ma zostać znacząco skrócony (nie może przekroczyć 12 miesięcy, z wyjątkiem morskich elektrowni wiatrowych, w przypadku których mają być to 24 miesiące).</w:t>
      </w:r>
    </w:p>
    <w:p w14:paraId="203CB1A3" w14:textId="659CDF32" w:rsidR="00F721EE" w:rsidRPr="00F12C9E" w:rsidRDefault="00F721EE" w:rsidP="00B4077C">
      <w:pPr>
        <w:pStyle w:val="Nagwek6"/>
      </w:pPr>
      <w:bookmarkStart w:id="291" w:name="_Ref159083259"/>
      <w:r w:rsidRPr="00F12C9E">
        <w:t xml:space="preserve">Działanie </w:t>
      </w:r>
      <w:r w:rsidR="005C2642">
        <w:fldChar w:fldCharType="begin"/>
      </w:r>
      <w:r w:rsidR="005C2642">
        <w:instrText xml:space="preserve"> SEQ Działanie \* ARABIC </w:instrText>
      </w:r>
      <w:r w:rsidR="005C2642">
        <w:fldChar w:fldCharType="separate"/>
      </w:r>
      <w:r w:rsidR="00DD3929">
        <w:rPr>
          <w:noProof/>
        </w:rPr>
        <w:t>21</w:t>
      </w:r>
      <w:r w:rsidR="005C2642">
        <w:rPr>
          <w:noProof/>
        </w:rPr>
        <w:fldChar w:fldCharType="end"/>
      </w:r>
      <w:r w:rsidRPr="00F12C9E">
        <w:t>.</w:t>
      </w:r>
      <w:r w:rsidR="006D0C65" w:rsidRPr="00F12C9E">
        <w:t xml:space="preserve"> </w:t>
      </w:r>
      <w:r w:rsidRPr="00F12C9E">
        <w:t xml:space="preserve">Instrument finansowy – Program Priorytetowy NFOŚiGW – </w:t>
      </w:r>
      <w:r w:rsidR="001D2611" w:rsidRPr="00F12C9E">
        <w:t>„</w:t>
      </w:r>
      <w:r w:rsidRPr="00F12C9E">
        <w:t>Nowa Energia</w:t>
      </w:r>
      <w:r w:rsidR="001D2611" w:rsidRPr="00F12C9E">
        <w:t>”</w:t>
      </w:r>
      <w:r w:rsidRPr="00F12C9E">
        <w:t>.</w:t>
      </w:r>
      <w:bookmarkEnd w:id="288"/>
      <w:bookmarkEnd w:id="291"/>
    </w:p>
    <w:p w14:paraId="53777615" w14:textId="12D93EF3" w:rsidR="00F721EE" w:rsidRPr="009F0F44" w:rsidRDefault="00F721EE" w:rsidP="00703451">
      <w:r w:rsidRPr="009F0F44">
        <w:t xml:space="preserve">Program </w:t>
      </w:r>
      <w:r w:rsidR="00504E57">
        <w:t>s</w:t>
      </w:r>
      <w:r w:rsidR="00504E57" w:rsidRPr="009F0F44">
        <w:t xml:space="preserve">kierowany </w:t>
      </w:r>
      <w:r w:rsidR="00504E57">
        <w:t xml:space="preserve">jest </w:t>
      </w:r>
      <w:r w:rsidR="00504E57" w:rsidRPr="009F0F44">
        <w:t>do przedsiębiorców</w:t>
      </w:r>
      <w:r w:rsidR="00504E57">
        <w:t>.  F</w:t>
      </w:r>
      <w:r w:rsidR="00105306">
        <w:t xml:space="preserve">inansuje przedsięwzięcia wdrażające </w:t>
      </w:r>
      <w:r w:rsidR="00504E57">
        <w:t>nowe albo znacząco udoskonalone technologie lub rozwiązania we własnej działalności, służące poprawie efektywności wykorzystania zasobów naturalnych, zmniejszające negatywny wpływ człowieka na środowisko lub wzmacniające odporność gospodarki na presje środowiskowe</w:t>
      </w:r>
      <w:r w:rsidR="00105306">
        <w:t>.</w:t>
      </w:r>
      <w:r w:rsidR="00105306" w:rsidRPr="009F0F44">
        <w:t xml:space="preserve"> </w:t>
      </w:r>
    </w:p>
    <w:p w14:paraId="1572AD9B" w14:textId="01A97240" w:rsidR="00F721EE" w:rsidRPr="00F12C9E" w:rsidRDefault="00F721EE" w:rsidP="00B4077C">
      <w:pPr>
        <w:pStyle w:val="Nagwek6"/>
      </w:pPr>
      <w:bookmarkStart w:id="292" w:name="_Ref157422636"/>
      <w:r w:rsidRPr="00F12C9E">
        <w:t xml:space="preserve">Działanie </w:t>
      </w:r>
      <w:r w:rsidR="005C2642">
        <w:fldChar w:fldCharType="begin"/>
      </w:r>
      <w:r w:rsidR="005C2642">
        <w:instrText xml:space="preserve"> SEQ Działanie \* ARABIC </w:instrText>
      </w:r>
      <w:r w:rsidR="005C2642">
        <w:fldChar w:fldCharType="separate"/>
      </w:r>
      <w:r w:rsidR="00DD3929">
        <w:rPr>
          <w:noProof/>
        </w:rPr>
        <w:t>22</w:t>
      </w:r>
      <w:r w:rsidR="005C2642">
        <w:rPr>
          <w:noProof/>
        </w:rPr>
        <w:fldChar w:fldCharType="end"/>
      </w:r>
      <w:r w:rsidRPr="00F12C9E">
        <w:t>.</w:t>
      </w:r>
      <w:r w:rsidR="006D0C65" w:rsidRPr="00F12C9E">
        <w:t xml:space="preserve"> </w:t>
      </w:r>
      <w:r w:rsidRPr="00F12C9E">
        <w:t xml:space="preserve">Instrument finansowy – Program Priorytetowy NFOŚiGW – </w:t>
      </w:r>
      <w:r w:rsidR="001D2611" w:rsidRPr="00F12C9E">
        <w:t>„</w:t>
      </w:r>
      <w:r w:rsidRPr="00F12C9E">
        <w:t>Moje ciepło</w:t>
      </w:r>
      <w:r w:rsidR="001D2611" w:rsidRPr="00F12C9E">
        <w:t>”</w:t>
      </w:r>
      <w:r w:rsidRPr="00F12C9E">
        <w:t>.</w:t>
      </w:r>
      <w:bookmarkEnd w:id="292"/>
    </w:p>
    <w:p w14:paraId="6B7ABEC4" w14:textId="77777777" w:rsidR="00F721EE" w:rsidRPr="009F0F44" w:rsidRDefault="00F721EE" w:rsidP="00BA3E0C">
      <w:r w:rsidRPr="009F0F44">
        <w:t>Program polega na wsparciu finansowym dla rozwoju ogrzewnictwa indywidualnego i rozwoju energetyki prosumenckiej w obszarze powietrznych, wodnych i gruntowych pomp ciepła w nowych jednorodzinnych budynkach mieszkalnych.</w:t>
      </w:r>
    </w:p>
    <w:p w14:paraId="0385C378" w14:textId="71415091" w:rsidR="00F721EE" w:rsidRPr="00F12C9E" w:rsidRDefault="00F721EE" w:rsidP="00B4077C">
      <w:pPr>
        <w:pStyle w:val="Nagwek6"/>
      </w:pPr>
      <w:bookmarkStart w:id="293" w:name="_Ref157420374"/>
      <w:r w:rsidRPr="00F12C9E">
        <w:t xml:space="preserve">Działanie </w:t>
      </w:r>
      <w:r w:rsidR="005C2642">
        <w:fldChar w:fldCharType="begin"/>
      </w:r>
      <w:r w:rsidR="005C2642">
        <w:instrText xml:space="preserve"> SEQ Działanie \* ARABIC </w:instrText>
      </w:r>
      <w:r w:rsidR="005C2642">
        <w:fldChar w:fldCharType="separate"/>
      </w:r>
      <w:r w:rsidR="00DD3929">
        <w:rPr>
          <w:noProof/>
        </w:rPr>
        <w:t>23</w:t>
      </w:r>
      <w:r w:rsidR="005C2642">
        <w:rPr>
          <w:noProof/>
        </w:rPr>
        <w:fldChar w:fldCharType="end"/>
      </w:r>
      <w:r w:rsidRPr="00F12C9E">
        <w:t>.</w:t>
      </w:r>
      <w:r w:rsidR="006D0C65" w:rsidRPr="00F12C9E">
        <w:t xml:space="preserve"> </w:t>
      </w:r>
      <w:r w:rsidRPr="00F12C9E">
        <w:t xml:space="preserve">Instrument finansowy – Program Priorytetowy NFOŚiGW – </w:t>
      </w:r>
      <w:r w:rsidR="001D2611" w:rsidRPr="00F12C9E">
        <w:t>„</w:t>
      </w:r>
      <w:r w:rsidRPr="00F12C9E">
        <w:t>Czyste Powietrze</w:t>
      </w:r>
      <w:r w:rsidR="006E7D5E">
        <w:t>”</w:t>
      </w:r>
      <w:r w:rsidRPr="00F12C9E">
        <w:t>.</w:t>
      </w:r>
      <w:bookmarkEnd w:id="293"/>
    </w:p>
    <w:p w14:paraId="3DA87FB3" w14:textId="1375B861" w:rsidR="00F721EE" w:rsidRDefault="00F721EE" w:rsidP="00BA3E0C">
      <w:r w:rsidRPr="009F0F44">
        <w:t>Program obejmuje dofinansowanie kompleksowej termomodernizacji budynków oraz wymiany starych i nieefektywnych źródeł ciepła na paliwo stałe na nowoczesne źródła ciepła spełniające najwyższe normy.</w:t>
      </w:r>
      <w:r w:rsidR="006D0C65">
        <w:t xml:space="preserve"> </w:t>
      </w:r>
      <w:r w:rsidRPr="009F0F44">
        <w:t>Celem</w:t>
      </w:r>
      <w:r w:rsidR="006D0C65">
        <w:t xml:space="preserve"> </w:t>
      </w:r>
      <w:r w:rsidRPr="009F0F44">
        <w:t xml:space="preserve">jest poprawa efektywności energetycznej i zmniejszenie emisji pyłów, i innych zanieczyszczeń do atmosfery z istniejących jednorodzinnych budynków mieszkalnych lub pochodzących z nowo budowanych jednorodzinnych budynków mieszkalnych. </w:t>
      </w:r>
    </w:p>
    <w:p w14:paraId="71059E7C" w14:textId="2515CA20" w:rsidR="00FA794E" w:rsidRDefault="00FA794E" w:rsidP="00FA794E">
      <w:pPr>
        <w:pStyle w:val="Nagwek6"/>
        <w:rPr>
          <w:noProof/>
        </w:rPr>
      </w:pPr>
      <w:bookmarkStart w:id="294" w:name="_Ref159355233"/>
      <w:r>
        <w:t xml:space="preserve">Działanie </w:t>
      </w:r>
      <w:r w:rsidR="005C2642">
        <w:fldChar w:fldCharType="begin"/>
      </w:r>
      <w:r w:rsidR="005C2642">
        <w:instrText xml:space="preserve"> SEQ Działanie \* ARABIC </w:instrText>
      </w:r>
      <w:r w:rsidR="005C2642">
        <w:fldChar w:fldCharType="separate"/>
      </w:r>
      <w:r w:rsidR="00DD3929">
        <w:rPr>
          <w:noProof/>
        </w:rPr>
        <w:t>24</w:t>
      </w:r>
      <w:r w:rsidR="005C2642">
        <w:rPr>
          <w:noProof/>
        </w:rPr>
        <w:fldChar w:fldCharType="end"/>
      </w:r>
      <w:r>
        <w:t xml:space="preserve">. Instrument finansowy </w:t>
      </w:r>
      <w:r w:rsidR="00AC3BAF">
        <w:t>–</w:t>
      </w:r>
      <w:r>
        <w:t xml:space="preserve"> Program Priorytetowy NFOŚiGW </w:t>
      </w:r>
      <w:r w:rsidR="001327F1">
        <w:t>–</w:t>
      </w:r>
      <w:r>
        <w:t xml:space="preserve"> „Stop Smog</w:t>
      </w:r>
      <w:r w:rsidR="001327F1">
        <w:t>”</w:t>
      </w:r>
      <w:r>
        <w:rPr>
          <w:noProof/>
        </w:rPr>
        <w:t>.</w:t>
      </w:r>
      <w:bookmarkEnd w:id="294"/>
    </w:p>
    <w:p w14:paraId="0CDDF5CA" w14:textId="0706D119" w:rsidR="00FA794E" w:rsidRPr="00FA794E" w:rsidRDefault="00FA794E" w:rsidP="00FA794E">
      <w:r w:rsidRPr="00FA794E">
        <w:t>Program realizuje przedsięwzięcia niskoemisyjne (termomodernizację, wymianę źródeł ciepła) na rzecz najmniej zamożnych gospodarstw domowych w budynkach mieszkalnych jednorodzinnych</w:t>
      </w:r>
      <w:r>
        <w:t xml:space="preserve">. Zaadresowany jest </w:t>
      </w:r>
      <w:r w:rsidRPr="00FA794E">
        <w:t>w</w:t>
      </w:r>
      <w:r>
        <w:t> </w:t>
      </w:r>
      <w:r w:rsidRPr="00FA794E">
        <w:t xml:space="preserve">szczególności </w:t>
      </w:r>
      <w:r>
        <w:t xml:space="preserve">do tych gospodarstw, w </w:t>
      </w:r>
      <w:r w:rsidRPr="00FA794E">
        <w:t xml:space="preserve">których członkami są osoby mające prawo do korzystania ze świadczeń pieniężnych </w:t>
      </w:r>
      <w:r>
        <w:t>(</w:t>
      </w:r>
      <w:r w:rsidRPr="00FA794E">
        <w:t>na podstawie ustawy z dnia 12 marca 2004 r. o pomocy społecznej</w:t>
      </w:r>
      <w:r>
        <w:t>).</w:t>
      </w:r>
    </w:p>
    <w:p w14:paraId="6E2DF24C" w14:textId="5D2DE727" w:rsidR="00F721EE" w:rsidRPr="00F12C9E" w:rsidRDefault="00F721EE" w:rsidP="00B4077C">
      <w:pPr>
        <w:pStyle w:val="Nagwek6"/>
      </w:pPr>
      <w:bookmarkStart w:id="295" w:name="_Ref157422650"/>
      <w:r w:rsidRPr="00F12C9E">
        <w:t xml:space="preserve">Działanie </w:t>
      </w:r>
      <w:r w:rsidR="005C2642">
        <w:fldChar w:fldCharType="begin"/>
      </w:r>
      <w:r w:rsidR="005C2642">
        <w:instrText xml:space="preserve"> SEQ Działanie \* ARABIC </w:instrText>
      </w:r>
      <w:r w:rsidR="005C2642">
        <w:fldChar w:fldCharType="separate"/>
      </w:r>
      <w:r w:rsidR="00DD3929">
        <w:rPr>
          <w:noProof/>
        </w:rPr>
        <w:t>25</w:t>
      </w:r>
      <w:r w:rsidR="005C2642">
        <w:rPr>
          <w:noProof/>
        </w:rPr>
        <w:fldChar w:fldCharType="end"/>
      </w:r>
      <w:r w:rsidRPr="00F12C9E">
        <w:t>.</w:t>
      </w:r>
      <w:r w:rsidR="006D0C65" w:rsidRPr="00F12C9E">
        <w:t xml:space="preserve"> </w:t>
      </w:r>
      <w:r w:rsidRPr="00F12C9E">
        <w:t xml:space="preserve">Instrument finansowy – Program Priorytetowy NFOŚiGW </w:t>
      </w:r>
      <w:r w:rsidR="001327F1">
        <w:t xml:space="preserve">– </w:t>
      </w:r>
      <w:r w:rsidR="006E7D5E">
        <w:t>„</w:t>
      </w:r>
      <w:r w:rsidRPr="00F12C9E">
        <w:t>Ciepłe Mieszkanie</w:t>
      </w:r>
      <w:r w:rsidR="006E7D5E">
        <w:t>”</w:t>
      </w:r>
      <w:r w:rsidRPr="00F12C9E">
        <w:t>.</w:t>
      </w:r>
      <w:bookmarkEnd w:id="295"/>
    </w:p>
    <w:p w14:paraId="73B548B7" w14:textId="77777777" w:rsidR="00F721EE" w:rsidRDefault="00F721EE" w:rsidP="00BA3E0C">
      <w:r w:rsidRPr="009F0F44">
        <w:t>Program ma na celu poprawę jakości powietrza oraz zmniejszenie emisji pyłów oraz gazów cieplarnianych poprzez wymianę nieefektywnych źródeł ciepła i poprawę efektywności energetycznej w lokalach mieszkalnych znajdujących się w budynkach wielorodzinnych.</w:t>
      </w:r>
    </w:p>
    <w:p w14:paraId="0CCBF352" w14:textId="517171E8" w:rsidR="00F73DDE" w:rsidRPr="00F12C9E" w:rsidRDefault="00F73DDE" w:rsidP="0074645C">
      <w:pPr>
        <w:pStyle w:val="Nagwek6"/>
      </w:pPr>
      <w:bookmarkStart w:id="296" w:name="_Ref157420391"/>
      <w:r w:rsidRPr="00F12C9E">
        <w:t xml:space="preserve">Działanie </w:t>
      </w:r>
      <w:r w:rsidR="005C2642">
        <w:fldChar w:fldCharType="begin"/>
      </w:r>
      <w:r w:rsidR="005C2642">
        <w:instrText xml:space="preserve"> SEQ Działanie \* ARABIC </w:instrText>
      </w:r>
      <w:r w:rsidR="005C2642">
        <w:fldChar w:fldCharType="separate"/>
      </w:r>
      <w:r w:rsidR="00DD3929">
        <w:rPr>
          <w:noProof/>
        </w:rPr>
        <w:t>26</w:t>
      </w:r>
      <w:r w:rsidR="005C2642">
        <w:rPr>
          <w:noProof/>
        </w:rPr>
        <w:fldChar w:fldCharType="end"/>
      </w:r>
      <w:r w:rsidRPr="00F12C9E">
        <w:t>. Zapewnienie warunków rozwoju SMR.</w:t>
      </w:r>
      <w:bookmarkEnd w:id="296"/>
    </w:p>
    <w:p w14:paraId="07424CF6" w14:textId="05A59F16" w:rsidR="00F73DDE" w:rsidRDefault="00783BE2" w:rsidP="00F73DDE">
      <w:r w:rsidRPr="00D24EFA">
        <w:t>Działanie polega na zapewnieniu warunków uruchomienia i funkcjonowania małych reaktorów modułowych przez podmioty prywatne</w:t>
      </w:r>
      <w:r w:rsidR="00F14D65">
        <w:t>,</w:t>
      </w:r>
      <w:r w:rsidRPr="00D24EFA">
        <w:t xml:space="preserve"> w tym m.in.: rozwój zasobów ludzkich i kompetencji, budowanie świadomości społecznej oraz wzmocnienie potencjału polskiego przemysłu.</w:t>
      </w:r>
    </w:p>
    <w:p w14:paraId="35EF224B" w14:textId="60F4CCA8" w:rsidR="00533F62" w:rsidRDefault="00533F62" w:rsidP="00533F62">
      <w:pPr>
        <w:pStyle w:val="Nagwek6"/>
      </w:pPr>
      <w:bookmarkStart w:id="297" w:name="_Ref159343989"/>
      <w:r>
        <w:t xml:space="preserve">Działanie </w:t>
      </w:r>
      <w:r w:rsidR="005C2642">
        <w:fldChar w:fldCharType="begin"/>
      </w:r>
      <w:r w:rsidR="005C2642">
        <w:instrText xml:space="preserve"> SEQ Działanie \* ARABIC </w:instrText>
      </w:r>
      <w:r w:rsidR="005C2642">
        <w:fldChar w:fldCharType="separate"/>
      </w:r>
      <w:r w:rsidR="00DD3929">
        <w:rPr>
          <w:noProof/>
        </w:rPr>
        <w:t>27</w:t>
      </w:r>
      <w:r w:rsidR="005C2642">
        <w:rPr>
          <w:noProof/>
        </w:rPr>
        <w:fldChar w:fldCharType="end"/>
      </w:r>
      <w:r>
        <w:t xml:space="preserve">. </w:t>
      </w:r>
      <w:r w:rsidR="00D61C9C">
        <w:t xml:space="preserve">Wzmocnienie skuteczności wykorzystania środków z bezpłatnych uprawnień do emisji </w:t>
      </w:r>
      <w:r w:rsidR="00F26E84">
        <w:t>gazów cieplarnianych</w:t>
      </w:r>
      <w:r w:rsidR="00F26E84" w:rsidRPr="00D61C9C">
        <w:t xml:space="preserve"> </w:t>
      </w:r>
      <w:r w:rsidR="00D61C9C" w:rsidRPr="00D61C9C">
        <w:t>w ciepłownictwie</w:t>
      </w:r>
      <w:r>
        <w:t>.</w:t>
      </w:r>
      <w:bookmarkEnd w:id="297"/>
      <w:r w:rsidR="00D61C9C">
        <w:t xml:space="preserve"> </w:t>
      </w:r>
    </w:p>
    <w:p w14:paraId="473E1D83" w14:textId="530404C5" w:rsidR="00533F62" w:rsidRPr="00533F62" w:rsidRDefault="00533F62" w:rsidP="00533F62">
      <w:r>
        <w:t>Działanie będzie polegać na</w:t>
      </w:r>
      <w:r w:rsidRPr="00533F62">
        <w:t xml:space="preserve"> </w:t>
      </w:r>
      <w:r>
        <w:t xml:space="preserve">zmianie regulacji w obszarze </w:t>
      </w:r>
      <w:r w:rsidRPr="00533F62">
        <w:t xml:space="preserve">zasady kształtowania taryf dla </w:t>
      </w:r>
      <w:r>
        <w:t xml:space="preserve">sprzedaży </w:t>
      </w:r>
      <w:r w:rsidRPr="00533F62">
        <w:t>ciepła</w:t>
      </w:r>
      <w:r w:rsidR="00D61C9C">
        <w:t>, tak by uwzględniały rozliczanie środków z bezpłatnych uprawnień do emisji CO</w:t>
      </w:r>
      <w:r w:rsidR="00D61C9C" w:rsidRPr="00D61C9C">
        <w:rPr>
          <w:vertAlign w:val="subscript"/>
        </w:rPr>
        <w:t>2</w:t>
      </w:r>
      <w:r w:rsidRPr="00533F62">
        <w:t xml:space="preserve"> oraz</w:t>
      </w:r>
      <w:r w:rsidR="00D61C9C">
        <w:t xml:space="preserve"> na określeniu</w:t>
      </w:r>
      <w:r w:rsidRPr="00533F62">
        <w:t xml:space="preserve"> warunk</w:t>
      </w:r>
      <w:r w:rsidR="00F14D65">
        <w:t>ów</w:t>
      </w:r>
      <w:r w:rsidRPr="00533F62">
        <w:t xml:space="preserve"> wykorzystania środków finansowych wygenerowanych wskutek przydziału bezpłatnych uprawnień na finansowanie inwestycji</w:t>
      </w:r>
      <w:r>
        <w:t>.</w:t>
      </w:r>
    </w:p>
    <w:p w14:paraId="5D1FF491" w14:textId="3A8ECC3C" w:rsidR="00F721EE" w:rsidRPr="00F12C9E" w:rsidRDefault="00F721EE" w:rsidP="00B4077C">
      <w:pPr>
        <w:pStyle w:val="Nagwek6"/>
      </w:pPr>
      <w:bookmarkStart w:id="298" w:name="_Ref157424317"/>
      <w:r w:rsidRPr="00F12C9E">
        <w:t xml:space="preserve">Działanie </w:t>
      </w:r>
      <w:r w:rsidR="005C2642">
        <w:fldChar w:fldCharType="begin"/>
      </w:r>
      <w:r w:rsidR="005C2642">
        <w:instrText xml:space="preserve"> SEQ Działanie \* ARABIC </w:instrText>
      </w:r>
      <w:r w:rsidR="005C2642">
        <w:fldChar w:fldCharType="separate"/>
      </w:r>
      <w:r w:rsidR="00DD3929">
        <w:rPr>
          <w:noProof/>
        </w:rPr>
        <w:t>28</w:t>
      </w:r>
      <w:r w:rsidR="005C2642">
        <w:rPr>
          <w:noProof/>
        </w:rPr>
        <w:fldChar w:fldCharType="end"/>
      </w:r>
      <w:r w:rsidRPr="00F12C9E">
        <w:t>.</w:t>
      </w:r>
      <w:r w:rsidR="006D0C65" w:rsidRPr="00F12C9E">
        <w:t xml:space="preserve"> </w:t>
      </w:r>
      <w:r w:rsidRPr="00F12C9E">
        <w:t>Inteligentne Systemy Transportowe (ITS).</w:t>
      </w:r>
      <w:bookmarkEnd w:id="298"/>
    </w:p>
    <w:p w14:paraId="2DF63CA3" w14:textId="6CF2A2FE" w:rsidR="00F721EE" w:rsidRPr="009F0F44" w:rsidRDefault="00F721EE" w:rsidP="00BA3E0C">
      <w:r w:rsidRPr="009F0F44">
        <w:t>Działanie obejmuje świadczenie usług związanych z różnymi rodzajami transportu i zarządzaniem ruchem, pozwalają</w:t>
      </w:r>
      <w:r w:rsidR="00F14D65">
        <w:t>cych</w:t>
      </w:r>
      <w:r w:rsidRPr="009F0F44">
        <w:t xml:space="preserve"> na lepsze informowanie różnych użytkowników oraz zapewniający</w:t>
      </w:r>
      <w:r w:rsidR="00F14D65">
        <w:t>ch</w:t>
      </w:r>
      <w:r w:rsidRPr="009F0F44">
        <w:t xml:space="preserve"> bezpieczniejsze, bardziej skoordynowane i „inteligentniejsze” korzystanie z sieci transportowych</w:t>
      </w:r>
      <w:r w:rsidR="007B2658">
        <w:t>.</w:t>
      </w:r>
    </w:p>
    <w:p w14:paraId="237D2081" w14:textId="59D2FC16" w:rsidR="00F721EE" w:rsidRPr="00F12C9E" w:rsidRDefault="00F721EE" w:rsidP="00B4077C">
      <w:pPr>
        <w:pStyle w:val="Nagwek6"/>
      </w:pPr>
      <w:bookmarkStart w:id="299" w:name="_Ref157424651"/>
      <w:r w:rsidRPr="00F12C9E">
        <w:t xml:space="preserve">Działanie </w:t>
      </w:r>
      <w:r w:rsidR="005C2642">
        <w:fldChar w:fldCharType="begin"/>
      </w:r>
      <w:r w:rsidR="005C2642">
        <w:instrText xml:space="preserve"> SEQ Działanie \* ARABIC </w:instrText>
      </w:r>
      <w:r w:rsidR="005C2642">
        <w:fldChar w:fldCharType="separate"/>
      </w:r>
      <w:r w:rsidR="00DD3929">
        <w:rPr>
          <w:noProof/>
        </w:rPr>
        <w:t>29</w:t>
      </w:r>
      <w:r w:rsidR="005C2642">
        <w:rPr>
          <w:noProof/>
        </w:rPr>
        <w:fldChar w:fldCharType="end"/>
      </w:r>
      <w:r w:rsidRPr="00F12C9E">
        <w:t>.</w:t>
      </w:r>
      <w:r w:rsidR="006D0C65" w:rsidRPr="00F12C9E">
        <w:t xml:space="preserve"> </w:t>
      </w:r>
      <w:r w:rsidRPr="00F12C9E">
        <w:t>Zwiększenie spójności dróg krajowych.</w:t>
      </w:r>
      <w:bookmarkEnd w:id="299"/>
    </w:p>
    <w:p w14:paraId="1254B155" w14:textId="1D8004C1" w:rsidR="00F721EE" w:rsidRPr="009F0F44" w:rsidRDefault="00F721EE" w:rsidP="00BA3E0C">
      <w:r w:rsidRPr="009F0F44">
        <w:t>Działanie polega na stworzeniu spójnej sieci dróg krajowych zapewniającej efektywne funkcjonowanie drogowego transportu osobowego i towarowego</w:t>
      </w:r>
      <w:r w:rsidR="00F1179D">
        <w:t>.</w:t>
      </w:r>
    </w:p>
    <w:p w14:paraId="377F9710" w14:textId="58DD9804" w:rsidR="00F721EE" w:rsidRPr="00F12C9E" w:rsidRDefault="00F721EE" w:rsidP="00B4077C">
      <w:pPr>
        <w:pStyle w:val="Nagwek6"/>
      </w:pPr>
      <w:bookmarkStart w:id="300" w:name="_Ref157424674"/>
      <w:r w:rsidRPr="00F12C9E">
        <w:t xml:space="preserve">Działanie </w:t>
      </w:r>
      <w:r w:rsidR="005C2642">
        <w:fldChar w:fldCharType="begin"/>
      </w:r>
      <w:r w:rsidR="005C2642">
        <w:instrText xml:space="preserve"> SEQ Działanie \* ARABIC </w:instrText>
      </w:r>
      <w:r w:rsidR="005C2642">
        <w:fldChar w:fldCharType="separate"/>
      </w:r>
      <w:r w:rsidR="00DD3929">
        <w:rPr>
          <w:noProof/>
        </w:rPr>
        <w:t>30</w:t>
      </w:r>
      <w:r w:rsidR="005C2642">
        <w:rPr>
          <w:noProof/>
        </w:rPr>
        <w:fldChar w:fldCharType="end"/>
      </w:r>
      <w:r w:rsidRPr="00F12C9E">
        <w:t>.</w:t>
      </w:r>
      <w:r w:rsidR="006D0C65" w:rsidRPr="00F12C9E">
        <w:t xml:space="preserve"> </w:t>
      </w:r>
      <w:r w:rsidRPr="00F12C9E">
        <w:t>Instrument finansowy – Fundusz rozwoju przewozów autobusowych o</w:t>
      </w:r>
      <w:r w:rsidR="006E7D5E">
        <w:t> </w:t>
      </w:r>
      <w:r w:rsidRPr="00F12C9E">
        <w:t>charakterze użyteczności publicznej.</w:t>
      </w:r>
      <w:bookmarkEnd w:id="300"/>
    </w:p>
    <w:p w14:paraId="34D315A2" w14:textId="4F38CAA1" w:rsidR="00F721EE" w:rsidRPr="009F0F44" w:rsidRDefault="00F721EE" w:rsidP="00BA3E0C">
      <w:r w:rsidRPr="009F0F44">
        <w:t xml:space="preserve">Działanie obejmuje wsparcie finansowe </w:t>
      </w:r>
      <w:r w:rsidR="0092187F" w:rsidRPr="009F0F44">
        <w:t xml:space="preserve">jednostek samorządu terytorialnego będących organizatorami publicznego transportu zbiorowego w </w:t>
      </w:r>
      <w:r w:rsidR="0092187F">
        <w:t xml:space="preserve">realizacji ich zadań własnych w zakresie </w:t>
      </w:r>
      <w:r w:rsidR="0092187F" w:rsidRPr="009F0F44">
        <w:t>przewozów autobusowych</w:t>
      </w:r>
      <w:r w:rsidR="0092187F">
        <w:t xml:space="preserve"> o charakterze użyteczności publicznej, z wyłączeniem komunikacji miejskiej</w:t>
      </w:r>
      <w:r w:rsidR="0092187F" w:rsidRPr="009F0F44">
        <w:t xml:space="preserve">. </w:t>
      </w:r>
      <w:r w:rsidRPr="009F0F44">
        <w:t>Dofinansowanie jest przyznawane w formie dopłaty do kwoty deficytu pojedynczej linii komunikacyjnej.</w:t>
      </w:r>
    </w:p>
    <w:p w14:paraId="736D0E51" w14:textId="0442690B" w:rsidR="00F721EE" w:rsidRPr="00F12C9E" w:rsidRDefault="00F721EE" w:rsidP="00B4077C">
      <w:pPr>
        <w:pStyle w:val="Nagwek6"/>
      </w:pPr>
      <w:bookmarkStart w:id="301" w:name="_Ref157424685"/>
      <w:r w:rsidRPr="00F12C9E">
        <w:t xml:space="preserve">Działanie </w:t>
      </w:r>
      <w:r w:rsidR="005C2642">
        <w:fldChar w:fldCharType="begin"/>
      </w:r>
      <w:r w:rsidR="005C2642">
        <w:instrText xml:space="preserve"> SEQ Działanie \* ARABIC </w:instrText>
      </w:r>
      <w:r w:rsidR="005C2642">
        <w:fldChar w:fldCharType="separate"/>
      </w:r>
      <w:r w:rsidR="00DD3929">
        <w:rPr>
          <w:noProof/>
        </w:rPr>
        <w:t>31</w:t>
      </w:r>
      <w:r w:rsidR="005C2642">
        <w:rPr>
          <w:noProof/>
        </w:rPr>
        <w:fldChar w:fldCharType="end"/>
      </w:r>
      <w:r w:rsidRPr="00F12C9E">
        <w:t>.</w:t>
      </w:r>
      <w:r w:rsidR="006D0C65" w:rsidRPr="00F12C9E">
        <w:t xml:space="preserve"> </w:t>
      </w:r>
      <w:r w:rsidRPr="00F12C9E">
        <w:t>Rozwój miejskich sieci transportowych.</w:t>
      </w:r>
      <w:bookmarkEnd w:id="301"/>
    </w:p>
    <w:p w14:paraId="39CB3B47" w14:textId="3363D51F" w:rsidR="00F721EE" w:rsidRPr="009F0F44" w:rsidRDefault="00F721EE" w:rsidP="00BA3E0C">
      <w:r w:rsidRPr="009F0F44">
        <w:t>Działanie polega na stworzeniu spójnej sieci dróg miejskich</w:t>
      </w:r>
      <w:r w:rsidR="00F14D65">
        <w:t>,</w:t>
      </w:r>
      <w:r w:rsidRPr="009F0F44">
        <w:t xml:space="preserve"> zapewniającej efektywne funkcjonowanie transportu drogowego i kolejowego</w:t>
      </w:r>
      <w:r w:rsidR="00F1179D">
        <w:t>.</w:t>
      </w:r>
    </w:p>
    <w:p w14:paraId="5E1FA2BF" w14:textId="27C9B0C0" w:rsidR="00F721EE" w:rsidRPr="00F12C9E" w:rsidRDefault="00F721EE" w:rsidP="00B4077C">
      <w:pPr>
        <w:pStyle w:val="Nagwek6"/>
      </w:pPr>
      <w:bookmarkStart w:id="302" w:name="_Ref157424690"/>
      <w:r w:rsidRPr="00F12C9E">
        <w:t xml:space="preserve">Działanie </w:t>
      </w:r>
      <w:r w:rsidR="005C2642">
        <w:fldChar w:fldCharType="begin"/>
      </w:r>
      <w:r w:rsidR="005C2642">
        <w:instrText xml:space="preserve"> SEQ Działanie \* ARABIC </w:instrText>
      </w:r>
      <w:r w:rsidR="005C2642">
        <w:fldChar w:fldCharType="separate"/>
      </w:r>
      <w:r w:rsidR="00DD3929">
        <w:rPr>
          <w:noProof/>
        </w:rPr>
        <w:t>32</w:t>
      </w:r>
      <w:r w:rsidR="005C2642">
        <w:rPr>
          <w:noProof/>
        </w:rPr>
        <w:fldChar w:fldCharType="end"/>
      </w:r>
      <w:r w:rsidRPr="00F12C9E">
        <w:t>.</w:t>
      </w:r>
      <w:r w:rsidR="006D0C65" w:rsidRPr="00F12C9E">
        <w:t xml:space="preserve"> </w:t>
      </w:r>
      <w:r w:rsidRPr="00F12C9E">
        <w:t>Plany zrównoważonego rozwoju publicznego transportu zbiorowego.</w:t>
      </w:r>
      <w:bookmarkEnd w:id="302"/>
    </w:p>
    <w:p w14:paraId="7EB37218" w14:textId="77777777" w:rsidR="00F721EE" w:rsidRPr="009F0F44" w:rsidRDefault="00F721EE" w:rsidP="00BA3E0C">
      <w:r w:rsidRPr="009F0F44">
        <w:t>Działanie dotyczy tworzenia planów zrównoważonego rozwoju publicznego transportu zbiorowego, które mają określić jego główne cele i kierunki rozwoju.</w:t>
      </w:r>
    </w:p>
    <w:p w14:paraId="68AB2284" w14:textId="0CAFAB3F" w:rsidR="00F721EE" w:rsidRPr="00F12C9E" w:rsidRDefault="00F721EE" w:rsidP="00B4077C">
      <w:pPr>
        <w:pStyle w:val="Nagwek6"/>
      </w:pPr>
      <w:bookmarkStart w:id="303" w:name="_Ref157424731"/>
      <w:r w:rsidRPr="00F12C9E">
        <w:t xml:space="preserve">Działanie </w:t>
      </w:r>
      <w:r w:rsidR="005C2642">
        <w:fldChar w:fldCharType="begin"/>
      </w:r>
      <w:r w:rsidR="005C2642">
        <w:instrText xml:space="preserve"> SEQ Działanie \* ARABIC </w:instrText>
      </w:r>
      <w:r w:rsidR="005C2642">
        <w:fldChar w:fldCharType="separate"/>
      </w:r>
      <w:r w:rsidR="00DD3929">
        <w:rPr>
          <w:noProof/>
        </w:rPr>
        <w:t>33</w:t>
      </w:r>
      <w:r w:rsidR="005C2642">
        <w:rPr>
          <w:noProof/>
        </w:rPr>
        <w:fldChar w:fldCharType="end"/>
      </w:r>
      <w:r w:rsidRPr="00F12C9E">
        <w:t>.</w:t>
      </w:r>
      <w:r w:rsidR="006D0C65" w:rsidRPr="00F12C9E">
        <w:t xml:space="preserve"> </w:t>
      </w:r>
      <w:r w:rsidRPr="00F12C9E">
        <w:t xml:space="preserve">Rozwój zeroemisyjnego transportu </w:t>
      </w:r>
      <w:r w:rsidR="008223B4">
        <w:t xml:space="preserve">publicznego w </w:t>
      </w:r>
      <w:r w:rsidRPr="00F12C9E">
        <w:t>mi</w:t>
      </w:r>
      <w:r w:rsidR="008223B4">
        <w:t>astach</w:t>
      </w:r>
      <w:r w:rsidRPr="00F12C9E">
        <w:t>.</w:t>
      </w:r>
      <w:bookmarkEnd w:id="303"/>
    </w:p>
    <w:p w14:paraId="0857FF05" w14:textId="249B6232" w:rsidR="00F721EE" w:rsidRPr="009F0F44" w:rsidRDefault="00F721EE" w:rsidP="00BA3E0C">
      <w:r w:rsidRPr="009F0F44">
        <w:t xml:space="preserve">Działanie polega na wspieraniu zrównoważonej mobilności miejskiej </w:t>
      </w:r>
      <w:r w:rsidR="001D2611">
        <w:t>m.in.</w:t>
      </w:r>
      <w:r w:rsidRPr="009F0F44">
        <w:t xml:space="preserve"> poprzez dofinansowanie przedsięwzięć polegających na</w:t>
      </w:r>
      <w:r w:rsidR="00F1179D" w:rsidRPr="00F1179D">
        <w:t xml:space="preserve"> obniżeniu poziomu emisji pochodzących z transportu publicznego</w:t>
      </w:r>
      <w:r w:rsidRPr="009F0F44">
        <w:t xml:space="preserve">. Obejmuje to wymianę taboru na bezemisyjny (tramwajów, trolejbusów lub autobusów), budowę, przebudowę i modernizację infrastruktury na potrzeby transportu miejskiego oraz digitalizację systemu mobilności w miastach. </w:t>
      </w:r>
      <w:r w:rsidR="00F1179D" w:rsidRPr="00F1179D">
        <w:t xml:space="preserve">Programy te realizowane będą przez NFOŚiGW (autobusy zeroemisyjne, infrastruktura ładownia autobusów oraz tankowania wodoru) oraz </w:t>
      </w:r>
      <w:r w:rsidR="00F1179D">
        <w:t xml:space="preserve">Centrum Unijnych Projektów Transportowych – </w:t>
      </w:r>
      <w:r w:rsidR="00F1179D" w:rsidRPr="00F1179D">
        <w:t>CUPT (tramwaje, inna infrastruktura transportu miejskiego).</w:t>
      </w:r>
    </w:p>
    <w:p w14:paraId="3116E78F" w14:textId="4AAA4248" w:rsidR="00F721EE" w:rsidRPr="00F12C9E" w:rsidRDefault="00F721EE" w:rsidP="00B4077C">
      <w:pPr>
        <w:pStyle w:val="Nagwek6"/>
      </w:pPr>
      <w:bookmarkStart w:id="304" w:name="_Ref157424740"/>
      <w:r w:rsidRPr="00F12C9E">
        <w:t xml:space="preserve">Działanie </w:t>
      </w:r>
      <w:r w:rsidR="005C2642">
        <w:fldChar w:fldCharType="begin"/>
      </w:r>
      <w:r w:rsidR="005C2642">
        <w:instrText xml:space="preserve"> SEQ Działanie \* ARABIC </w:instrText>
      </w:r>
      <w:r w:rsidR="005C2642">
        <w:fldChar w:fldCharType="separate"/>
      </w:r>
      <w:r w:rsidR="00DD3929">
        <w:rPr>
          <w:noProof/>
        </w:rPr>
        <w:t>34</w:t>
      </w:r>
      <w:r w:rsidR="005C2642">
        <w:rPr>
          <w:noProof/>
        </w:rPr>
        <w:fldChar w:fldCharType="end"/>
      </w:r>
      <w:r w:rsidRPr="00F12C9E">
        <w:t>.</w:t>
      </w:r>
      <w:r w:rsidR="006D0C65" w:rsidRPr="00F12C9E">
        <w:t xml:space="preserve"> </w:t>
      </w:r>
      <w:r w:rsidRPr="00F12C9E">
        <w:t>Utworzenie stref czystego transportu.</w:t>
      </w:r>
      <w:bookmarkEnd w:id="304"/>
    </w:p>
    <w:p w14:paraId="4608864D" w14:textId="24FBB5D9" w:rsidR="00F1179D" w:rsidRDefault="00F1179D" w:rsidP="00BA3E0C">
      <w:r>
        <w:t xml:space="preserve">Działanie będzie polegać na wyznaczaniu w </w:t>
      </w:r>
      <w:r w:rsidRPr="00F1179D">
        <w:t>miastach obszarów, w których ruch pojazdów emisyjnych będzie ograniczony. W przypadku miast liczących powyżej 100 tys. mieszkańców, gdzie przekroczone są normy emisji NO2 w powietrzu, tworzenie stref będzie obowiązkowe</w:t>
      </w:r>
      <w:r w:rsidR="00841D88">
        <w:t>.</w:t>
      </w:r>
    </w:p>
    <w:p w14:paraId="4F431223" w14:textId="698F5BAF" w:rsidR="008223B4" w:rsidRDefault="008223B4" w:rsidP="008223B4">
      <w:pPr>
        <w:pStyle w:val="Nagwek6"/>
      </w:pPr>
      <w:bookmarkStart w:id="305" w:name="_Ref159339806"/>
      <w:r>
        <w:t xml:space="preserve">Działanie </w:t>
      </w:r>
      <w:r w:rsidR="005C2642">
        <w:fldChar w:fldCharType="begin"/>
      </w:r>
      <w:r w:rsidR="005C2642">
        <w:instrText xml:space="preserve"> SEQ Działanie \* ARABIC </w:instrText>
      </w:r>
      <w:r w:rsidR="005C2642">
        <w:fldChar w:fldCharType="separate"/>
      </w:r>
      <w:r w:rsidR="00DD3929">
        <w:rPr>
          <w:noProof/>
        </w:rPr>
        <w:t>35</w:t>
      </w:r>
      <w:r w:rsidR="005C2642">
        <w:rPr>
          <w:noProof/>
        </w:rPr>
        <w:fldChar w:fldCharType="end"/>
      </w:r>
      <w:r>
        <w:t xml:space="preserve">. Opłata paliwowa i </w:t>
      </w:r>
      <w:r w:rsidR="00103ADD">
        <w:t xml:space="preserve">opłata </w:t>
      </w:r>
      <w:r>
        <w:t>emisyjna.</w:t>
      </w:r>
      <w:bookmarkEnd w:id="305"/>
    </w:p>
    <w:p w14:paraId="4A14F30B" w14:textId="1D832ECD" w:rsidR="008223B4" w:rsidRDefault="00C945B2" w:rsidP="008223B4">
      <w:r w:rsidRPr="00C945B2">
        <w:rPr>
          <w:b/>
          <w:bCs/>
          <w:i/>
          <w:iCs/>
        </w:rPr>
        <w:t>Opłata paliwowa</w:t>
      </w:r>
      <w:r>
        <w:t xml:space="preserve"> oznacza </w:t>
      </w:r>
      <w:r w:rsidRPr="00723115">
        <w:t xml:space="preserve">obowiązek </w:t>
      </w:r>
      <w:r>
        <w:t xml:space="preserve">uiszczenia </w:t>
      </w:r>
      <w:r w:rsidRPr="00723115">
        <w:t xml:space="preserve">opłaty za wprowadzenie na rynek krajowy paliw silnikowych oraz gazu wykorzystywanych do napędu silników spalinowych. Obowiązek </w:t>
      </w:r>
      <w:r>
        <w:t>dotyczy</w:t>
      </w:r>
      <w:r w:rsidRPr="00723115">
        <w:t xml:space="preserve"> producen</w:t>
      </w:r>
      <w:r>
        <w:t>tów</w:t>
      </w:r>
      <w:r w:rsidRPr="00723115">
        <w:t xml:space="preserve"> oraz importer</w:t>
      </w:r>
      <w:r>
        <w:t>ów</w:t>
      </w:r>
      <w:r w:rsidRPr="00723115">
        <w:t xml:space="preserve"> paliw silnikowych oraz gazu, podmiot</w:t>
      </w:r>
      <w:r>
        <w:t>ów</w:t>
      </w:r>
      <w:r w:rsidRPr="00723115">
        <w:t xml:space="preserve"> dokonując</w:t>
      </w:r>
      <w:r>
        <w:t>ych</w:t>
      </w:r>
      <w:r w:rsidRPr="00723115">
        <w:t xml:space="preserve"> nabycia wewnątrzwspólnotowego w rozumieniu przepisów o podatku akcyzowym paliw silnikowych lub gazu oraz inne podmioty podlegające na podstawie przepisów o podatku akcyzowym obowiązkowi podatkowemu w zakresie podatku akcyzowego od paliw silnikowych lub gazu</w:t>
      </w:r>
      <w:r>
        <w:t xml:space="preserve"> (w oparciu o u</w:t>
      </w:r>
      <w:r w:rsidRPr="00723115">
        <w:t>staw</w:t>
      </w:r>
      <w:r>
        <w:t>ę</w:t>
      </w:r>
      <w:r w:rsidRPr="00723115">
        <w:t xml:space="preserve"> z dnia 27 października 1994 r. </w:t>
      </w:r>
      <w:r w:rsidRPr="00373FD3">
        <w:t>o autostradach płatnych oraz o Krajowym Funduszu Drogowym</w:t>
      </w:r>
      <w:r w:rsidRPr="00723115">
        <w:t xml:space="preserve"> (Dz. U. z 2022 r. poz. 659)</w:t>
      </w:r>
      <w:r>
        <w:t>)</w:t>
      </w:r>
    </w:p>
    <w:p w14:paraId="20A5FD92" w14:textId="537BF0CF" w:rsidR="00C945B2" w:rsidRDefault="00C945B2" w:rsidP="008223B4">
      <w:r w:rsidRPr="008670FF">
        <w:rPr>
          <w:b/>
          <w:bCs/>
          <w:i/>
          <w:iCs/>
        </w:rPr>
        <w:t>Opłata emisyjna</w:t>
      </w:r>
      <w:r>
        <w:t xml:space="preserve"> stanowi obowiązek uiszczenia </w:t>
      </w:r>
      <w:r w:rsidRPr="00C945B2">
        <w:t xml:space="preserve">80 zł/1000 l </w:t>
      </w:r>
      <w:r>
        <w:t xml:space="preserve">przez </w:t>
      </w:r>
      <w:r w:rsidRPr="00C945B2">
        <w:t>producentów i importerów paliw silnikowych, podmioty dokonujące nabycia wewnątrzwspólnotowego w rozumieniu przepisów o podatku akcyzowym wprowadzających na rynek krajowy paliw silnikowych</w:t>
      </w:r>
      <w:r>
        <w:t xml:space="preserve"> w wysokości </w:t>
      </w:r>
      <w:r w:rsidRPr="00C945B2">
        <w:t>80 zł/1000 l</w:t>
      </w:r>
      <w:r>
        <w:t xml:space="preserve"> (w oparciu o u</w:t>
      </w:r>
      <w:r w:rsidRPr="00C945B2">
        <w:t>staw</w:t>
      </w:r>
      <w:r>
        <w:t>ę</w:t>
      </w:r>
      <w:r w:rsidRPr="00C945B2">
        <w:t xml:space="preserve"> </w:t>
      </w:r>
      <w:r>
        <w:t xml:space="preserve">– </w:t>
      </w:r>
      <w:r w:rsidRPr="00C945B2">
        <w:t>Prawo ochrony środowiska (Dz. U. z 2022 r. poz. 2556)</w:t>
      </w:r>
      <w:r>
        <w:t xml:space="preserve">). </w:t>
      </w:r>
      <w:r w:rsidR="008670FF" w:rsidRPr="00B7409D">
        <w:t xml:space="preserve">95% opłaty emisyjnej stanowi przychód Narodowego Funduszu Ochrony Środowiska i Gospodarki Wodnej, a </w:t>
      </w:r>
      <w:r w:rsidR="008670FF">
        <w:t>pozostałe</w:t>
      </w:r>
      <w:r w:rsidR="008670FF" w:rsidRPr="00B7409D">
        <w:t xml:space="preserve"> 5% tej opłaty </w:t>
      </w:r>
      <w:r w:rsidR="008670FF">
        <w:t>–</w:t>
      </w:r>
      <w:r w:rsidR="008670FF" w:rsidRPr="00B7409D">
        <w:t xml:space="preserve"> Funduszu rozwoju przewozów autobusowych o charakterze użyteczności publicznej.</w:t>
      </w:r>
    </w:p>
    <w:p w14:paraId="0BE060EB" w14:textId="602E7822" w:rsidR="00F721EE" w:rsidRPr="00F12C9E" w:rsidRDefault="00F721EE" w:rsidP="00B4077C">
      <w:pPr>
        <w:pStyle w:val="Nagwek6"/>
      </w:pPr>
      <w:bookmarkStart w:id="306" w:name="_Ref157424755"/>
      <w:r w:rsidRPr="00F12C9E">
        <w:t xml:space="preserve">Działanie </w:t>
      </w:r>
      <w:r w:rsidR="005C2642">
        <w:fldChar w:fldCharType="begin"/>
      </w:r>
      <w:r w:rsidR="005C2642">
        <w:instrText xml:space="preserve"> SEQ Działanie \* ARABIC </w:instrText>
      </w:r>
      <w:r w:rsidR="005C2642">
        <w:fldChar w:fldCharType="separate"/>
      </w:r>
      <w:r w:rsidR="00DD3929">
        <w:rPr>
          <w:noProof/>
        </w:rPr>
        <w:t>36</w:t>
      </w:r>
      <w:r w:rsidR="005C2642">
        <w:rPr>
          <w:noProof/>
        </w:rPr>
        <w:fldChar w:fldCharType="end"/>
      </w:r>
      <w:r w:rsidRPr="00F12C9E">
        <w:t>.</w:t>
      </w:r>
      <w:r w:rsidR="006D0C65" w:rsidRPr="00F12C9E">
        <w:t xml:space="preserve"> </w:t>
      </w:r>
      <w:r w:rsidRPr="00F12C9E">
        <w:t>Instrument</w:t>
      </w:r>
      <w:r w:rsidR="00841D88">
        <w:t>y</w:t>
      </w:r>
      <w:r w:rsidRPr="00F12C9E">
        <w:t xml:space="preserve"> finansow</w:t>
      </w:r>
      <w:r w:rsidR="00841D88">
        <w:t>ego</w:t>
      </w:r>
      <w:r w:rsidRPr="00F12C9E">
        <w:t xml:space="preserve"> wsparci</w:t>
      </w:r>
      <w:r w:rsidR="00841D88">
        <w:t>a</w:t>
      </w:r>
      <w:r w:rsidRPr="00F12C9E">
        <w:t xml:space="preserve"> elektromobilności.</w:t>
      </w:r>
      <w:bookmarkEnd w:id="306"/>
    </w:p>
    <w:p w14:paraId="307BDEDE" w14:textId="1175A9FB" w:rsidR="00841D88" w:rsidRDefault="00841D88" w:rsidP="00841D88">
      <w:r>
        <w:t>Działanie obejmuje</w:t>
      </w:r>
      <w:r w:rsidR="00F721EE" w:rsidRPr="009F0F44">
        <w:t xml:space="preserve"> szereg </w:t>
      </w:r>
      <w:r w:rsidRPr="00841D88">
        <w:t>program</w:t>
      </w:r>
      <w:r w:rsidR="00F14D65">
        <w:t>ów</w:t>
      </w:r>
      <w:r w:rsidRPr="00841D88">
        <w:t xml:space="preserve"> finansowego </w:t>
      </w:r>
      <w:r w:rsidR="00F721EE" w:rsidRPr="009F0F44">
        <w:t>wsparcia rozwoju elektromobilności</w:t>
      </w:r>
      <w:r>
        <w:t xml:space="preserve">, w szczególności program </w:t>
      </w:r>
      <w:r w:rsidRPr="009F0F44">
        <w:t>„Mój elektryk”</w:t>
      </w:r>
      <w:r>
        <w:rPr>
          <w:rFonts w:asciiTheme="minorHAnsi" w:hAnsiTheme="minorHAnsi"/>
          <w:sz w:val="22"/>
        </w:rPr>
        <w:t>,</w:t>
      </w:r>
      <w:r w:rsidRPr="00781B32">
        <w:rPr>
          <w:rFonts w:asciiTheme="minorHAnsi" w:hAnsiTheme="minorHAnsi"/>
          <w:sz w:val="22"/>
        </w:rPr>
        <w:t xml:space="preserve"> </w:t>
      </w:r>
      <w:r>
        <w:rPr>
          <w:rFonts w:asciiTheme="minorHAnsi" w:hAnsiTheme="minorHAnsi"/>
          <w:sz w:val="22"/>
        </w:rPr>
        <w:t>którego</w:t>
      </w:r>
      <w:r w:rsidRPr="00781B32">
        <w:rPr>
          <w:rFonts w:asciiTheme="minorHAnsi" w:hAnsiTheme="minorHAnsi"/>
          <w:sz w:val="22"/>
        </w:rPr>
        <w:t xml:space="preserve"> </w:t>
      </w:r>
      <w:r w:rsidRPr="00921985">
        <w:t>celem jest wsparcie zakupu lub leasingu pojazdów elektrycznych przez osoby fizyczne, przedsiębiorców, jednostki samorządu terytorialnego, organizacje społeczne</w:t>
      </w:r>
      <w:bookmarkStart w:id="307" w:name="_Hlk158626689"/>
      <w:r w:rsidRPr="00921985">
        <w:t>.</w:t>
      </w:r>
      <w:r>
        <w:t xml:space="preserve"> </w:t>
      </w:r>
    </w:p>
    <w:p w14:paraId="37AADA0C" w14:textId="66312336" w:rsidR="00841D88" w:rsidRDefault="00841D88" w:rsidP="00841D88">
      <w:pPr>
        <w:rPr>
          <w:rFonts w:asciiTheme="minorHAnsi" w:hAnsiTheme="minorHAnsi"/>
          <w:sz w:val="22"/>
        </w:rPr>
      </w:pPr>
      <w:r>
        <w:t>Planowane jest uruchomienie programu ,,</w:t>
      </w:r>
      <w:r w:rsidRPr="008C436D">
        <w:t>Wsparcie zakupu lub leasingu pojazdów zeroemisyjnych kategorii N2 i N3</w:t>
      </w:r>
      <w:bookmarkStart w:id="308" w:name="_Hlk158288774"/>
      <w:bookmarkEnd w:id="307"/>
      <w:r w:rsidR="00103ADD">
        <w:t>”</w:t>
      </w:r>
      <w:r>
        <w:t>, którego</w:t>
      </w:r>
      <w:r w:rsidRPr="00035844">
        <w:rPr>
          <w:rFonts w:asciiTheme="minorHAnsi" w:hAnsiTheme="minorHAnsi"/>
          <w:sz w:val="22"/>
        </w:rPr>
        <w:t xml:space="preserve"> </w:t>
      </w:r>
      <w:r>
        <w:rPr>
          <w:rFonts w:asciiTheme="minorHAnsi" w:hAnsiTheme="minorHAnsi"/>
          <w:sz w:val="22"/>
        </w:rPr>
        <w:t>celem będzie wsparcie polskich przedsiębiorców świadczących usługi transportowe w zakupie zeroemisyjnych pojazdów ciężarowych</w:t>
      </w:r>
      <w:r w:rsidRPr="4A239698">
        <w:rPr>
          <w:rFonts w:asciiTheme="minorHAnsi" w:hAnsiTheme="minorHAnsi"/>
          <w:sz w:val="22"/>
        </w:rPr>
        <w:t>,</w:t>
      </w:r>
      <w:r>
        <w:rPr>
          <w:rFonts w:asciiTheme="minorHAnsi" w:hAnsiTheme="minorHAnsi"/>
          <w:sz w:val="22"/>
        </w:rPr>
        <w:t xml:space="preserve"> aby mogli utrzymać konkurencyjną pozycję na rynku europejskim.</w:t>
      </w:r>
      <w:bookmarkEnd w:id="308"/>
    </w:p>
    <w:p w14:paraId="051FA0FA" w14:textId="07B9ED5A" w:rsidR="00841D88" w:rsidRDefault="00841D88" w:rsidP="00841D88">
      <w:pPr>
        <w:pStyle w:val="Nagwek6"/>
      </w:pPr>
      <w:bookmarkStart w:id="309" w:name="_Ref159236917"/>
      <w:r w:rsidRPr="00F12C9E">
        <w:t xml:space="preserve">Działanie </w:t>
      </w:r>
      <w:r w:rsidR="005C2642">
        <w:fldChar w:fldCharType="begin"/>
      </w:r>
      <w:r w:rsidR="005C2642">
        <w:instrText xml:space="preserve"> SEQ Działanie \* ARABIC </w:instrText>
      </w:r>
      <w:r w:rsidR="005C2642">
        <w:fldChar w:fldCharType="separate"/>
      </w:r>
      <w:r w:rsidR="00DD3929">
        <w:rPr>
          <w:noProof/>
        </w:rPr>
        <w:t>37</w:t>
      </w:r>
      <w:r w:rsidR="005C2642">
        <w:rPr>
          <w:noProof/>
        </w:rPr>
        <w:fldChar w:fldCharType="end"/>
      </w:r>
      <w:r w:rsidRPr="00F12C9E">
        <w:t>. Instrument</w:t>
      </w:r>
      <w:r>
        <w:t>y</w:t>
      </w:r>
      <w:r w:rsidRPr="00F12C9E">
        <w:t xml:space="preserve"> </w:t>
      </w:r>
      <w:r>
        <w:t>poza</w:t>
      </w:r>
      <w:r w:rsidRPr="00F12C9E">
        <w:t>finansow</w:t>
      </w:r>
      <w:r>
        <w:t>ego</w:t>
      </w:r>
      <w:r w:rsidRPr="00F12C9E">
        <w:t xml:space="preserve"> wsparci</w:t>
      </w:r>
      <w:r>
        <w:t>a</w:t>
      </w:r>
      <w:r w:rsidRPr="00F12C9E">
        <w:t xml:space="preserve"> elektromobilności</w:t>
      </w:r>
      <w:r>
        <w:t>.</w:t>
      </w:r>
      <w:bookmarkEnd w:id="309"/>
    </w:p>
    <w:p w14:paraId="498D1815" w14:textId="649689B8" w:rsidR="00841D88" w:rsidRDefault="00841D88" w:rsidP="00841D88">
      <w:r>
        <w:t xml:space="preserve">Przewiduje się utrzymanie zachęt dla użytkowników pojazdów zeroemisyjnych, do których zalicza się: zwolnienie pojazdów elektrycznych z opłat za postój na drogach publicznych w strefach płatnego parkowania, dopuszczenie pojazdów BEV i FCEV do korzystania z pasów drogi wyodrębnionych dla autobusów. </w:t>
      </w:r>
    </w:p>
    <w:p w14:paraId="44E1AE8D" w14:textId="50838FD9" w:rsidR="00841D88" w:rsidRDefault="00C63D9B" w:rsidP="00841D88">
      <w:r>
        <w:t>Utrzymane zostaną preferencje dla pojazdów elektrycznych i wodorowych w podatku akcyzowym</w:t>
      </w:r>
      <w:r w:rsidR="00841D88">
        <w:t>.  Rozważona zostanie kwestia zmiany sposobu naliczania podatku akcyzowego dla pojazdów spalinowych.</w:t>
      </w:r>
    </w:p>
    <w:p w14:paraId="6E41C60D" w14:textId="394A2163" w:rsidR="00841D88" w:rsidRPr="00841D88" w:rsidRDefault="00841D88" w:rsidP="00841D88">
      <w:r>
        <w:t>Ponadto od 2026 t. przewiduje się obniżenie kwoty amortyzacji dla pojazdów z silnikiem spalinowym – dla pojazdów emitujących powyżej 50 g CO</w:t>
      </w:r>
      <w:r w:rsidRPr="00841D88">
        <w:rPr>
          <w:vertAlign w:val="subscript"/>
        </w:rPr>
        <w:t>2</w:t>
      </w:r>
      <w:r>
        <w:t xml:space="preserve"> na kilometr będzie obowiązywał nowy, obniżony limit amortyzacji samochodów w wysokości 100 tys. zł., natomiast samochody emitujące do 50 g CO</w:t>
      </w:r>
      <w:r w:rsidRPr="008E4324">
        <w:rPr>
          <w:vertAlign w:val="subscript"/>
        </w:rPr>
        <w:t>2</w:t>
      </w:r>
      <w:r>
        <w:t xml:space="preserve"> na km będą nadal uprawnione do “starego” limitu w wysokości 150 tys. zł. Pojazdy zeroemisyjne tj. elektryczne oraz wodorowe obowiązywać będzie najwyższy limit 225 tys. zł.  </w:t>
      </w:r>
    </w:p>
    <w:p w14:paraId="20010067" w14:textId="24040784" w:rsidR="00F721EE" w:rsidRPr="00F12C9E" w:rsidRDefault="00F721EE" w:rsidP="00B4077C">
      <w:pPr>
        <w:pStyle w:val="Nagwek6"/>
      </w:pPr>
      <w:bookmarkStart w:id="310" w:name="_Ref157424782"/>
      <w:r w:rsidRPr="00F12C9E">
        <w:t xml:space="preserve">Działanie </w:t>
      </w:r>
      <w:r w:rsidR="005C2642">
        <w:fldChar w:fldCharType="begin"/>
      </w:r>
      <w:r w:rsidR="005C2642">
        <w:instrText xml:space="preserve"> SEQ Działanie \* ARABIC </w:instrText>
      </w:r>
      <w:r w:rsidR="005C2642">
        <w:fldChar w:fldCharType="separate"/>
      </w:r>
      <w:r w:rsidR="00DD3929">
        <w:rPr>
          <w:noProof/>
        </w:rPr>
        <w:t>38</w:t>
      </w:r>
      <w:r w:rsidR="005C2642">
        <w:rPr>
          <w:noProof/>
        </w:rPr>
        <w:fldChar w:fldCharType="end"/>
      </w:r>
      <w:r w:rsidRPr="00F12C9E">
        <w:t>.</w:t>
      </w:r>
      <w:r w:rsidR="006D0C65" w:rsidRPr="00F12C9E">
        <w:t xml:space="preserve"> </w:t>
      </w:r>
      <w:r w:rsidRPr="00F12C9E">
        <w:t>Rozwój infrastruktury do ładowania pojazdów elektrycznych.</w:t>
      </w:r>
      <w:bookmarkEnd w:id="310"/>
    </w:p>
    <w:p w14:paraId="6179273D" w14:textId="2B5D28B9" w:rsidR="00F721EE" w:rsidRPr="009F0F44" w:rsidRDefault="00841D88" w:rsidP="00841D88">
      <w:r>
        <w:t>Przewiduje się dalsze finansowe wsparcie budowy infrastruktury ładowania z naciskiem na stacje ładowania dla pojazdów ciężkich, tworzone przy drogach w korytarzach sieci TEN-T. Działaniem niezbędnym i uzupełniającym powyższe jest wsparcie rozbudowy sieci dystrybucyjnej na potrzeby stacji ładowania</w:t>
      </w:r>
      <w:r w:rsidR="00F721EE" w:rsidRPr="009F0F44">
        <w:t>.</w:t>
      </w:r>
    </w:p>
    <w:p w14:paraId="299D1EF3" w14:textId="6F4104EE" w:rsidR="00F721EE" w:rsidRPr="00F12C9E" w:rsidRDefault="00F721EE" w:rsidP="00B4077C">
      <w:pPr>
        <w:pStyle w:val="Nagwek6"/>
      </w:pPr>
      <w:bookmarkStart w:id="311" w:name="_Ref157425010"/>
      <w:r w:rsidRPr="00F12C9E">
        <w:t xml:space="preserve">Działanie </w:t>
      </w:r>
      <w:r w:rsidR="005C2642">
        <w:fldChar w:fldCharType="begin"/>
      </w:r>
      <w:r w:rsidR="005C2642">
        <w:instrText xml:space="preserve"> SEQ Działanie \* ARABIC </w:instrText>
      </w:r>
      <w:r w:rsidR="005C2642">
        <w:fldChar w:fldCharType="separate"/>
      </w:r>
      <w:r w:rsidR="00DD3929">
        <w:rPr>
          <w:noProof/>
        </w:rPr>
        <w:t>39</w:t>
      </w:r>
      <w:r w:rsidR="005C2642">
        <w:rPr>
          <w:noProof/>
        </w:rPr>
        <w:fldChar w:fldCharType="end"/>
      </w:r>
      <w:r w:rsidRPr="00F12C9E">
        <w:t>.</w:t>
      </w:r>
      <w:r w:rsidR="006D0C65" w:rsidRPr="00F12C9E">
        <w:t xml:space="preserve"> </w:t>
      </w:r>
      <w:r w:rsidRPr="00F12C9E">
        <w:t>Rozwój Ewidencji Infrastruktury Paliw Alternatywnych.</w:t>
      </w:r>
      <w:bookmarkEnd w:id="311"/>
    </w:p>
    <w:p w14:paraId="1FFA59C6" w14:textId="2FED8D40" w:rsidR="00F721EE" w:rsidRPr="009F0F44" w:rsidRDefault="00F721EE" w:rsidP="00BA3E0C">
      <w:r w:rsidRPr="009F0F44">
        <w:t xml:space="preserve">Działania w zakresie rozwoju rejestru zawierającego informacje o współrzędnych </w:t>
      </w:r>
      <w:r w:rsidR="00F1179D">
        <w:t xml:space="preserve">ogólnodostępnych </w:t>
      </w:r>
      <w:r w:rsidRPr="009F0F44">
        <w:t>stacji gazu ziemnego, wodoru i stacji ładowania, aktualnych cenach paliw alternatywnych oraz dostępności punktów ładowania zainstalowanych w ogólnodostępnych stacjach ładowania.</w:t>
      </w:r>
    </w:p>
    <w:p w14:paraId="1ABA41A0" w14:textId="11C8C053" w:rsidR="00F721EE" w:rsidRPr="00F12C9E" w:rsidRDefault="00F721EE" w:rsidP="00B4077C">
      <w:pPr>
        <w:pStyle w:val="Nagwek6"/>
      </w:pPr>
      <w:bookmarkStart w:id="312" w:name="_Ref157425021"/>
      <w:r w:rsidRPr="00F12C9E">
        <w:t xml:space="preserve">Działanie </w:t>
      </w:r>
      <w:r w:rsidR="005C2642">
        <w:fldChar w:fldCharType="begin"/>
      </w:r>
      <w:r w:rsidR="005C2642">
        <w:instrText xml:space="preserve"> SEQ Działanie \* ARABIC </w:instrText>
      </w:r>
      <w:r w:rsidR="005C2642">
        <w:fldChar w:fldCharType="separate"/>
      </w:r>
      <w:r w:rsidR="00DD3929">
        <w:rPr>
          <w:noProof/>
        </w:rPr>
        <w:t>40</w:t>
      </w:r>
      <w:r w:rsidR="005C2642">
        <w:rPr>
          <w:noProof/>
        </w:rPr>
        <w:fldChar w:fldCharType="end"/>
      </w:r>
      <w:r w:rsidRPr="00F12C9E">
        <w:t>.</w:t>
      </w:r>
      <w:r w:rsidR="006D0C65" w:rsidRPr="00F12C9E">
        <w:t xml:space="preserve"> </w:t>
      </w:r>
      <w:r w:rsidRPr="00F12C9E">
        <w:t>Działania w zakresie rozwoju wykorzystywania biopaliw.</w:t>
      </w:r>
      <w:bookmarkEnd w:id="312"/>
    </w:p>
    <w:p w14:paraId="76746A38" w14:textId="6A06AE8B" w:rsidR="00F721EE" w:rsidRPr="009F0F44" w:rsidRDefault="00F721EE" w:rsidP="00BA3E0C">
      <w:r w:rsidRPr="009F0F44">
        <w:t>Działanie polega na zapewnieniu warunków rozwoju biopaliw</w:t>
      </w:r>
      <w:r w:rsidR="00F14D65">
        <w:t>,</w:t>
      </w:r>
      <w:r w:rsidRPr="009F0F44">
        <w:t xml:space="preserve"> w tym </w:t>
      </w:r>
      <w:r w:rsidR="001D2611">
        <w:t>m.in.</w:t>
      </w:r>
      <w:r w:rsidRPr="009F0F44">
        <w:t>: przygotowanie regulacji, instrumenty finansowe, budowanie świadomości.</w:t>
      </w:r>
    </w:p>
    <w:p w14:paraId="252F5FA6" w14:textId="7B2213FA" w:rsidR="00F721EE" w:rsidRPr="00F1179D" w:rsidRDefault="00F721EE" w:rsidP="00F1179D">
      <w:pPr>
        <w:pStyle w:val="Nagwek6"/>
        <w:rPr>
          <w:rStyle w:val="Nagwek6Znak"/>
          <w:b/>
          <w:bCs/>
        </w:rPr>
      </w:pPr>
      <w:bookmarkStart w:id="313" w:name="_Ref157425039"/>
      <w:r w:rsidRPr="00F1179D">
        <w:rPr>
          <w:rStyle w:val="Nagwek6Znak"/>
          <w:b/>
          <w:bCs/>
        </w:rPr>
        <w:t xml:space="preserve">Działanie </w:t>
      </w:r>
      <w:r w:rsidRPr="00F1179D">
        <w:rPr>
          <w:rStyle w:val="Nagwek6Znak"/>
          <w:b/>
          <w:bCs/>
        </w:rPr>
        <w:fldChar w:fldCharType="begin"/>
      </w:r>
      <w:r w:rsidRPr="00F1179D">
        <w:rPr>
          <w:rStyle w:val="Nagwek6Znak"/>
          <w:b/>
          <w:bCs/>
        </w:rPr>
        <w:instrText xml:space="preserve"> SEQ Działanie \* ARABIC </w:instrText>
      </w:r>
      <w:r w:rsidRPr="00F1179D">
        <w:rPr>
          <w:rStyle w:val="Nagwek6Znak"/>
          <w:b/>
          <w:bCs/>
        </w:rPr>
        <w:fldChar w:fldCharType="separate"/>
      </w:r>
      <w:r w:rsidR="00DD3929">
        <w:rPr>
          <w:rStyle w:val="Nagwek6Znak"/>
          <w:b/>
          <w:bCs/>
          <w:noProof/>
        </w:rPr>
        <w:t>41</w:t>
      </w:r>
      <w:r w:rsidRPr="00F1179D">
        <w:rPr>
          <w:rStyle w:val="Nagwek6Znak"/>
          <w:b/>
          <w:bCs/>
        </w:rPr>
        <w:fldChar w:fldCharType="end"/>
      </w:r>
      <w:r w:rsidRPr="00F1179D">
        <w:rPr>
          <w:rStyle w:val="Nagwek6Znak"/>
          <w:b/>
          <w:bCs/>
        </w:rPr>
        <w:t>.</w:t>
      </w:r>
      <w:r w:rsidR="006D0C65" w:rsidRPr="00F1179D">
        <w:rPr>
          <w:rStyle w:val="Nagwek6Znak"/>
          <w:b/>
          <w:bCs/>
        </w:rPr>
        <w:t xml:space="preserve"> </w:t>
      </w:r>
      <w:r w:rsidRPr="00F1179D">
        <w:rPr>
          <w:rStyle w:val="Nagwek6Znak"/>
          <w:b/>
          <w:bCs/>
        </w:rPr>
        <w:t>Budowanie świadomości – kształtowanie prośrodowiskowych postaw</w:t>
      </w:r>
      <w:r w:rsidRPr="00F1179D">
        <w:rPr>
          <w:b w:val="0"/>
          <w:bCs/>
        </w:rPr>
        <w:t xml:space="preserve"> </w:t>
      </w:r>
      <w:r w:rsidRPr="00F1179D">
        <w:rPr>
          <w:rStyle w:val="Nagwek6Znak"/>
          <w:b/>
          <w:bCs/>
        </w:rPr>
        <w:t>kierowców.</w:t>
      </w:r>
      <w:bookmarkEnd w:id="313"/>
    </w:p>
    <w:p w14:paraId="25753641" w14:textId="77777777" w:rsidR="00F721EE" w:rsidRPr="009F0F44" w:rsidRDefault="00F721EE" w:rsidP="00BA3E0C">
      <w:r w:rsidRPr="009F0F44">
        <w:t>Działania promocyjne skierowane do kierowców, pasażerów i producentów pojazdów mające na celu upowszechnianie stosowania w transporcie drogowym rozwiązań przyjaznych środowisku. Obejmuje organizowanie konferencji, webinariów, szkoleń, projektów, konkursów czy innych działań promocyjnych.</w:t>
      </w:r>
    </w:p>
    <w:p w14:paraId="0352D1FD" w14:textId="6A5C4784" w:rsidR="00F721EE" w:rsidRPr="00F12C9E" w:rsidRDefault="00F721EE" w:rsidP="00B4077C">
      <w:pPr>
        <w:pStyle w:val="Nagwek6"/>
      </w:pPr>
      <w:bookmarkStart w:id="314" w:name="_Ref157425047"/>
      <w:r w:rsidRPr="00F12C9E">
        <w:t xml:space="preserve">Działanie </w:t>
      </w:r>
      <w:r w:rsidR="005C2642">
        <w:fldChar w:fldCharType="begin"/>
      </w:r>
      <w:r w:rsidR="005C2642">
        <w:instrText xml:space="preserve"> SEQ Działanie \* ARABIC </w:instrText>
      </w:r>
      <w:r w:rsidR="005C2642">
        <w:fldChar w:fldCharType="separate"/>
      </w:r>
      <w:r w:rsidR="00DD3929">
        <w:rPr>
          <w:noProof/>
        </w:rPr>
        <w:t>42</w:t>
      </w:r>
      <w:r w:rsidR="005C2642">
        <w:rPr>
          <w:noProof/>
        </w:rPr>
        <w:fldChar w:fldCharType="end"/>
      </w:r>
      <w:r w:rsidRPr="00F12C9E">
        <w:t>.</w:t>
      </w:r>
      <w:r w:rsidR="006D0C65" w:rsidRPr="00F12C9E">
        <w:t xml:space="preserve"> </w:t>
      </w:r>
      <w:r w:rsidRPr="00F12C9E">
        <w:t>Zwiększanie wymagań – poprawa emisyjności pojazdów.</w:t>
      </w:r>
      <w:bookmarkEnd w:id="314"/>
    </w:p>
    <w:p w14:paraId="1B4E82AC" w14:textId="53767252" w:rsidR="00F721EE" w:rsidRPr="009F0F44" w:rsidRDefault="00F721EE" w:rsidP="00BA3E0C">
      <w:r w:rsidRPr="009F0F44">
        <w:t xml:space="preserve">Działanie polega na stosowaniu klasyfikacji norm Euro </w:t>
      </w:r>
      <w:r w:rsidR="006D0C65" w:rsidRPr="009F0F44">
        <w:t>określających</w:t>
      </w:r>
      <w:r w:rsidRPr="009F0F44">
        <w:t xml:space="preserve"> dopuszczalne poziomy emisji zanieczyszczeń dla samochodów osobowych i lekkich samochodów dostawczych, samochodów ciężarowych, autobusów oraz skuterów i motocykli.</w:t>
      </w:r>
    </w:p>
    <w:p w14:paraId="1332C7DF" w14:textId="1403C7FE" w:rsidR="00F721EE" w:rsidRPr="00F12C9E" w:rsidRDefault="00F721EE" w:rsidP="00B4077C">
      <w:pPr>
        <w:pStyle w:val="Nagwek6"/>
      </w:pPr>
      <w:bookmarkStart w:id="315" w:name="_Ref157425054"/>
      <w:r w:rsidRPr="00F12C9E">
        <w:t xml:space="preserve">Działanie </w:t>
      </w:r>
      <w:r w:rsidR="005C2642">
        <w:fldChar w:fldCharType="begin"/>
      </w:r>
      <w:r w:rsidR="005C2642">
        <w:instrText xml:space="preserve"> SEQ Działanie \* ARABIC </w:instrText>
      </w:r>
      <w:r w:rsidR="005C2642">
        <w:fldChar w:fldCharType="separate"/>
      </w:r>
      <w:r w:rsidR="00DD3929">
        <w:rPr>
          <w:noProof/>
        </w:rPr>
        <w:t>43</w:t>
      </w:r>
      <w:r w:rsidR="005C2642">
        <w:rPr>
          <w:noProof/>
        </w:rPr>
        <w:fldChar w:fldCharType="end"/>
      </w:r>
      <w:r w:rsidRPr="00F12C9E">
        <w:t>.</w:t>
      </w:r>
      <w:r w:rsidR="006D0C65" w:rsidRPr="00F12C9E">
        <w:t xml:space="preserve"> </w:t>
      </w:r>
      <w:r w:rsidRPr="00F12C9E">
        <w:t>Zwiększanie wymagań – redukcja emisyjności paliw stosowanych w</w:t>
      </w:r>
      <w:r w:rsidR="001058BD">
        <w:rPr>
          <w:szCs w:val="24"/>
        </w:rPr>
        <w:t> </w:t>
      </w:r>
      <w:r w:rsidRPr="00F12C9E">
        <w:t>transporcie.</w:t>
      </w:r>
      <w:bookmarkEnd w:id="315"/>
    </w:p>
    <w:p w14:paraId="1E2A7AF3" w14:textId="0633BB7F" w:rsidR="00F721EE" w:rsidRPr="009F0F44" w:rsidRDefault="00F721EE" w:rsidP="00BA3E0C">
      <w:r w:rsidRPr="009F0F44">
        <w:t>Działania na rzecz redukcji w cyklu życia paliw transportowych zużycia do poziomu 88,4 g</w:t>
      </w:r>
      <w:r w:rsidR="00841D88">
        <w:t xml:space="preserve"> ekw. </w:t>
      </w:r>
      <w:r w:rsidRPr="009F0F44">
        <w:t>CO</w:t>
      </w:r>
      <w:r w:rsidRPr="00841D88">
        <w:rPr>
          <w:vertAlign w:val="subscript"/>
        </w:rPr>
        <w:t>2</w:t>
      </w:r>
      <w:r w:rsidRPr="009F0F44">
        <w:t xml:space="preserve">/MJ. Podmioty realizujące Narodowy Cel Redukcyjny zobowiązane są do składania sprawozdań rocznych. Nieosiągnięcie celu obostrzone jest karą pieniężną. </w:t>
      </w:r>
    </w:p>
    <w:p w14:paraId="585C098B" w14:textId="03C2AAFB" w:rsidR="00F721EE" w:rsidRPr="00F12C9E" w:rsidRDefault="00F721EE" w:rsidP="00B4077C">
      <w:pPr>
        <w:pStyle w:val="Nagwek6"/>
      </w:pPr>
      <w:bookmarkStart w:id="316" w:name="_Ref157425060"/>
      <w:r w:rsidRPr="00F12C9E">
        <w:t xml:space="preserve">Działanie </w:t>
      </w:r>
      <w:r w:rsidR="005C2642">
        <w:fldChar w:fldCharType="begin"/>
      </w:r>
      <w:r w:rsidR="005C2642">
        <w:instrText xml:space="preserve"> SEQ Działanie \* ARABIC </w:instrText>
      </w:r>
      <w:r w:rsidR="005C2642">
        <w:fldChar w:fldCharType="separate"/>
      </w:r>
      <w:r w:rsidR="00DD3929">
        <w:rPr>
          <w:noProof/>
        </w:rPr>
        <w:t>44</w:t>
      </w:r>
      <w:r w:rsidR="005C2642">
        <w:rPr>
          <w:noProof/>
        </w:rPr>
        <w:fldChar w:fldCharType="end"/>
      </w:r>
      <w:r w:rsidRPr="00F12C9E">
        <w:t>.</w:t>
      </w:r>
      <w:r w:rsidR="006D0C65" w:rsidRPr="00F12C9E">
        <w:t xml:space="preserve"> </w:t>
      </w:r>
      <w:r w:rsidRPr="00F12C9E">
        <w:t>Modernizacja infrastruktury kolejowej</w:t>
      </w:r>
      <w:r w:rsidR="00DB53EE">
        <w:t xml:space="preserve"> oraz rozbudowa lokalnej i regionalnej </w:t>
      </w:r>
      <w:r w:rsidR="00DB53EE" w:rsidRPr="00F12C9E">
        <w:t>infrastruktury kolejowej</w:t>
      </w:r>
      <w:r w:rsidRPr="00F12C9E">
        <w:t>.</w:t>
      </w:r>
      <w:bookmarkEnd w:id="316"/>
    </w:p>
    <w:p w14:paraId="5DE6F249" w14:textId="4F89F230" w:rsidR="00F721EE" w:rsidRPr="009F0F44" w:rsidRDefault="00F721EE" w:rsidP="00BA3E0C">
      <w:r w:rsidRPr="009F0F44">
        <w:t>Działania mają na celu wspieranie inwestycji dotyczących modernizacji infrastruktury kolejowej, modernizacji taboru do przewozów pasażerskich i towarowych, modernizacji dworców kolejowych.</w:t>
      </w:r>
      <w:r w:rsidR="00DB53EE">
        <w:t xml:space="preserve"> Ponadto </w:t>
      </w:r>
      <w:r w:rsidR="00DB53EE" w:rsidRPr="009F0F44">
        <w:t>wspieran</w:t>
      </w:r>
      <w:r w:rsidR="00DB53EE">
        <w:t>e będą</w:t>
      </w:r>
      <w:r w:rsidR="00DB53EE" w:rsidRPr="009F0F44">
        <w:t xml:space="preserve"> inwestycj</w:t>
      </w:r>
      <w:r w:rsidR="00DB53EE">
        <w:t>e</w:t>
      </w:r>
      <w:r w:rsidR="00DB53EE" w:rsidRPr="009F0F44">
        <w:t xml:space="preserve"> dotycząc</w:t>
      </w:r>
      <w:r w:rsidR="00DB53EE">
        <w:t>e dalszego</w:t>
      </w:r>
      <w:r w:rsidR="00DB53EE" w:rsidRPr="009F0F44">
        <w:t xml:space="preserve"> rozwoju sieci kolejowej, budow</w:t>
      </w:r>
      <w:r w:rsidR="00B73E00">
        <w:t>y</w:t>
      </w:r>
      <w:r w:rsidR="00DB53EE" w:rsidRPr="009F0F44">
        <w:t xml:space="preserve"> </w:t>
      </w:r>
      <w:r w:rsidR="00B73E00">
        <w:t>n</w:t>
      </w:r>
      <w:r w:rsidR="00DB53EE" w:rsidRPr="009F0F44">
        <w:t>owych linii kolejowych, inwestycje punktowe, jak np. budowa nowych</w:t>
      </w:r>
      <w:r w:rsidR="00DB53EE">
        <w:t xml:space="preserve"> </w:t>
      </w:r>
      <w:r w:rsidR="00DB53EE" w:rsidRPr="009F0F44">
        <w:t>przystanków, mijanek czy łącznic kolejowych, a</w:t>
      </w:r>
      <w:r w:rsidR="00DB53EE">
        <w:t> </w:t>
      </w:r>
      <w:r w:rsidR="00DB53EE" w:rsidRPr="009F0F44">
        <w:t>także wdrażani</w:t>
      </w:r>
      <w:r w:rsidR="00B73E00">
        <w:t>a</w:t>
      </w:r>
      <w:r w:rsidR="00DB53EE" w:rsidRPr="009F0F44">
        <w:t xml:space="preserve"> systemów zarządzania ruchem kolejowym.</w:t>
      </w:r>
    </w:p>
    <w:p w14:paraId="1A0124D3" w14:textId="0B03258D" w:rsidR="00F721EE" w:rsidRPr="00F12C9E" w:rsidRDefault="00F721EE" w:rsidP="00B4077C">
      <w:pPr>
        <w:pStyle w:val="Nagwek6"/>
      </w:pPr>
      <w:bookmarkStart w:id="317" w:name="_Ref157425072"/>
      <w:r w:rsidRPr="00F12C9E">
        <w:t xml:space="preserve">Działanie </w:t>
      </w:r>
      <w:r w:rsidR="005C2642">
        <w:fldChar w:fldCharType="begin"/>
      </w:r>
      <w:r w:rsidR="005C2642">
        <w:instrText xml:space="preserve"> SEQ Działanie \* ARABIC </w:instrText>
      </w:r>
      <w:r w:rsidR="005C2642">
        <w:fldChar w:fldCharType="separate"/>
      </w:r>
      <w:r w:rsidR="00DD3929">
        <w:rPr>
          <w:noProof/>
        </w:rPr>
        <w:t>45</w:t>
      </w:r>
      <w:r w:rsidR="005C2642">
        <w:rPr>
          <w:noProof/>
        </w:rPr>
        <w:fldChar w:fldCharType="end"/>
      </w:r>
      <w:r w:rsidRPr="00F12C9E">
        <w:t>.</w:t>
      </w:r>
      <w:r w:rsidR="006D0C65" w:rsidRPr="00F12C9E">
        <w:t xml:space="preserve"> </w:t>
      </w:r>
      <w:r w:rsidRPr="00F12C9E">
        <w:t>Integracja transportu kolejowego z pozostałymi gałęziami transportu.</w:t>
      </w:r>
      <w:bookmarkEnd w:id="317"/>
    </w:p>
    <w:p w14:paraId="38EE79C3" w14:textId="3C0B2B09" w:rsidR="00F721EE" w:rsidRPr="009F0F44" w:rsidRDefault="00F721EE" w:rsidP="00BA3E0C">
      <w:r w:rsidRPr="009F0F44">
        <w:t>Działania mają na celu wspieranie inwestycji dotyczących promocji szynowego transportu zbiorowego poprzez rozwijanie publicznego transportu pasażerskiego i zintegrowanie z nim pozostałych przewozów pasażerskich.</w:t>
      </w:r>
    </w:p>
    <w:p w14:paraId="3E187923" w14:textId="44970BCC" w:rsidR="00F721EE" w:rsidRPr="00F12C9E" w:rsidRDefault="00F721EE" w:rsidP="00B4077C">
      <w:pPr>
        <w:pStyle w:val="Nagwek6"/>
      </w:pPr>
      <w:bookmarkStart w:id="318" w:name="_Ref157425147"/>
      <w:r w:rsidRPr="00F12C9E">
        <w:t xml:space="preserve">Działanie </w:t>
      </w:r>
      <w:r w:rsidR="005C2642">
        <w:fldChar w:fldCharType="begin"/>
      </w:r>
      <w:r w:rsidR="005C2642">
        <w:instrText xml:space="preserve"> SEQ Działanie \* ARABIC </w:instrText>
      </w:r>
      <w:r w:rsidR="005C2642">
        <w:fldChar w:fldCharType="separate"/>
      </w:r>
      <w:r w:rsidR="00DD3929">
        <w:rPr>
          <w:noProof/>
        </w:rPr>
        <w:t>46</w:t>
      </w:r>
      <w:r w:rsidR="005C2642">
        <w:rPr>
          <w:noProof/>
        </w:rPr>
        <w:fldChar w:fldCharType="end"/>
      </w:r>
      <w:r w:rsidRPr="00F12C9E">
        <w:t>.</w:t>
      </w:r>
      <w:r w:rsidR="006D0C65" w:rsidRPr="00F12C9E">
        <w:t xml:space="preserve"> </w:t>
      </w:r>
      <w:r w:rsidR="0092187F">
        <w:t>Zapewnienie dostępności paliw alternatywnych w portach morskich</w:t>
      </w:r>
      <w:r w:rsidRPr="00F12C9E">
        <w:t>.</w:t>
      </w:r>
      <w:bookmarkEnd w:id="318"/>
    </w:p>
    <w:p w14:paraId="4BEC175E" w14:textId="60A82BBF" w:rsidR="00F721EE" w:rsidRPr="009F0F44" w:rsidRDefault="00A744D0" w:rsidP="0092187F">
      <w:r>
        <w:t xml:space="preserve">Działanie </w:t>
      </w:r>
      <w:r w:rsidR="0092187F">
        <w:t>obejmuje rozbudowę infrastruktury paliw alternatywnych w zakresie bunkrowania statków skroplonym gazem ziemnym oraz zasilania statków energią elektryczną w polskich portach leżących na sieci TEN</w:t>
      </w:r>
      <w:r>
        <w:t>–</w:t>
      </w:r>
      <w:r w:rsidR="0092187F">
        <w:t>T (tj. Gdańsk, Gdynia, Szczecin i Świnoujście), będących jednocześnie portami o podstawowym znaczeniu dla gospodarki narodowej. LNG może być dostarczane na statki także za pomocą cystern – w</w:t>
      </w:r>
      <w:r>
        <w:t> </w:t>
      </w:r>
      <w:r w:rsidR="0092187F">
        <w:t>rozporządzeniu AFIR brak jest obowiązku budowy stałej infrastruktury w tym zakresie</w:t>
      </w:r>
      <w:r w:rsidR="00F721EE" w:rsidRPr="009F0F44">
        <w:t>.</w:t>
      </w:r>
    </w:p>
    <w:p w14:paraId="0927370C" w14:textId="676C40F9" w:rsidR="00F721EE" w:rsidRPr="00F12C9E" w:rsidRDefault="00F721EE" w:rsidP="00B4077C">
      <w:pPr>
        <w:pStyle w:val="Nagwek6"/>
      </w:pPr>
      <w:bookmarkStart w:id="319" w:name="_Ref157425152"/>
      <w:r w:rsidRPr="00F12C9E">
        <w:t xml:space="preserve">Działanie </w:t>
      </w:r>
      <w:r w:rsidR="005C2642">
        <w:fldChar w:fldCharType="begin"/>
      </w:r>
      <w:r w:rsidR="005C2642">
        <w:instrText xml:space="preserve"> SEQ Działanie \* ARABIC </w:instrText>
      </w:r>
      <w:r w:rsidR="005C2642">
        <w:fldChar w:fldCharType="separate"/>
      </w:r>
      <w:r w:rsidR="00DD3929">
        <w:rPr>
          <w:noProof/>
        </w:rPr>
        <w:t>47</w:t>
      </w:r>
      <w:r w:rsidR="005C2642">
        <w:rPr>
          <w:noProof/>
        </w:rPr>
        <w:fldChar w:fldCharType="end"/>
      </w:r>
      <w:r w:rsidRPr="00F12C9E">
        <w:t>.</w:t>
      </w:r>
      <w:r w:rsidR="006D0C65" w:rsidRPr="00F12C9E">
        <w:t xml:space="preserve"> </w:t>
      </w:r>
      <w:r w:rsidRPr="00F12C9E">
        <w:t>Wdrażanie innowacyjnych technologii w zarządzaniu ruchem statków</w:t>
      </w:r>
      <w:r w:rsidRPr="00BA3E0C">
        <w:rPr>
          <w:szCs w:val="24"/>
        </w:rPr>
        <w:t xml:space="preserve"> </w:t>
      </w:r>
      <w:r w:rsidRPr="00F12C9E">
        <w:t>morskich.</w:t>
      </w:r>
      <w:bookmarkEnd w:id="319"/>
    </w:p>
    <w:p w14:paraId="407779F0" w14:textId="77777777" w:rsidR="00F721EE" w:rsidRPr="009F0F44" w:rsidRDefault="00F721EE" w:rsidP="00BA3E0C">
      <w:r w:rsidRPr="009F0F44">
        <w:t>Działanie obejmuje zastosowanie zaawansowanych systemów nawigacyjnych, monitorowania środowiska morskiego, automatyzacji sterowania statkiem oraz wykorzystywanie danych satelitarnych i sensorów do optymalizacji tras i unikania kolizji. To także rozwój komunikacji morskiej i integracja technologii dla zwiększania efektywności i bezpieczeństwa żeglugi.</w:t>
      </w:r>
    </w:p>
    <w:p w14:paraId="51B10635" w14:textId="7352488A" w:rsidR="00F721EE" w:rsidRPr="00F12C9E" w:rsidRDefault="00F721EE" w:rsidP="00B4077C">
      <w:pPr>
        <w:pStyle w:val="Nagwek6"/>
      </w:pPr>
      <w:bookmarkStart w:id="320" w:name="_Ref157425165"/>
      <w:r w:rsidRPr="00F12C9E">
        <w:t xml:space="preserve">Działanie </w:t>
      </w:r>
      <w:r w:rsidR="005C2642">
        <w:fldChar w:fldCharType="begin"/>
      </w:r>
      <w:r w:rsidR="005C2642">
        <w:instrText xml:space="preserve"> SEQ Działanie \* ARABIC </w:instrText>
      </w:r>
      <w:r w:rsidR="005C2642">
        <w:fldChar w:fldCharType="separate"/>
      </w:r>
      <w:r w:rsidR="00DD3929">
        <w:rPr>
          <w:noProof/>
        </w:rPr>
        <w:t>48</w:t>
      </w:r>
      <w:r w:rsidR="005C2642">
        <w:rPr>
          <w:noProof/>
        </w:rPr>
        <w:fldChar w:fldCharType="end"/>
      </w:r>
      <w:r w:rsidRPr="00F12C9E">
        <w:t>.</w:t>
      </w:r>
      <w:r w:rsidR="006D0C65" w:rsidRPr="00F12C9E">
        <w:t xml:space="preserve"> </w:t>
      </w:r>
      <w:r w:rsidRPr="00F12C9E">
        <w:t>Rozwój śródlądowych dróg wodnych o znaczeniu transportowym.</w:t>
      </w:r>
      <w:bookmarkEnd w:id="320"/>
    </w:p>
    <w:p w14:paraId="0F480F5A" w14:textId="77777777" w:rsidR="00F721EE" w:rsidRPr="009F0F44" w:rsidRDefault="00F721EE" w:rsidP="00BA3E0C">
      <w:r w:rsidRPr="009F0F44">
        <w:t>Działanie ma na celu modernizację i budowę nowych dróg wodnych w międzynarodowych klasach żeglowności. Rozwój w tym obszarze pozwala na przeniesienie ładunków z transportu drogowego na niskoemisyjny transport wodny i zapewni poprawę dostępności do portów morskich. Ponadto, działanie zapewnia przywrócenie klas żeglowności na drogach wodnych o znaczeniu regionalnym.</w:t>
      </w:r>
    </w:p>
    <w:p w14:paraId="38D6B23F" w14:textId="359C22B8" w:rsidR="00F721EE" w:rsidRPr="00F12C9E" w:rsidRDefault="00F721EE" w:rsidP="00B4077C">
      <w:pPr>
        <w:pStyle w:val="Nagwek6"/>
      </w:pPr>
      <w:bookmarkStart w:id="321" w:name="_Ref157425172"/>
      <w:r w:rsidRPr="00F12C9E">
        <w:t xml:space="preserve">Działanie </w:t>
      </w:r>
      <w:r w:rsidR="005C2642">
        <w:fldChar w:fldCharType="begin"/>
      </w:r>
      <w:r w:rsidR="005C2642">
        <w:instrText xml:space="preserve"> SEQ Działanie \* ARABIC </w:instrText>
      </w:r>
      <w:r w:rsidR="005C2642">
        <w:fldChar w:fldCharType="separate"/>
      </w:r>
      <w:r w:rsidR="00DD3929">
        <w:rPr>
          <w:noProof/>
        </w:rPr>
        <w:t>49</w:t>
      </w:r>
      <w:r w:rsidR="005C2642">
        <w:rPr>
          <w:noProof/>
        </w:rPr>
        <w:fldChar w:fldCharType="end"/>
      </w:r>
      <w:r w:rsidRPr="00F12C9E">
        <w:t>.</w:t>
      </w:r>
      <w:r w:rsidR="006D0C65" w:rsidRPr="00F12C9E">
        <w:t xml:space="preserve"> </w:t>
      </w:r>
      <w:r w:rsidR="006E7D5E">
        <w:t>W</w:t>
      </w:r>
      <w:r w:rsidRPr="00F12C9E">
        <w:t>drażanie wymagań dla silników spalinowych stosowanych w żegludze śródlądowej.</w:t>
      </w:r>
      <w:bookmarkEnd w:id="321"/>
    </w:p>
    <w:p w14:paraId="6AB381E2" w14:textId="139FFBC3" w:rsidR="00107E7C" w:rsidRPr="00107E7C" w:rsidRDefault="00F721EE" w:rsidP="00107E7C">
      <w:r w:rsidRPr="009F0F44">
        <w:t>Działanie ma na celu wprowadzenie wymagań dla silników spalinowych, które będą zamontowane w</w:t>
      </w:r>
      <w:r w:rsidR="006E7D5E">
        <w:t> </w:t>
      </w:r>
      <w:r w:rsidRPr="009F0F44">
        <w:t>maszynach ruchomych innych niż drogowe. Celem jest ograniczenie emisji zanieczyszczeń gazowych i</w:t>
      </w:r>
      <w:r w:rsidR="006E7D5E">
        <w:t> </w:t>
      </w:r>
      <w:r w:rsidRPr="009F0F44">
        <w:t>cząstek stałych przez te silniki. Producenci przed wprowadzeniem do obrotu silników są zobowiązani do otrzymania certyfikatu homologacji danego typu silnika.</w:t>
      </w:r>
    </w:p>
    <w:p w14:paraId="42DECF70" w14:textId="47629EB8" w:rsidR="00F721EE" w:rsidRPr="00F12C9E" w:rsidRDefault="00F721EE" w:rsidP="00B4077C">
      <w:pPr>
        <w:pStyle w:val="Nagwek6"/>
      </w:pPr>
      <w:bookmarkStart w:id="322" w:name="_Ref157425184"/>
      <w:r w:rsidRPr="00F12C9E">
        <w:t xml:space="preserve">Działanie </w:t>
      </w:r>
      <w:r w:rsidR="005C2642">
        <w:fldChar w:fldCharType="begin"/>
      </w:r>
      <w:r w:rsidR="005C2642">
        <w:instrText xml:space="preserve"> SEQ Działanie \* ARABIC </w:instrText>
      </w:r>
      <w:r w:rsidR="005C2642">
        <w:fldChar w:fldCharType="separate"/>
      </w:r>
      <w:r w:rsidR="00DD3929">
        <w:rPr>
          <w:noProof/>
        </w:rPr>
        <w:t>50</w:t>
      </w:r>
      <w:r w:rsidR="005C2642">
        <w:rPr>
          <w:noProof/>
        </w:rPr>
        <w:fldChar w:fldCharType="end"/>
      </w:r>
      <w:r w:rsidRPr="00F12C9E">
        <w:t>.</w:t>
      </w:r>
      <w:r w:rsidR="006D0C65" w:rsidRPr="00F12C9E">
        <w:t xml:space="preserve"> </w:t>
      </w:r>
      <w:r w:rsidRPr="00F12C9E">
        <w:t>Poprawa infrastruktury portów lotniczych.</w:t>
      </w:r>
      <w:bookmarkEnd w:id="322"/>
    </w:p>
    <w:p w14:paraId="78C8C976" w14:textId="77777777" w:rsidR="00F721EE" w:rsidRPr="009F0F44" w:rsidRDefault="00F721EE" w:rsidP="00BA3E0C">
      <w:r w:rsidRPr="009F0F44">
        <w:t>Działanie ma na celu dostosowanie infrastruktury portów lotniczych do obsługi zwiększającej się liczby pasażerów i operacji lotniczych oraz poprawę skomunikowania regionalnych portów lotniczych z drogową oraz kolejową siecią transportową.</w:t>
      </w:r>
    </w:p>
    <w:p w14:paraId="0999468D" w14:textId="342C9A56" w:rsidR="00F721EE" w:rsidRPr="00F12C9E" w:rsidRDefault="00F721EE" w:rsidP="00B4077C">
      <w:pPr>
        <w:pStyle w:val="Nagwek6"/>
      </w:pPr>
      <w:bookmarkStart w:id="323" w:name="_Ref157425188"/>
      <w:r w:rsidRPr="00F12C9E">
        <w:t xml:space="preserve">Działanie </w:t>
      </w:r>
      <w:r w:rsidR="005C2642">
        <w:fldChar w:fldCharType="begin"/>
      </w:r>
      <w:r w:rsidR="005C2642">
        <w:instrText xml:space="preserve"> SEQ Działanie \* ARABIC </w:instrText>
      </w:r>
      <w:r w:rsidR="005C2642">
        <w:fldChar w:fldCharType="separate"/>
      </w:r>
      <w:r w:rsidR="00DD3929">
        <w:rPr>
          <w:noProof/>
        </w:rPr>
        <w:t>51</w:t>
      </w:r>
      <w:r w:rsidR="005C2642">
        <w:rPr>
          <w:noProof/>
        </w:rPr>
        <w:fldChar w:fldCharType="end"/>
      </w:r>
      <w:r w:rsidRPr="00F12C9E">
        <w:t>.</w:t>
      </w:r>
      <w:r w:rsidR="006D0C65" w:rsidRPr="00F12C9E">
        <w:t xml:space="preserve"> </w:t>
      </w:r>
      <w:r w:rsidRPr="00F12C9E">
        <w:t>Wdrożenie innowacyjnych rozwiązań w ruchu lotniczym.</w:t>
      </w:r>
      <w:bookmarkEnd w:id="323"/>
    </w:p>
    <w:p w14:paraId="58344E76" w14:textId="0D4EC1A6" w:rsidR="00F721EE" w:rsidRPr="009F0F44" w:rsidRDefault="00F721EE" w:rsidP="00BA3E0C">
      <w:r w:rsidRPr="009F0F44">
        <w:t>Działanie ma na celu wdrożenie nowoczesnego systemu zarządzania ruchem lotniczym</w:t>
      </w:r>
      <w:r w:rsidR="00774B04">
        <w:t>,</w:t>
      </w:r>
      <w:r w:rsidRPr="009F0F44">
        <w:t xml:space="preserve"> pozwalającego na zwiększenie przepustowości sieci ATM, poprawienie wskaźników bezpieczeństwa czy zredukowanie negatywnego wpływu lotnictwa na środowisko naturalne.</w:t>
      </w:r>
    </w:p>
    <w:p w14:paraId="0FD70341" w14:textId="63079A98" w:rsidR="00F721EE" w:rsidRPr="00F12C9E" w:rsidRDefault="00F721EE" w:rsidP="00B4077C">
      <w:pPr>
        <w:pStyle w:val="Nagwek6"/>
      </w:pPr>
      <w:bookmarkStart w:id="324" w:name="_Ref157425194"/>
      <w:r w:rsidRPr="00F12C9E">
        <w:t xml:space="preserve">Działanie </w:t>
      </w:r>
      <w:r w:rsidR="005C2642">
        <w:fldChar w:fldCharType="begin"/>
      </w:r>
      <w:r w:rsidR="005C2642">
        <w:instrText xml:space="preserve"> SEQ Działanie \* ARABIC </w:instrText>
      </w:r>
      <w:r w:rsidR="005C2642">
        <w:fldChar w:fldCharType="separate"/>
      </w:r>
      <w:r w:rsidR="00DD3929">
        <w:rPr>
          <w:noProof/>
        </w:rPr>
        <w:t>52</w:t>
      </w:r>
      <w:r w:rsidR="005C2642">
        <w:rPr>
          <w:noProof/>
        </w:rPr>
        <w:fldChar w:fldCharType="end"/>
      </w:r>
      <w:r w:rsidRPr="00F12C9E">
        <w:t>.</w:t>
      </w:r>
      <w:r w:rsidR="006D0C65" w:rsidRPr="00F12C9E">
        <w:t xml:space="preserve"> </w:t>
      </w:r>
      <w:r w:rsidRPr="00F12C9E">
        <w:t>Uczestnictwo w systemie offsetu lotnictwa międzynarodowego (CORSIA).</w:t>
      </w:r>
      <w:bookmarkEnd w:id="324"/>
    </w:p>
    <w:p w14:paraId="46A490EE" w14:textId="77777777" w:rsidR="00F721EE" w:rsidRDefault="00F721EE" w:rsidP="00BA3E0C">
      <w:r w:rsidRPr="009F0F44">
        <w:t>Program ten obejmuje mechanizm kompensacji i redukcji emisji CO</w:t>
      </w:r>
      <w:r w:rsidRPr="00A744D0">
        <w:rPr>
          <w:vertAlign w:val="subscript"/>
        </w:rPr>
        <w:t>2</w:t>
      </w:r>
      <w:r w:rsidRPr="009F0F44">
        <w:t xml:space="preserve"> w lotnictwie międzynarodowym, który wykorzystuje rynkowe instrumenty polityki ochrony środowiska w celu zrekompensowania emisji CO</w:t>
      </w:r>
      <w:r w:rsidRPr="00A744D0">
        <w:rPr>
          <w:vertAlign w:val="subscript"/>
        </w:rPr>
        <w:t>2</w:t>
      </w:r>
      <w:r w:rsidRPr="009F0F44">
        <w:t xml:space="preserve">. Operatorzy statków powietrznych są w nim zobowiązani do kupowania kredytów węglowych z rynku emisji dwutlenku węgla. </w:t>
      </w:r>
    </w:p>
    <w:p w14:paraId="161A3109" w14:textId="50BC10DF" w:rsidR="00F721EE" w:rsidRPr="00F12C9E" w:rsidRDefault="00F721EE" w:rsidP="00B4077C">
      <w:pPr>
        <w:pStyle w:val="Nagwek6"/>
      </w:pPr>
      <w:bookmarkStart w:id="325" w:name="_Ref157425202"/>
      <w:r w:rsidRPr="00F12C9E">
        <w:t xml:space="preserve">Działanie </w:t>
      </w:r>
      <w:r w:rsidR="005C2642">
        <w:fldChar w:fldCharType="begin"/>
      </w:r>
      <w:r w:rsidR="005C2642">
        <w:instrText xml:space="preserve"> SEQ Działanie \* ARABIC </w:instrText>
      </w:r>
      <w:r w:rsidR="005C2642">
        <w:fldChar w:fldCharType="separate"/>
      </w:r>
      <w:r w:rsidR="00DD3929">
        <w:rPr>
          <w:noProof/>
        </w:rPr>
        <w:t>53</w:t>
      </w:r>
      <w:r w:rsidR="005C2642">
        <w:rPr>
          <w:noProof/>
        </w:rPr>
        <w:fldChar w:fldCharType="end"/>
      </w:r>
      <w:r w:rsidRPr="00F12C9E">
        <w:t>.</w:t>
      </w:r>
      <w:r w:rsidR="006D0C65" w:rsidRPr="00F12C9E">
        <w:t xml:space="preserve"> </w:t>
      </w:r>
      <w:r w:rsidRPr="00F12C9E">
        <w:t>Poprawa efektywności operacyjnej transportu lotniczego.</w:t>
      </w:r>
      <w:bookmarkEnd w:id="325"/>
    </w:p>
    <w:p w14:paraId="05D7D3FB" w14:textId="77777777" w:rsidR="00F721EE" w:rsidRPr="009F0F44" w:rsidRDefault="00F721EE" w:rsidP="00BA3E0C">
      <w:r w:rsidRPr="009F0F44">
        <w:t>Działanie ma na celu systematyczne unowocześnianie floty lotniczej o pojazdy niskoemisyjne i emitujące niższe wartości CO</w:t>
      </w:r>
      <w:r w:rsidRPr="00A744D0">
        <w:rPr>
          <w:vertAlign w:val="subscript"/>
        </w:rPr>
        <w:t>2</w:t>
      </w:r>
      <w:r w:rsidRPr="009F0F44">
        <w:t>. Ponadto, działanie obejmuje optymalizację korytarzy powietrznych, zwiększenie przepustowości przestrzeni powietrznej, jak również zwiększenie przepustowości dróg kołowania.</w:t>
      </w:r>
    </w:p>
    <w:p w14:paraId="4D63AD42" w14:textId="54FFB660" w:rsidR="00F721EE" w:rsidRPr="00F12C9E" w:rsidRDefault="00F721EE" w:rsidP="00B4077C">
      <w:pPr>
        <w:pStyle w:val="Nagwek6"/>
      </w:pPr>
      <w:bookmarkStart w:id="326" w:name="_Ref157429493"/>
      <w:r w:rsidRPr="00F12C9E">
        <w:t xml:space="preserve">Działanie </w:t>
      </w:r>
      <w:r w:rsidR="005C2642">
        <w:fldChar w:fldCharType="begin"/>
      </w:r>
      <w:r w:rsidR="005C2642">
        <w:instrText xml:space="preserve"> SEQ Działanie \* ARABIC </w:instrText>
      </w:r>
      <w:r w:rsidR="005C2642">
        <w:fldChar w:fldCharType="separate"/>
      </w:r>
      <w:r w:rsidR="00DD3929">
        <w:rPr>
          <w:noProof/>
        </w:rPr>
        <w:t>54</w:t>
      </w:r>
      <w:r w:rsidR="005C2642">
        <w:rPr>
          <w:noProof/>
        </w:rPr>
        <w:fldChar w:fldCharType="end"/>
      </w:r>
      <w:r w:rsidRPr="00F12C9E">
        <w:t>.</w:t>
      </w:r>
      <w:r w:rsidR="006D0C65" w:rsidRPr="00F12C9E">
        <w:t xml:space="preserve"> </w:t>
      </w:r>
      <w:r w:rsidRPr="00F12C9E">
        <w:t>Ograniczanie stosowania fluorowanych gazów cieplarnianych.</w:t>
      </w:r>
      <w:bookmarkEnd w:id="326"/>
    </w:p>
    <w:p w14:paraId="03FA94B9" w14:textId="77777777" w:rsidR="00F721EE" w:rsidRPr="009F0F44" w:rsidRDefault="00F721EE" w:rsidP="00BA3E0C">
      <w:r w:rsidRPr="009F0F44">
        <w:t>Działanie ukierunkowane na zmniejszenie emisji fluorowanych gazów cieplarnianych poprzez ograniczenie wprowadzenia do obrotu HFC luzem oraz zawartych w urządzeniach, nakaz prowadzenia dokumentacji, nakaz odzysku F-gazów, obowiązek certyfikacji personelu i podmiotów gospodarczych, zakaz stosowania F-gazów pierwotnych o GWP równym 2500 lub większym do serwisowania lub konserwacji urządzeń chłodniczych, a także ograniczenie wprowadzania do obrotu pojazdów osobowych wyposażonych w systemy klimatyzacyjne zawierające F-gazy o GWP 150 lub większym.</w:t>
      </w:r>
    </w:p>
    <w:p w14:paraId="5DE9B72D" w14:textId="29FFBE78" w:rsidR="007227B2" w:rsidRDefault="00D9493F" w:rsidP="00D9493F">
      <w:pPr>
        <w:pStyle w:val="Nagwek6"/>
      </w:pPr>
      <w:bookmarkStart w:id="327" w:name="_Ref159930533"/>
      <w:r w:rsidRPr="00D9493F">
        <w:t xml:space="preserve">Działanie </w:t>
      </w:r>
      <w:r w:rsidR="005C2642">
        <w:fldChar w:fldCharType="begin"/>
      </w:r>
      <w:r w:rsidR="005C2642">
        <w:instrText xml:space="preserve"> SEQ Działanie \* ARABIC </w:instrText>
      </w:r>
      <w:r w:rsidR="005C2642">
        <w:fldChar w:fldCharType="separate"/>
      </w:r>
      <w:r w:rsidR="00DD3929">
        <w:rPr>
          <w:noProof/>
        </w:rPr>
        <w:t>55</w:t>
      </w:r>
      <w:r w:rsidR="005C2642">
        <w:rPr>
          <w:noProof/>
        </w:rPr>
        <w:fldChar w:fldCharType="end"/>
      </w:r>
      <w:r w:rsidRPr="00D9493F">
        <w:t>.</w:t>
      </w:r>
      <w:r>
        <w:t xml:space="preserve"> </w:t>
      </w:r>
      <w:r w:rsidR="002825C1">
        <w:t>Stosowanie w</w:t>
      </w:r>
      <w:r w:rsidRPr="00D9493F">
        <w:t>arunkowoś</w:t>
      </w:r>
      <w:r w:rsidR="002825C1">
        <w:t>ci</w:t>
      </w:r>
      <w:r w:rsidRPr="00D9493F">
        <w:t xml:space="preserve"> (środowiskow</w:t>
      </w:r>
      <w:r w:rsidR="002825C1">
        <w:t>ej</w:t>
      </w:r>
      <w:r w:rsidRPr="00D9493F">
        <w:t>) w ramach WPR</w:t>
      </w:r>
      <w:r>
        <w:t>.</w:t>
      </w:r>
      <w:bookmarkEnd w:id="327"/>
    </w:p>
    <w:p w14:paraId="3E965419" w14:textId="77777777" w:rsidR="00D9493F" w:rsidRDefault="00D9493F" w:rsidP="00D9493F">
      <w:r>
        <w:t>Warunkowość to grupa zasad składająca się z norm dobrej kultury rolnej (DKR) zgodnej z ochroną środowiska oraz wymogów podstawowych z zakresu zarządzania, których rolnik musi przestrzegać w swoim gospodarstwie, aby otrzymać wsparcie w ramach WPR w pełnej wysokości. To również baza do określenia wymagań dla dodatkowo płatnych, dobrowolnych działań podejmowanych przez rolnika.</w:t>
      </w:r>
    </w:p>
    <w:p w14:paraId="28251222" w14:textId="42E7B522" w:rsidR="00D9493F" w:rsidRDefault="00D9493F" w:rsidP="00D9493F">
      <w:r>
        <w:t xml:space="preserve">Dla celu redukcji emisji GC oraz zwiększania pochłaniania i ograniczenia emisji w sektorze LULUCF w rolnictwie najważniejsze są normy: DKR 1 </w:t>
      </w:r>
      <w:r w:rsidR="00AC3BAF">
        <w:t>–</w:t>
      </w:r>
      <w:r>
        <w:t xml:space="preserve"> utrzymywanie trwałych użytków zielonych na określonym poziomie w całym kraju, DKR 2 </w:t>
      </w:r>
      <w:r w:rsidR="00AC3BAF">
        <w:t>–</w:t>
      </w:r>
      <w:r>
        <w:t xml:space="preserve"> ochrona terenów podmokłych i torfowisk, DKR 6 </w:t>
      </w:r>
      <w:r w:rsidR="00AC3BAF">
        <w:t>–</w:t>
      </w:r>
      <w:r>
        <w:t xml:space="preserve"> wymóg minimalnej pokrywy gleby w najbardziej newralgicznych okresach.</w:t>
      </w:r>
    </w:p>
    <w:p w14:paraId="353FF2F5" w14:textId="644868F0" w:rsidR="00D9493F" w:rsidRPr="00D9493F" w:rsidRDefault="00D9493F" w:rsidP="00D9493F">
      <w:r>
        <w:t xml:space="preserve">Dla celu ograniczenie emisji zanieczyszczeń do powietrza największe znaczenie ma norma DKR 3 </w:t>
      </w:r>
      <w:r w:rsidR="00AC3BAF">
        <w:t>–</w:t>
      </w:r>
      <w:r>
        <w:t xml:space="preserve"> zakaz wypalania użytków rolnych.</w:t>
      </w:r>
    </w:p>
    <w:p w14:paraId="4D792482" w14:textId="7CF91394" w:rsidR="00D9493F" w:rsidRDefault="00D9493F" w:rsidP="00D9493F">
      <w:pPr>
        <w:pStyle w:val="Nagwek6"/>
      </w:pPr>
      <w:bookmarkStart w:id="328" w:name="_Ref159930536"/>
      <w:bookmarkStart w:id="329" w:name="_Hlk171518334"/>
      <w:bookmarkStart w:id="330" w:name="_Hlk170996254"/>
      <w:r w:rsidRPr="00D9493F">
        <w:t xml:space="preserve">Działanie </w:t>
      </w:r>
      <w:r w:rsidR="005C2642">
        <w:fldChar w:fldCharType="begin"/>
      </w:r>
      <w:r w:rsidR="005C2642">
        <w:instrText xml:space="preserve"> SEQ Działanie \* ARABIC </w:instrText>
      </w:r>
      <w:r w:rsidR="005C2642">
        <w:fldChar w:fldCharType="separate"/>
      </w:r>
      <w:r w:rsidR="00DD3929">
        <w:rPr>
          <w:noProof/>
        </w:rPr>
        <w:t>56</w:t>
      </w:r>
      <w:r w:rsidR="005C2642">
        <w:rPr>
          <w:noProof/>
        </w:rPr>
        <w:fldChar w:fldCharType="end"/>
      </w:r>
      <w:r w:rsidRPr="00D9493F">
        <w:t>.</w:t>
      </w:r>
      <w:r>
        <w:t xml:space="preserve"> </w:t>
      </w:r>
      <w:r w:rsidR="002825C1">
        <w:t>Stosowanie e</w:t>
      </w:r>
      <w:r w:rsidRPr="00D9493F">
        <w:t>koschemat</w:t>
      </w:r>
      <w:r w:rsidR="002825C1">
        <w:t>ów</w:t>
      </w:r>
      <w:r w:rsidRPr="00D9493F">
        <w:t xml:space="preserve"> w ramach WPR</w:t>
      </w:r>
      <w:r>
        <w:t>.</w:t>
      </w:r>
      <w:bookmarkEnd w:id="328"/>
    </w:p>
    <w:bookmarkEnd w:id="329"/>
    <w:p w14:paraId="4B3E481F" w14:textId="77777777" w:rsidR="00D9493F" w:rsidRDefault="00D9493F" w:rsidP="00D9493F">
      <w:r>
        <w:t xml:space="preserve">Grupa interwencji w ramach I filaru WPR promujących praktyki rolnicze korzystne dla środowiska, klimatu i dobrostanu zwierząt. Są to roczne, dobrowolne i dodatkowo płatne praktyki, dostosowane do warunków i potrzeb krajowych, służące ochronie zasobów gleby, wód, klimatu, dobrostanu zwierząt i różnorodności biologicznej w produkcji rolnej. </w:t>
      </w:r>
    </w:p>
    <w:p w14:paraId="29160F03" w14:textId="7531C262" w:rsidR="00D9493F" w:rsidRPr="00D9493F" w:rsidRDefault="00D9493F" w:rsidP="00D9493F">
      <w:r>
        <w:t xml:space="preserve">Dla ograniczenia emisji </w:t>
      </w:r>
      <w:r w:rsidR="00847A00">
        <w:t xml:space="preserve">gazów cieplarnianych </w:t>
      </w:r>
      <w:r>
        <w:t>w rolnictwie największe znaczenie mają ekoschematy: „Rolnictwo węglowe i zarządzanie składnikami odżywczymi”, „Integrowana produkcja roślin”. Część praktyk ekoschematu „Rolnictwo węglowe i zarządzanie składnikami odżywczymi” realizuje również cel ograniczenia emisji amoniaku i innych zanieczyszczeń powietrza oraz zwiększania pochłaniania i</w:t>
      </w:r>
      <w:r w:rsidR="00774B04">
        <w:t> </w:t>
      </w:r>
      <w:r>
        <w:t>ograniczenia emisji w sektorze LULUCF. Płatność przyznawana jest do obszaru lub do zwierząt (w</w:t>
      </w:r>
      <w:r w:rsidR="00774B04">
        <w:t> </w:t>
      </w:r>
      <w:r>
        <w:t>przypadku interwencji ekoschematu Dobrostan zwierząt).</w:t>
      </w:r>
    </w:p>
    <w:p w14:paraId="7693A24D" w14:textId="297090B9" w:rsidR="00D9493F" w:rsidRDefault="00D9493F" w:rsidP="00D9493F">
      <w:pPr>
        <w:pStyle w:val="Nagwek6"/>
        <w:rPr>
          <w:i/>
          <w:iCs/>
        </w:rPr>
      </w:pPr>
      <w:bookmarkStart w:id="331" w:name="_Ref159930539"/>
      <w:bookmarkStart w:id="332" w:name="_Hlk171518315"/>
      <w:r w:rsidRPr="00D9493F">
        <w:t xml:space="preserve">Działanie </w:t>
      </w:r>
      <w:r w:rsidR="005C2642">
        <w:fldChar w:fldCharType="begin"/>
      </w:r>
      <w:r w:rsidR="005C2642">
        <w:instrText xml:space="preserve"> SEQ Działanie \* ARABIC </w:instrText>
      </w:r>
      <w:r w:rsidR="005C2642">
        <w:fldChar w:fldCharType="separate"/>
      </w:r>
      <w:r w:rsidR="00DD3929">
        <w:rPr>
          <w:noProof/>
        </w:rPr>
        <w:t>57</w:t>
      </w:r>
      <w:r w:rsidR="005C2642">
        <w:rPr>
          <w:noProof/>
        </w:rPr>
        <w:fldChar w:fldCharType="end"/>
      </w:r>
      <w:r w:rsidRPr="00D9493F">
        <w:t>.</w:t>
      </w:r>
      <w:r>
        <w:rPr>
          <w:i/>
          <w:iCs/>
        </w:rPr>
        <w:t xml:space="preserve"> </w:t>
      </w:r>
      <w:bookmarkStart w:id="333" w:name="_Hlk170995685"/>
      <w:r w:rsidR="00B351F5">
        <w:t>D</w:t>
      </w:r>
      <w:r w:rsidRPr="00D9493F">
        <w:t>ziałania rolno</w:t>
      </w:r>
      <w:r w:rsidR="00774B04">
        <w:t>-</w:t>
      </w:r>
      <w:r w:rsidRPr="00D9493F">
        <w:t>środowiskowo-klimatyczne w ramach WPR</w:t>
      </w:r>
      <w:bookmarkEnd w:id="333"/>
      <w:r>
        <w:rPr>
          <w:i/>
          <w:iCs/>
        </w:rPr>
        <w:t>.</w:t>
      </w:r>
      <w:bookmarkEnd w:id="331"/>
    </w:p>
    <w:bookmarkEnd w:id="332"/>
    <w:p w14:paraId="3D70D347" w14:textId="102255C7" w:rsidR="00D9493F" w:rsidRPr="00D9493F" w:rsidRDefault="00D9493F" w:rsidP="00D9493F">
      <w:r w:rsidRPr="00D9493F">
        <w:t xml:space="preserve">Grupa interwencji w ramach II filaru WPR, które polegają na stosowaniu płatności rekompensujących poniesione dodatkowe koszty i utracone dochody rolnikom, którzy dobrowolnie stosują metody produkcji sprzyjające zachowaniu różnorodności biologicznej, krajobrazu oraz zasobów środowiska, przede wszystkim gleby i wody. Do kluczowych praktyk promowanych w ramach interwencji rolno-środowiskowo-klimatycznych należą: ekstensyfikacja rolniczego użytkowania łąk i pastwisk (w tym na obszarach Natura 2000), zachowanie starych tradycyjnych sadów, ochrona bioróżnorodności na gruntach ornych. Wszystkie te praktyki oddziaływają korzystnie na klimat. </w:t>
      </w:r>
      <w:r w:rsidR="00F148A7">
        <w:t>C</w:t>
      </w:r>
      <w:r w:rsidR="00F148A7" w:rsidRPr="00D9493F">
        <w:t>o do zasady</w:t>
      </w:r>
      <w:r w:rsidR="00F148A7">
        <w:t>,</w:t>
      </w:r>
      <w:r w:rsidR="00F148A7" w:rsidRPr="00D9493F">
        <w:t xml:space="preserve"> </w:t>
      </w:r>
      <w:r w:rsidR="00F148A7">
        <w:t>p</w:t>
      </w:r>
      <w:r w:rsidRPr="00D9493F">
        <w:t>łatność przyznawana jes</w:t>
      </w:r>
      <w:r w:rsidR="00F148A7">
        <w:t>t</w:t>
      </w:r>
      <w:r w:rsidRPr="00D9493F">
        <w:t xml:space="preserve"> do obszaru.</w:t>
      </w:r>
    </w:p>
    <w:p w14:paraId="405BF9D0" w14:textId="11CFD117" w:rsidR="00D9493F" w:rsidRDefault="00D9493F" w:rsidP="00D9493F">
      <w:pPr>
        <w:pStyle w:val="Nagwek6"/>
        <w:rPr>
          <w:i/>
          <w:iCs/>
        </w:rPr>
      </w:pPr>
      <w:bookmarkStart w:id="334" w:name="_Ref159930546"/>
      <w:bookmarkStart w:id="335" w:name="_Hlk171518351"/>
      <w:bookmarkStart w:id="336" w:name="_Hlk170996174"/>
      <w:bookmarkEnd w:id="330"/>
      <w:r w:rsidRPr="00D9493F">
        <w:t xml:space="preserve">Działanie </w:t>
      </w:r>
      <w:r w:rsidR="005C2642">
        <w:fldChar w:fldCharType="begin"/>
      </w:r>
      <w:r w:rsidR="005C2642">
        <w:instrText xml:space="preserve"> SEQ Działanie \* ARABIC </w:instrText>
      </w:r>
      <w:r w:rsidR="005C2642">
        <w:fldChar w:fldCharType="separate"/>
      </w:r>
      <w:r w:rsidR="00DD3929">
        <w:rPr>
          <w:noProof/>
        </w:rPr>
        <w:t>58</w:t>
      </w:r>
      <w:r w:rsidR="005C2642">
        <w:rPr>
          <w:noProof/>
        </w:rPr>
        <w:fldChar w:fldCharType="end"/>
      </w:r>
      <w:r w:rsidRPr="00D9493F">
        <w:t>. Wsparcie w zakresie rolnictwa ekologicznego w ramach WPR</w:t>
      </w:r>
      <w:r>
        <w:rPr>
          <w:i/>
          <w:iCs/>
        </w:rPr>
        <w:t>.</w:t>
      </w:r>
      <w:bookmarkEnd w:id="334"/>
    </w:p>
    <w:bookmarkEnd w:id="335"/>
    <w:p w14:paraId="2C214353" w14:textId="6D49331B" w:rsidR="00D9493F" w:rsidRPr="00D9493F" w:rsidRDefault="00D9493F" w:rsidP="00D9493F">
      <w:r w:rsidRPr="00D9493F">
        <w:t>Wspieranie dobrowolnych zobowiązań rolników, którzy podejmują się utrzymać lub przejść na praktyki i metody rolnictwa ekologicznego określone w prawodawstwie unijnym i krajowym. Wsparciem w ramach interwencji objęte są następujące grupy upraw: rolnicze, warzywne, zielarskie, sadownicze podstawowe, jagodowe, sadownicze ekstensywne, paszowe oraz trwale użytki zielone. Płatność do obszaru. Dodatkowo stosowana jest premia dla gospodarstw prowadzących ekstensywny chow zwierząt.</w:t>
      </w:r>
    </w:p>
    <w:p w14:paraId="2029BFAD" w14:textId="48477135" w:rsidR="00D9493F" w:rsidRPr="00D9493F" w:rsidRDefault="00D9493F" w:rsidP="00D9493F">
      <w:pPr>
        <w:pStyle w:val="Nagwek6"/>
      </w:pPr>
      <w:bookmarkStart w:id="337" w:name="_Ref159930549"/>
      <w:bookmarkEnd w:id="336"/>
      <w:r w:rsidRPr="00D9493F">
        <w:t xml:space="preserve">Działanie </w:t>
      </w:r>
      <w:r w:rsidR="005C2642">
        <w:fldChar w:fldCharType="begin"/>
      </w:r>
      <w:r w:rsidR="005C2642">
        <w:instrText xml:space="preserve"> SEQ Działanie \* ARABIC </w:instrText>
      </w:r>
      <w:r w:rsidR="005C2642">
        <w:fldChar w:fldCharType="separate"/>
      </w:r>
      <w:r w:rsidR="00DD3929">
        <w:rPr>
          <w:noProof/>
        </w:rPr>
        <w:t>59</w:t>
      </w:r>
      <w:r w:rsidR="005C2642">
        <w:rPr>
          <w:noProof/>
        </w:rPr>
        <w:fldChar w:fldCharType="end"/>
      </w:r>
      <w:r w:rsidRPr="00D9493F">
        <w:t>. Interwencje leśne i zadrzewieniowe w ramach WPR.</w:t>
      </w:r>
      <w:bookmarkEnd w:id="337"/>
    </w:p>
    <w:p w14:paraId="37D3F9F1" w14:textId="1E52F65E" w:rsidR="00D9493F" w:rsidRDefault="00D9493F" w:rsidP="00D9493F">
      <w:r w:rsidRPr="00D9493F">
        <w:t>Grupa interwencji w ramach II filaru WPR dla rolników, którzy mogą otrzymać wsparcie na: zalesianie gruntów rolnych, tworzenie zadrzewień śródpolnych, zakładanie systemów rolno-leśnych oraz zwiększanie bioróżnorodności lasów prywatnych. Interwencje leśne i zadrzewieniowe przyczyniają się  do sekwestracji dwutlenku węgla, a tym samym do łagodzenia zmian klimatu.  Mają również korzystny wpływ na gleby i warunki wodne poprzez m.in. zapobieganie erozji i zwiększenie retencji na obszarach wiejskich. Pełnią także ważne funkcje w zakresie ochrony bioróżnorodności i wzbogacania krajobrazu. Stanowią istotny element przeciwdziałania skutkom suszy, ograniczając straty wody z gleby oraz przyczyniając się do zmniejszenia spływu powierzchniowego wód.</w:t>
      </w:r>
    </w:p>
    <w:p w14:paraId="1505FB9A" w14:textId="296C735E" w:rsidR="00703481" w:rsidRDefault="00703481" w:rsidP="00703481">
      <w:pPr>
        <w:pStyle w:val="Nagwek6"/>
      </w:pPr>
      <w:bookmarkStart w:id="338" w:name="_Ref175564628"/>
      <w:r>
        <w:t xml:space="preserve">Działanie </w:t>
      </w:r>
      <w:r w:rsidR="005C2642">
        <w:fldChar w:fldCharType="begin"/>
      </w:r>
      <w:r w:rsidR="005C2642">
        <w:instrText xml:space="preserve"> SEQ Działanie \* ARABIC </w:instrText>
      </w:r>
      <w:r w:rsidR="005C2642">
        <w:fldChar w:fldCharType="separate"/>
      </w:r>
      <w:r w:rsidR="00DD3929">
        <w:rPr>
          <w:noProof/>
        </w:rPr>
        <w:t>60</w:t>
      </w:r>
      <w:r w:rsidR="005C2642">
        <w:rPr>
          <w:noProof/>
        </w:rPr>
        <w:fldChar w:fldCharType="end"/>
      </w:r>
      <w:r>
        <w:t xml:space="preserve">.  </w:t>
      </w:r>
      <w:r w:rsidRPr="00703481">
        <w:t>Inwestycje przyczyniające się do ochrony środowiska i klimatu</w:t>
      </w:r>
      <w:r>
        <w:t xml:space="preserve"> w sektorze rolnictwa</w:t>
      </w:r>
      <w:r w:rsidRPr="00703481">
        <w:t xml:space="preserve"> w ramach WPR</w:t>
      </w:r>
      <w:r>
        <w:t>.</w:t>
      </w:r>
      <w:bookmarkEnd w:id="338"/>
    </w:p>
    <w:p w14:paraId="3B15F1C4" w14:textId="1E911C13" w:rsidR="00703481" w:rsidRPr="00703481" w:rsidRDefault="00703481" w:rsidP="00703481">
      <w:r>
        <w:t xml:space="preserve">W ramach II filaru WPR przewidziano również wsparcie na inwestycje </w:t>
      </w:r>
      <w:r w:rsidRPr="008B6F3A">
        <w:t>przyczyniające się do ochrony środowiska i klimatu</w:t>
      </w:r>
      <w:r>
        <w:t xml:space="preserve">. Celem tych inwestycji jest </w:t>
      </w:r>
      <w:r w:rsidRPr="00676CC9">
        <w:t xml:space="preserve">ograniczenie presji </w:t>
      </w:r>
      <w:r>
        <w:t xml:space="preserve">produkcji rolnej </w:t>
      </w:r>
      <w:r w:rsidRPr="00676CC9">
        <w:t xml:space="preserve">na </w:t>
      </w:r>
      <w:r>
        <w:t xml:space="preserve">zasoby </w:t>
      </w:r>
      <w:r w:rsidRPr="00676CC9">
        <w:t>środowisk</w:t>
      </w:r>
      <w:r>
        <w:t>a</w:t>
      </w:r>
      <w:r w:rsidRPr="00676CC9">
        <w:t xml:space="preserve"> </w:t>
      </w:r>
      <w:r>
        <w:t xml:space="preserve">l. Inwestycje mają zmierzać do </w:t>
      </w:r>
      <w:r w:rsidRPr="00676CC9">
        <w:t>m.in. ograniczeni</w:t>
      </w:r>
      <w:r>
        <w:t>a</w:t>
      </w:r>
      <w:r w:rsidRPr="00676CC9">
        <w:t xml:space="preserve"> zużycia środków ochrony roślin lub nawozów, ograniczeni</w:t>
      </w:r>
      <w:r>
        <w:t>a</w:t>
      </w:r>
      <w:r w:rsidRPr="00676CC9">
        <w:t xml:space="preserve"> emisji zanieczyszczeń, zwiększeni</w:t>
      </w:r>
      <w:r>
        <w:t>a</w:t>
      </w:r>
      <w:r w:rsidRPr="00676CC9">
        <w:t xml:space="preserve"> bioróżnorodności gleby, popraw</w:t>
      </w:r>
      <w:r>
        <w:t>y</w:t>
      </w:r>
      <w:r w:rsidRPr="00676CC9">
        <w:t xml:space="preserve"> gospodarowania wodą oraz adaptacj</w:t>
      </w:r>
      <w:r>
        <w:t>i</w:t>
      </w:r>
      <w:r w:rsidRPr="00676CC9">
        <w:t xml:space="preserve"> do zmian klimatu</w:t>
      </w:r>
      <w:r>
        <w:t>.</w:t>
      </w:r>
    </w:p>
    <w:p w14:paraId="70218B00" w14:textId="79615D7D" w:rsidR="00784260" w:rsidRDefault="00784260" w:rsidP="00784260">
      <w:pPr>
        <w:pStyle w:val="Nagwek6"/>
      </w:pPr>
      <w:bookmarkStart w:id="339" w:name="_Ref174025161"/>
      <w:r>
        <w:t xml:space="preserve">Działanie </w:t>
      </w:r>
      <w:r w:rsidR="005C2642">
        <w:fldChar w:fldCharType="begin"/>
      </w:r>
      <w:r w:rsidR="005C2642">
        <w:instrText xml:space="preserve"> SEQ Działanie \* ARABIC </w:instrText>
      </w:r>
      <w:r w:rsidR="005C2642">
        <w:fldChar w:fldCharType="separate"/>
      </w:r>
      <w:r w:rsidR="00DD3929">
        <w:rPr>
          <w:noProof/>
        </w:rPr>
        <w:t>61</w:t>
      </w:r>
      <w:r w:rsidR="005C2642">
        <w:rPr>
          <w:noProof/>
        </w:rPr>
        <w:fldChar w:fldCharType="end"/>
      </w:r>
      <w:r>
        <w:t>. Ws</w:t>
      </w:r>
      <w:r w:rsidRPr="00FB697D">
        <w:t>pieranie działań zastosowania ekologicznych źródeł energii i poprawy efektywności energetycznej w gospodarstwach rolnych</w:t>
      </w:r>
      <w:r w:rsidR="00703481">
        <w:t xml:space="preserve"> w ramach WPR</w:t>
      </w:r>
      <w:r>
        <w:t>.</w:t>
      </w:r>
      <w:bookmarkEnd w:id="339"/>
    </w:p>
    <w:p w14:paraId="5CCC8881" w14:textId="4933218D" w:rsidR="00784260" w:rsidRDefault="00784260" w:rsidP="00784260">
      <w:r w:rsidRPr="009F0F44">
        <w:t>Działanie polegające na wspieraniu inwestycji związanych z ochroną klimatu podejmowanych przez gospodarstwa rolne poprzez budowę biogazowni rolniczych do 50 kW oraz instalację modułów fotowoltaicznych do 50 kW, a także dofinansowanie do systemów poprawiających efektywność energetyczną budynków gospodarskich służących produkcji rolnej takich jak budowa, przebudowa lub zakup kotłów na biomasę, systemów odzyskiwania ciepła, przeszkleń dachowych, oświetlenia LED, a</w:t>
      </w:r>
      <w:r>
        <w:t> </w:t>
      </w:r>
      <w:r w:rsidRPr="009F0F44">
        <w:t>także termomodernizację budynków gospodarskich służących do produkcji rolnej.</w:t>
      </w:r>
      <w:r>
        <w:t xml:space="preserve"> Działanie ma na celu wzmocnienie adaptacji do zmian klimatu oraz redukcję emisji w gospodarstwach rolnych.</w:t>
      </w:r>
    </w:p>
    <w:p w14:paraId="5D01D13B" w14:textId="2AE31A51" w:rsidR="00784260" w:rsidRDefault="00784260" w:rsidP="00784260">
      <w:pPr>
        <w:pStyle w:val="Nagwek6"/>
      </w:pPr>
      <w:bookmarkStart w:id="340" w:name="_Ref174025163"/>
      <w:r>
        <w:t xml:space="preserve">Działanie </w:t>
      </w:r>
      <w:r w:rsidR="005C2642">
        <w:fldChar w:fldCharType="begin"/>
      </w:r>
      <w:r w:rsidR="005C2642">
        <w:instrText xml:space="preserve"> SEQ Działanie \* ARABIC </w:instrText>
      </w:r>
      <w:r w:rsidR="005C2642">
        <w:fldChar w:fldCharType="separate"/>
      </w:r>
      <w:r w:rsidR="00DD3929">
        <w:rPr>
          <w:noProof/>
        </w:rPr>
        <w:t>62</w:t>
      </w:r>
      <w:r w:rsidR="005C2642">
        <w:rPr>
          <w:noProof/>
        </w:rPr>
        <w:fldChar w:fldCharType="end"/>
      </w:r>
      <w:r>
        <w:t>. Wsparcie rozwoju biogazowni rolniczych</w:t>
      </w:r>
      <w:r w:rsidRPr="00E42349">
        <w:t>.</w:t>
      </w:r>
      <w:bookmarkEnd w:id="340"/>
    </w:p>
    <w:p w14:paraId="0AD14E15" w14:textId="6B851178" w:rsidR="00784260" w:rsidRPr="00670471" w:rsidRDefault="00784260" w:rsidP="00784260">
      <w:r w:rsidRPr="00670471">
        <w:t>Działanie polega na zapewnieniu warunków uruchomienia biogazowni rolniczych przez podmioty prywatne</w:t>
      </w:r>
      <w:r w:rsidR="00774B04">
        <w:t>,</w:t>
      </w:r>
      <w:r w:rsidRPr="00670471">
        <w:t xml:space="preserve"> w tym m.in.: przygotowanie regulacji, rozwój zasobów ludzkich, instrumenty finansowe, budowanie świadomości, wydawanie zgód środowiskowych</w:t>
      </w:r>
      <w:r>
        <w:t>.</w:t>
      </w:r>
    </w:p>
    <w:p w14:paraId="15C8BE8B" w14:textId="2FED352A" w:rsidR="00F721EE" w:rsidRPr="00F12C9E" w:rsidRDefault="00F721EE" w:rsidP="00B4077C">
      <w:pPr>
        <w:pStyle w:val="Nagwek6"/>
      </w:pPr>
      <w:bookmarkStart w:id="341" w:name="_Ref157429300"/>
      <w:r w:rsidRPr="00F12C9E">
        <w:t xml:space="preserve">Działanie </w:t>
      </w:r>
      <w:r w:rsidR="005C2642">
        <w:fldChar w:fldCharType="begin"/>
      </w:r>
      <w:r w:rsidR="005C2642">
        <w:instrText xml:space="preserve"> SEQ Działanie \* ARABIC </w:instrText>
      </w:r>
      <w:r w:rsidR="005C2642">
        <w:fldChar w:fldCharType="separate"/>
      </w:r>
      <w:r w:rsidR="00DD3929">
        <w:rPr>
          <w:noProof/>
        </w:rPr>
        <w:t>63</w:t>
      </w:r>
      <w:r w:rsidR="005C2642">
        <w:rPr>
          <w:noProof/>
        </w:rPr>
        <w:fldChar w:fldCharType="end"/>
      </w:r>
      <w:r w:rsidRPr="00F12C9E">
        <w:t>.</w:t>
      </w:r>
      <w:r w:rsidR="006D0C65" w:rsidRPr="00F12C9E">
        <w:t xml:space="preserve"> </w:t>
      </w:r>
      <w:r w:rsidRPr="00F12C9E">
        <w:t>Działania w zakresie racjonalna gospodarka gruntami rolnymi i leśnymi.</w:t>
      </w:r>
      <w:bookmarkEnd w:id="341"/>
    </w:p>
    <w:p w14:paraId="5142AABE" w14:textId="77777777" w:rsidR="00F721EE" w:rsidRPr="009F0F44" w:rsidRDefault="00F721EE" w:rsidP="00BA3E0C">
      <w:r w:rsidRPr="009F0F44">
        <w:t>Działanie ukierunkowane na ochronę gruntów rolnych i leśnych przed przeznaczaniem je na inne cele oraz wsparcie działań regeneracyjnych gleb zakwaszonych w wyniku oddziaływania czynników antropogenicznych.</w:t>
      </w:r>
    </w:p>
    <w:p w14:paraId="49DE9C99" w14:textId="31362F7C" w:rsidR="00F721EE" w:rsidRPr="00F12C9E" w:rsidRDefault="00F721EE" w:rsidP="00B4077C">
      <w:pPr>
        <w:pStyle w:val="Nagwek6"/>
      </w:pPr>
      <w:bookmarkStart w:id="342" w:name="_Ref157430120"/>
      <w:r w:rsidRPr="00F12C9E">
        <w:t xml:space="preserve">Działanie </w:t>
      </w:r>
      <w:r w:rsidR="005C2642">
        <w:fldChar w:fldCharType="begin"/>
      </w:r>
      <w:r w:rsidR="005C2642">
        <w:instrText xml:space="preserve"> SEQ Działanie \* ARABIC </w:instrText>
      </w:r>
      <w:r w:rsidR="005C2642">
        <w:fldChar w:fldCharType="separate"/>
      </w:r>
      <w:r w:rsidR="00DD3929">
        <w:rPr>
          <w:noProof/>
        </w:rPr>
        <w:t>64</w:t>
      </w:r>
      <w:r w:rsidR="005C2642">
        <w:rPr>
          <w:noProof/>
        </w:rPr>
        <w:fldChar w:fldCharType="end"/>
      </w:r>
      <w:r w:rsidRPr="00F12C9E">
        <w:t>.</w:t>
      </w:r>
      <w:r w:rsidR="006D0C65" w:rsidRPr="00F12C9E">
        <w:t xml:space="preserve"> </w:t>
      </w:r>
      <w:r w:rsidRPr="00F12C9E">
        <w:t>Wsparcie rozwoju gospodarki wodno</w:t>
      </w:r>
      <w:r w:rsidR="008A3734">
        <w:t>-</w:t>
      </w:r>
      <w:r w:rsidRPr="00F12C9E">
        <w:t>ściekowej.</w:t>
      </w:r>
      <w:bookmarkEnd w:id="342"/>
    </w:p>
    <w:p w14:paraId="7C2A70DF" w14:textId="2F6227E7" w:rsidR="00F721EE" w:rsidRPr="009F0F44" w:rsidRDefault="00F721EE" w:rsidP="00BA3E0C">
      <w:r w:rsidRPr="009F0F44">
        <w:t xml:space="preserve">Działanie obejmuje między innymi realizację inwestycji niezbędnych do uzyskania przez aglomeracje o </w:t>
      </w:r>
      <w:r w:rsidR="00F12C9E">
        <w:t>równoważnej liczbie mieszkańców (</w:t>
      </w:r>
      <w:r w:rsidRPr="009F0F44">
        <w:t>RLM</w:t>
      </w:r>
      <w:r w:rsidR="00F12C9E">
        <w:t>)</w:t>
      </w:r>
      <w:r w:rsidRPr="009F0F44">
        <w:t xml:space="preserve"> ≥ 2 000 zgodności z warunkami dyrektywy 91/271/EWG, rozwój gospodarki wodnościekowej w zakładach przemysłowych i aglomeracjach, dofinansowanie przedsięwzięć z zakresu ochrony zasobów wodnych oraz minimalizację zjawiska suszy w Polsce oraz zwiększenie liczby ludności korzystającej z ulepszonego systemu oczyszczania ścieków komunalnych, zapewniającego podwyższone usuwanie biogenów. </w:t>
      </w:r>
    </w:p>
    <w:p w14:paraId="42B1B578" w14:textId="377D2F45" w:rsidR="00F721EE" w:rsidRPr="00F12C9E" w:rsidRDefault="00F721EE" w:rsidP="00B4077C">
      <w:pPr>
        <w:pStyle w:val="Nagwek6"/>
      </w:pPr>
      <w:bookmarkStart w:id="343" w:name="_Ref157430560"/>
      <w:r w:rsidRPr="00F12C9E">
        <w:t xml:space="preserve">Działanie </w:t>
      </w:r>
      <w:r w:rsidR="005C2642">
        <w:fldChar w:fldCharType="begin"/>
      </w:r>
      <w:r w:rsidR="005C2642">
        <w:instrText xml:space="preserve"> SEQ Działanie \* ARABIC </w:instrText>
      </w:r>
      <w:r w:rsidR="005C2642">
        <w:fldChar w:fldCharType="separate"/>
      </w:r>
      <w:r w:rsidR="00DD3929">
        <w:rPr>
          <w:noProof/>
        </w:rPr>
        <w:t>65</w:t>
      </w:r>
      <w:r w:rsidR="005C2642">
        <w:rPr>
          <w:noProof/>
        </w:rPr>
        <w:fldChar w:fldCharType="end"/>
      </w:r>
      <w:r w:rsidRPr="00F12C9E">
        <w:t>.</w:t>
      </w:r>
      <w:r w:rsidR="006D0C65" w:rsidRPr="00F12C9E">
        <w:t xml:space="preserve"> </w:t>
      </w:r>
      <w:r w:rsidRPr="00F12C9E">
        <w:t>Instrument finansowy – Programy NFOŚiGW wspierające adaptację do zmian klimatu.</w:t>
      </w:r>
      <w:bookmarkEnd w:id="343"/>
    </w:p>
    <w:p w14:paraId="368B850D" w14:textId="77777777" w:rsidR="00F721EE" w:rsidRPr="009F0F44" w:rsidRDefault="00F721EE" w:rsidP="00BA3E0C">
      <w:r w:rsidRPr="009F0F44">
        <w:t>Działanie obejmuje podniesienie poziomu ochrony przed skutkami zmian klimatu oraz zagrożeń naturalnych jak również poważnych awarii, usprawnienia usuwania ich skutków oraz wzmocnienia wybranych elementów zarządzania środowiskiem, upowszechniania nowoczesnych, efektywnych i skutecznych rozwiązań w gminach uzdrowiskowych oraz zwiększenie ilości retencjonowanej wody, poprawę sprawności przeprowadzania rozpoznania i reagowania w sytuacji wystąpienia zagrożeń naturalnych i poważnych awarii.</w:t>
      </w:r>
    </w:p>
    <w:p w14:paraId="2F7EA665" w14:textId="15D8CF52" w:rsidR="00F721EE" w:rsidRPr="00F12C9E" w:rsidRDefault="00F721EE" w:rsidP="00785BAB">
      <w:pPr>
        <w:pStyle w:val="Nagwek6"/>
      </w:pPr>
      <w:bookmarkStart w:id="344" w:name="_Ref157422722"/>
      <w:r w:rsidRPr="00F12C9E">
        <w:t xml:space="preserve">Działanie </w:t>
      </w:r>
      <w:r w:rsidR="005C2642">
        <w:fldChar w:fldCharType="begin"/>
      </w:r>
      <w:r w:rsidR="005C2642">
        <w:instrText xml:space="preserve"> SEQ Działanie \* ARABIC </w:instrText>
      </w:r>
      <w:r w:rsidR="005C2642">
        <w:fldChar w:fldCharType="separate"/>
      </w:r>
      <w:r w:rsidR="00DD3929">
        <w:rPr>
          <w:noProof/>
        </w:rPr>
        <w:t>66</w:t>
      </w:r>
      <w:r w:rsidR="005C2642">
        <w:rPr>
          <w:noProof/>
        </w:rPr>
        <w:fldChar w:fldCharType="end"/>
      </w:r>
      <w:r w:rsidRPr="00F12C9E">
        <w:t>.</w:t>
      </w:r>
      <w:r w:rsidR="006D0C65" w:rsidRPr="00F12C9E">
        <w:t xml:space="preserve"> </w:t>
      </w:r>
      <w:r w:rsidR="004D0406">
        <w:t>Instrument finansowy – Program Priorytetowy NFOŚiGW – „U</w:t>
      </w:r>
      <w:r w:rsidRPr="00F12C9E">
        <w:t>dostępniania wód termalnych w Polsce</w:t>
      </w:r>
      <w:r w:rsidR="004D0406">
        <w:t>”</w:t>
      </w:r>
      <w:r w:rsidRPr="00F12C9E">
        <w:t>.</w:t>
      </w:r>
      <w:bookmarkEnd w:id="344"/>
    </w:p>
    <w:p w14:paraId="28C234BA" w14:textId="3F826E11" w:rsidR="00F721EE" w:rsidRDefault="00F721EE" w:rsidP="00BA3E0C">
      <w:r w:rsidRPr="009F0F44">
        <w:t xml:space="preserve">Działanie obejmuje </w:t>
      </w:r>
      <w:r w:rsidR="004D0406">
        <w:t xml:space="preserve">wsparcie </w:t>
      </w:r>
      <w:r w:rsidRPr="009F0F44">
        <w:t>wykonywani</w:t>
      </w:r>
      <w:r w:rsidR="004D0406">
        <w:t>a</w:t>
      </w:r>
      <w:r w:rsidRPr="009F0F44">
        <w:t xml:space="preserve"> prac i robót geologicznych związanych z poszukiwaniem i rozpoznawaniem złóż wód termalnych w celu ich udostępnienia.</w:t>
      </w:r>
    </w:p>
    <w:p w14:paraId="08A8F4D6" w14:textId="0D3B8E78" w:rsidR="00467AA9" w:rsidRDefault="00467AA9" w:rsidP="00467AA9">
      <w:pPr>
        <w:pStyle w:val="Nagwek6"/>
      </w:pPr>
      <w:bookmarkStart w:id="345" w:name="_Ref173420838"/>
      <w:r>
        <w:t xml:space="preserve">Działanie </w:t>
      </w:r>
      <w:r w:rsidR="005C2642">
        <w:fldChar w:fldCharType="begin"/>
      </w:r>
      <w:r w:rsidR="005C2642">
        <w:instrText xml:space="preserve"> SEQ Działanie \* ARABIC </w:instrText>
      </w:r>
      <w:r w:rsidR="005C2642">
        <w:fldChar w:fldCharType="separate"/>
      </w:r>
      <w:r w:rsidR="00DD3929">
        <w:rPr>
          <w:noProof/>
        </w:rPr>
        <w:t>67</w:t>
      </w:r>
      <w:r w:rsidR="005C2642">
        <w:rPr>
          <w:noProof/>
        </w:rPr>
        <w:fldChar w:fldCharType="end"/>
      </w:r>
      <w:r>
        <w:t>.</w:t>
      </w:r>
      <w:r w:rsidRPr="00467AA9">
        <w:t xml:space="preserve"> Kontynuacja i rozważenie potrzeby rozbudowania monitoringu gleb w Polsce.</w:t>
      </w:r>
      <w:bookmarkEnd w:id="345"/>
    </w:p>
    <w:p w14:paraId="2435A65B" w14:textId="1C322A79" w:rsidR="00467AA9" w:rsidRPr="00467AA9" w:rsidRDefault="002171CF" w:rsidP="002171CF">
      <w:r w:rsidRPr="002171CF">
        <w:t>Działanie polega na opracowaniu nowej koncepcji monitoringu gleb, który będzie</w:t>
      </w:r>
      <w:r>
        <w:t xml:space="preserve"> </w:t>
      </w:r>
      <w:r w:rsidRPr="002171CF">
        <w:t>obejmował gleby użytkowane w różny sposób, tj. gleby rolne, leśne, mieszkaniowe i</w:t>
      </w:r>
      <w:r>
        <w:t xml:space="preserve"> </w:t>
      </w:r>
      <w:r w:rsidRPr="002171CF">
        <w:t>przemysłowe. Ponadto w rozważony zostanie i dostosowany do sposobu użytkowania</w:t>
      </w:r>
      <w:r>
        <w:t xml:space="preserve"> </w:t>
      </w:r>
      <w:r w:rsidRPr="002171CF">
        <w:t>gleb zestaw parametrów, które będą cyklicznie badane.</w:t>
      </w:r>
    </w:p>
    <w:p w14:paraId="454F81F5" w14:textId="5CDA5F89" w:rsidR="00467AA9" w:rsidRDefault="00467AA9" w:rsidP="00467AA9">
      <w:pPr>
        <w:pStyle w:val="Nagwek6"/>
      </w:pPr>
      <w:bookmarkStart w:id="346" w:name="_Ref173420858"/>
      <w:r>
        <w:t xml:space="preserve">Działanie </w:t>
      </w:r>
      <w:r w:rsidR="005C2642">
        <w:fldChar w:fldCharType="begin"/>
      </w:r>
      <w:r w:rsidR="005C2642">
        <w:instrText xml:space="preserve"> SEQ Działanie \* ARABIC </w:instrText>
      </w:r>
      <w:r w:rsidR="005C2642">
        <w:fldChar w:fldCharType="separate"/>
      </w:r>
      <w:r w:rsidR="00DD3929">
        <w:rPr>
          <w:noProof/>
        </w:rPr>
        <w:t>68</w:t>
      </w:r>
      <w:r w:rsidR="005C2642">
        <w:rPr>
          <w:noProof/>
        </w:rPr>
        <w:fldChar w:fldCharType="end"/>
      </w:r>
      <w:r>
        <w:t xml:space="preserve">. </w:t>
      </w:r>
      <w:r w:rsidRPr="00467AA9">
        <w:t>Identyfikacja miejsc, w</w:t>
      </w:r>
      <w:r w:rsidR="00564E20">
        <w:t> </w:t>
      </w:r>
      <w:r w:rsidRPr="00467AA9">
        <w:t>których występują zanieczyszczenia powierzchni ziemi spowodowane działalnością gospodarczą.</w:t>
      </w:r>
      <w:bookmarkEnd w:id="346"/>
    </w:p>
    <w:p w14:paraId="4ECFD345" w14:textId="6AFC1384" w:rsidR="00467AA9" w:rsidRPr="00467AA9" w:rsidRDefault="002171CF" w:rsidP="002171CF">
      <w:r>
        <w:t>Działanie ma na celu kontynuowanie identyfikacji miejsc, gdzie występuje zanieczyszczenie gleby i ziemi. W pierwszej kolejności ocenie pod względem zanieczyszczenia będą podlegały miejsca, w których jest prowadzona aktualnie bądź była prowadzona w przeszłości działalność, która mogła przyczynić się do zanieczyszczenia gleby lub ziemi. Weryfikacji będzie również podlegała lista takich działalności.</w:t>
      </w:r>
    </w:p>
    <w:p w14:paraId="3CC0F1E2" w14:textId="671795E9" w:rsidR="00467AA9" w:rsidRDefault="00467AA9" w:rsidP="00467AA9">
      <w:pPr>
        <w:pStyle w:val="Nagwek6"/>
      </w:pPr>
      <w:bookmarkStart w:id="347" w:name="_Ref173420860"/>
      <w:r>
        <w:t xml:space="preserve">Działanie </w:t>
      </w:r>
      <w:r w:rsidR="005C2642">
        <w:fldChar w:fldCharType="begin"/>
      </w:r>
      <w:r w:rsidR="005C2642">
        <w:instrText xml:space="preserve"> SEQ Działanie \* ARABIC </w:instrText>
      </w:r>
      <w:r w:rsidR="005C2642">
        <w:fldChar w:fldCharType="separate"/>
      </w:r>
      <w:r w:rsidR="00DD3929">
        <w:rPr>
          <w:noProof/>
        </w:rPr>
        <w:t>69</w:t>
      </w:r>
      <w:r w:rsidR="005C2642">
        <w:rPr>
          <w:noProof/>
        </w:rPr>
        <w:fldChar w:fldCharType="end"/>
      </w:r>
      <w:r>
        <w:t xml:space="preserve">. </w:t>
      </w:r>
      <w:r w:rsidRPr="00467AA9">
        <w:t>W</w:t>
      </w:r>
      <w:r w:rsidR="002E2988">
        <w:t>s</w:t>
      </w:r>
      <w:r w:rsidRPr="00467AA9">
        <w:t>pieranie remediacji zanieczyszczonej powierzchni ziemi.</w:t>
      </w:r>
      <w:bookmarkEnd w:id="347"/>
    </w:p>
    <w:p w14:paraId="6D8285F2" w14:textId="34F1DCD0" w:rsidR="00467AA9" w:rsidRPr="00467AA9" w:rsidRDefault="002171CF" w:rsidP="002171CF">
      <w:r>
        <w:t>Działanie polega na poszukiwaniu i promowaniu najlepszych technologii związanych z oczyszczaniem gleby i ziemi, w której występują substancje powodujące ryzyko w ilości stwarzającej zagrożenie dla zdrowia i życia ludzi oraz środowiska.</w:t>
      </w:r>
    </w:p>
    <w:p w14:paraId="043EE61B" w14:textId="2B9E6734" w:rsidR="00467AA9" w:rsidRDefault="00467AA9" w:rsidP="00467AA9">
      <w:pPr>
        <w:pStyle w:val="Nagwek6"/>
      </w:pPr>
      <w:bookmarkStart w:id="348" w:name="_Ref173420862"/>
      <w:r>
        <w:t xml:space="preserve">Działanie </w:t>
      </w:r>
      <w:r w:rsidR="005C2642">
        <w:fldChar w:fldCharType="begin"/>
      </w:r>
      <w:r w:rsidR="005C2642">
        <w:instrText xml:space="preserve"> SEQ Działanie \* ARABIC </w:instrText>
      </w:r>
      <w:r w:rsidR="005C2642">
        <w:fldChar w:fldCharType="separate"/>
      </w:r>
      <w:r w:rsidR="00DD3929">
        <w:rPr>
          <w:noProof/>
        </w:rPr>
        <w:t>70</w:t>
      </w:r>
      <w:r w:rsidR="005C2642">
        <w:rPr>
          <w:noProof/>
        </w:rPr>
        <w:fldChar w:fldCharType="end"/>
      </w:r>
      <w:r>
        <w:t>.</w:t>
      </w:r>
      <w:r w:rsidRPr="00467AA9">
        <w:t xml:space="preserve"> Zapobieganie procesom degradacji gruntów naturalnych oraz użytkowanych w</w:t>
      </w:r>
      <w:r w:rsidR="00564E20">
        <w:t> </w:t>
      </w:r>
      <w:r w:rsidRPr="00467AA9">
        <w:t>celach rolniczych i leśnych</w:t>
      </w:r>
      <w:r>
        <w:t>.</w:t>
      </w:r>
      <w:bookmarkEnd w:id="348"/>
    </w:p>
    <w:p w14:paraId="2B341EC8" w14:textId="1648A2F0" w:rsidR="00467AA9" w:rsidRPr="00467AA9" w:rsidRDefault="002171CF" w:rsidP="002171CF">
      <w:r>
        <w:t>Działanie polega na udoskonalaniu mechanizmów legislacyjnych celem przeciwdziałania zmianom przeznaczania na inny cel gruntów naturalnych oraz wzmacnianie istniejących mechanizmów ochrony gruntów rolnych i leśnych. Zapobieganie procesom degradacji ma na celu zachowanie przez gleby jak największych możliwości do pełnienia funkcji ekosystemowych celem zapewnienia bezpieczeństwa żywnościowego</w:t>
      </w:r>
      <w:r w:rsidR="00A034EC">
        <w:t>, a także zapewnienia maksymalizacji sekwestracji CO</w:t>
      </w:r>
      <w:r w:rsidR="00A034EC">
        <w:rPr>
          <w:vertAlign w:val="subscript"/>
        </w:rPr>
        <w:t xml:space="preserve">2 </w:t>
      </w:r>
      <w:r w:rsidR="00A034EC">
        <w:t>w glebie</w:t>
      </w:r>
      <w:r>
        <w:t>.</w:t>
      </w:r>
    </w:p>
    <w:p w14:paraId="27977E7D" w14:textId="7EB52E61" w:rsidR="00467AA9" w:rsidRDefault="00467AA9" w:rsidP="00467AA9">
      <w:pPr>
        <w:pStyle w:val="Nagwek6"/>
      </w:pPr>
      <w:bookmarkStart w:id="349" w:name="_Ref173420864"/>
      <w:r>
        <w:t xml:space="preserve">Działanie </w:t>
      </w:r>
      <w:r w:rsidR="005C2642">
        <w:fldChar w:fldCharType="begin"/>
      </w:r>
      <w:r w:rsidR="005C2642">
        <w:instrText xml:space="preserve"> SEQ Działanie \* ARABIC </w:instrText>
      </w:r>
      <w:r w:rsidR="005C2642">
        <w:fldChar w:fldCharType="separate"/>
      </w:r>
      <w:r w:rsidR="00DD3929">
        <w:rPr>
          <w:noProof/>
        </w:rPr>
        <w:t>71</w:t>
      </w:r>
      <w:r w:rsidR="005C2642">
        <w:rPr>
          <w:noProof/>
        </w:rPr>
        <w:fldChar w:fldCharType="end"/>
      </w:r>
      <w:r>
        <w:t xml:space="preserve">. </w:t>
      </w:r>
      <w:r w:rsidRPr="00467AA9">
        <w:t>W</w:t>
      </w:r>
      <w:r w:rsidR="002171CF">
        <w:t>s</w:t>
      </w:r>
      <w:r w:rsidRPr="00467AA9">
        <w:t>pieranie rekultywacji gruntów zdegradowanych i</w:t>
      </w:r>
      <w:r w:rsidR="00564E20">
        <w:t> </w:t>
      </w:r>
      <w:r w:rsidRPr="00467AA9">
        <w:t>zdewastowanych.</w:t>
      </w:r>
      <w:bookmarkEnd w:id="349"/>
    </w:p>
    <w:p w14:paraId="16DFFCAD" w14:textId="6E069DF8" w:rsidR="00467AA9" w:rsidRPr="00467AA9" w:rsidRDefault="002171CF" w:rsidP="002171CF">
      <w:r>
        <w:t>Działanie polega na zapewnieniu różnego rodzaju wsparcia w przypadku realizacji rekultywacji gruntów zdegradowanych i zdewastowanych. Przeprowadzenie rekultywacji gruntów zdegradowanych ma na celu zwiększenie ich potencjału produkcyjnego. Istotnym działaniem jest również rekultywacja terenów zdewastowanych i ich włączanie do obiegu gospodarczego, aby nie lokować inwestycji na terenach ,,zielonych”.</w:t>
      </w:r>
    </w:p>
    <w:p w14:paraId="4D97C598" w14:textId="74785719" w:rsidR="00467AA9" w:rsidRDefault="00467AA9" w:rsidP="00467AA9">
      <w:pPr>
        <w:pStyle w:val="Nagwek6"/>
      </w:pPr>
      <w:bookmarkStart w:id="350" w:name="_Ref173420866"/>
      <w:r>
        <w:t xml:space="preserve">Działanie </w:t>
      </w:r>
      <w:r w:rsidR="005C2642">
        <w:fldChar w:fldCharType="begin"/>
      </w:r>
      <w:r w:rsidR="005C2642">
        <w:instrText xml:space="preserve"> SEQ Działanie \* ARABIC </w:instrText>
      </w:r>
      <w:r w:rsidR="005C2642">
        <w:fldChar w:fldCharType="separate"/>
      </w:r>
      <w:r w:rsidR="00DD3929">
        <w:rPr>
          <w:noProof/>
        </w:rPr>
        <w:t>72</w:t>
      </w:r>
      <w:r w:rsidR="005C2642">
        <w:rPr>
          <w:noProof/>
        </w:rPr>
        <w:fldChar w:fldCharType="end"/>
      </w:r>
      <w:r>
        <w:t xml:space="preserve">. </w:t>
      </w:r>
      <w:r w:rsidRPr="00467AA9">
        <w:t xml:space="preserve">Instrument finansowy </w:t>
      </w:r>
      <w:r w:rsidR="002E2988">
        <w:t>–</w:t>
      </w:r>
      <w:r w:rsidRPr="00467AA9">
        <w:t xml:space="preserve"> Program Priorytetowy NFOŚiGW </w:t>
      </w:r>
      <w:r>
        <w:t>„</w:t>
      </w:r>
      <w:r w:rsidRPr="00467AA9">
        <w:t>Ochrona powierzchni ziemi</w:t>
      </w:r>
      <w:r>
        <w:t>”</w:t>
      </w:r>
      <w:r w:rsidRPr="00467AA9">
        <w:t>.</w:t>
      </w:r>
      <w:bookmarkEnd w:id="350"/>
    </w:p>
    <w:p w14:paraId="2D875523" w14:textId="4269BF9A" w:rsidR="00467AA9" w:rsidRPr="00467AA9" w:rsidRDefault="00B8326F" w:rsidP="00B8326F">
      <w:r>
        <w:t>Działanie polega na wykreowaniu i utrzymywaniu mechanizmów finansowych, których celem będzie wspieranie inwestycji dedykowanych szeroko rozumianej ochronie powierzchni ziemi. W przypadkach, kiedy nie można zastosować zasady ,,zanieczyszczający płaci” konieczny jest instrument finansowy zabezpieczający możliwość korzystania w przypadku potrzeby realizacji inwestycji w tym obszarze.</w:t>
      </w:r>
    </w:p>
    <w:p w14:paraId="3D6D9AB6" w14:textId="215401DA" w:rsidR="00F721EE" w:rsidRPr="00F12C9E" w:rsidRDefault="00F721EE" w:rsidP="00B4077C">
      <w:pPr>
        <w:pStyle w:val="Nagwek6"/>
      </w:pPr>
      <w:bookmarkStart w:id="351" w:name="_Ref157425570"/>
      <w:bookmarkStart w:id="352" w:name="_Hlk173432200"/>
      <w:r w:rsidRPr="00F12C9E">
        <w:t xml:space="preserve">Działanie </w:t>
      </w:r>
      <w:r w:rsidR="005C2642">
        <w:fldChar w:fldCharType="begin"/>
      </w:r>
      <w:r w:rsidR="005C2642">
        <w:instrText xml:space="preserve"> SEQ Działanie \* ARABIC </w:instrText>
      </w:r>
      <w:r w:rsidR="005C2642">
        <w:fldChar w:fldCharType="separate"/>
      </w:r>
      <w:r w:rsidR="00DD3929">
        <w:rPr>
          <w:noProof/>
        </w:rPr>
        <w:t>73</w:t>
      </w:r>
      <w:r w:rsidR="005C2642">
        <w:rPr>
          <w:noProof/>
        </w:rPr>
        <w:fldChar w:fldCharType="end"/>
      </w:r>
      <w:r w:rsidRPr="00F12C9E">
        <w:t>.</w:t>
      </w:r>
      <w:r w:rsidR="006D0C65" w:rsidRPr="00F12C9E">
        <w:t xml:space="preserve"> Instrument finansowy – przemysł energochłonny.</w:t>
      </w:r>
      <w:bookmarkEnd w:id="351"/>
    </w:p>
    <w:p w14:paraId="7A8BC540" w14:textId="5BD2F2AB" w:rsidR="00F721EE" w:rsidRDefault="00F721EE" w:rsidP="00BA3E0C">
      <w:r w:rsidRPr="009F0F44">
        <w:t xml:space="preserve">Działanie dotyczy wsparcia celem poprawy efektywności energetycznej w przemyśle energochłonnym objętym unijnym </w:t>
      </w:r>
      <w:r w:rsidR="006D0C65" w:rsidRPr="009F0F44">
        <w:t>systemem</w:t>
      </w:r>
      <w:r w:rsidRPr="009F0F44">
        <w:t xml:space="preserve"> handlu uprawnieniami do emisji (EU ETS) oraz zmniejszenia emisyjności poprzez zwiększenie wytwarzania energii </w:t>
      </w:r>
      <w:r w:rsidR="006D0C65" w:rsidRPr="009F0F44">
        <w:t>elektrycznej</w:t>
      </w:r>
      <w:r w:rsidRPr="009F0F44">
        <w:t xml:space="preserve"> z OZE.</w:t>
      </w:r>
    </w:p>
    <w:p w14:paraId="5667EC0A" w14:textId="26573596" w:rsidR="00D13F94" w:rsidRDefault="00D13F94" w:rsidP="003408B5">
      <w:pPr>
        <w:pStyle w:val="Nagwek6"/>
      </w:pPr>
      <w:bookmarkStart w:id="353" w:name="_Ref174525115"/>
      <w:r>
        <w:t xml:space="preserve">Działanie </w:t>
      </w:r>
      <w:r w:rsidR="005C2642">
        <w:fldChar w:fldCharType="begin"/>
      </w:r>
      <w:r w:rsidR="005C2642">
        <w:instrText xml:space="preserve"> SEQ Działanie \* ARABIC </w:instrText>
      </w:r>
      <w:r w:rsidR="005C2642">
        <w:fldChar w:fldCharType="separate"/>
      </w:r>
      <w:r w:rsidR="00DD3929">
        <w:rPr>
          <w:noProof/>
        </w:rPr>
        <w:t>74</w:t>
      </w:r>
      <w:r w:rsidR="005C2642">
        <w:rPr>
          <w:noProof/>
        </w:rPr>
        <w:fldChar w:fldCharType="end"/>
      </w:r>
      <w:r>
        <w:t>. Aktualizacja Polskiej Strategii Wodorowej do 2030 r. z perspektywą do roku 2040.</w:t>
      </w:r>
      <w:bookmarkEnd w:id="353"/>
    </w:p>
    <w:p w14:paraId="6C5CDC4E" w14:textId="54098016" w:rsidR="00D13F94" w:rsidRPr="00D13F94" w:rsidRDefault="00780E77" w:rsidP="00C03379">
      <w:r>
        <w:t xml:space="preserve">Celem działania jest przeanalizowanie aktualnego stanu realizacji </w:t>
      </w:r>
      <w:r w:rsidRPr="00D13F94">
        <w:rPr>
          <w:i/>
          <w:iCs/>
        </w:rPr>
        <w:t>Polskiej Strategii Wodorowej do 2030 r. z</w:t>
      </w:r>
      <w:r>
        <w:rPr>
          <w:i/>
          <w:iCs/>
        </w:rPr>
        <w:t> </w:t>
      </w:r>
      <w:r w:rsidRPr="00D13F94">
        <w:rPr>
          <w:i/>
          <w:iCs/>
        </w:rPr>
        <w:t>perspektywą do roku 2040</w:t>
      </w:r>
      <w:r>
        <w:t xml:space="preserve"> oraz przygotowanie jej aktualizacji. Dokument został opracowany jeszcze w 2021 r., jednak od tego czasu wiedza na temat gospodarki wodorowej oraz priorytety krajowe i europejskie w tym zakresie uległy znaczącym zmianom. Dokument zaadresuje </w:t>
      </w:r>
      <w:r w:rsidRPr="00A448D9">
        <w:t>nowe wyzwania, takie jak</w:t>
      </w:r>
      <w:r>
        <w:t xml:space="preserve"> b</w:t>
      </w:r>
      <w:r w:rsidRPr="007B00DA">
        <w:t>udowa infrastruktury do przesyłu i dystrybucji wodoru</w:t>
      </w:r>
      <w:r>
        <w:t>,</w:t>
      </w:r>
      <w:r w:rsidRPr="00A448D9">
        <w:t xml:space="preserve"> import wodoru </w:t>
      </w:r>
      <w:r>
        <w:t xml:space="preserve">odnawialnego lub zielonego amoniaku, </w:t>
      </w:r>
      <w:r w:rsidRPr="00A448D9">
        <w:t xml:space="preserve">czy </w:t>
      </w:r>
      <w:r>
        <w:t xml:space="preserve">roli dolin wodorowych </w:t>
      </w:r>
      <w:r w:rsidRPr="00A448D9">
        <w:t>w</w:t>
      </w:r>
      <w:r>
        <w:t xml:space="preserve"> rozwoju krajowej </w:t>
      </w:r>
      <w:r w:rsidRPr="00A448D9">
        <w:t>gospodar</w:t>
      </w:r>
      <w:r>
        <w:t>ki</w:t>
      </w:r>
      <w:r w:rsidRPr="00A448D9">
        <w:t xml:space="preserve"> wodorowe</w:t>
      </w:r>
      <w:r>
        <w:t>j</w:t>
      </w:r>
      <w:r w:rsidR="00D13F94">
        <w:t>.</w:t>
      </w:r>
    </w:p>
    <w:p w14:paraId="5B7F3BB8" w14:textId="37D54E6E" w:rsidR="00660495" w:rsidRDefault="00660495" w:rsidP="00660495">
      <w:pPr>
        <w:pStyle w:val="Nagwek6"/>
      </w:pPr>
      <w:bookmarkStart w:id="354" w:name="_Ref159187803"/>
      <w:bookmarkStart w:id="355" w:name="_Hlk173432201"/>
      <w:bookmarkEnd w:id="352"/>
      <w:r>
        <w:t xml:space="preserve">Działanie </w:t>
      </w:r>
      <w:r w:rsidR="005C2642">
        <w:fldChar w:fldCharType="begin"/>
      </w:r>
      <w:r w:rsidR="005C2642">
        <w:instrText xml:space="preserve"> SEQ Działanie \* ARABIC </w:instrText>
      </w:r>
      <w:r w:rsidR="005C2642">
        <w:fldChar w:fldCharType="separate"/>
      </w:r>
      <w:r w:rsidR="00DD3929">
        <w:rPr>
          <w:noProof/>
        </w:rPr>
        <w:t>75</w:t>
      </w:r>
      <w:r w:rsidR="005C2642">
        <w:rPr>
          <w:noProof/>
        </w:rPr>
        <w:fldChar w:fldCharType="end"/>
      </w:r>
      <w:r>
        <w:t xml:space="preserve">. </w:t>
      </w:r>
      <w:r w:rsidRPr="00660495">
        <w:t>Instrument finansowy – kontrakt różnicowy dla produkcji wodoru w przemyśle</w:t>
      </w:r>
      <w:r>
        <w:t>.</w:t>
      </w:r>
      <w:bookmarkEnd w:id="354"/>
    </w:p>
    <w:p w14:paraId="621C0FF0" w14:textId="29904733" w:rsidR="00660495" w:rsidRDefault="00660495" w:rsidP="00660495">
      <w:r>
        <w:t xml:space="preserve">Kontrakt </w:t>
      </w:r>
      <w:r w:rsidRPr="00660495">
        <w:t>różnicowy ma polegać na zapewnieniu pomocy publicznej w formie ustalonej wcześniej kwoty dopłaty do ceny 1 kg wodoru wyprodukowanego przez producenta i wykorzystanego przez odbiorcę w</w:t>
      </w:r>
      <w:r w:rsidR="00780E77">
        <w:t> </w:t>
      </w:r>
      <w:r w:rsidRPr="00660495">
        <w:t>Polsce. Dopłata ma zmniejszyć różnicę pomiędzy ceną wodoru odnawialnego i tzw. wodoru szarego (otrzymywanego z surowców kopalnych). Natomiast, zapewnienie ceny wodoru odnawialnego na poziomie pozwalającym mu konkurować na rynku z wodorem szarym, tj. usunięcie ryzyka związanego z nadal początkowym stadium rozwoju technologii i produkcji wodoru odnawialnego, powinno doprowadzić do zmniejszenia ryzyka polskich projektów wodorowych i przyczynić się do rozwoju rynku wodoru odnawialnego w Polsce. Mechanizm ma ułatwić zastępowanie, głównie w przemyśle, tzw. wodoru szarego wodorem odnawialnym.</w:t>
      </w:r>
    </w:p>
    <w:p w14:paraId="55CB5536" w14:textId="225F2CA1" w:rsidR="00660495" w:rsidRDefault="00660495" w:rsidP="00660495">
      <w:pPr>
        <w:pStyle w:val="Nagwek6"/>
      </w:pPr>
      <w:bookmarkStart w:id="356" w:name="_Ref159242564"/>
      <w:r>
        <w:t xml:space="preserve">Działanie </w:t>
      </w:r>
      <w:r w:rsidR="005C2642">
        <w:fldChar w:fldCharType="begin"/>
      </w:r>
      <w:r w:rsidR="005C2642">
        <w:instrText xml:space="preserve"> SEQ Działanie \* ARABIC </w:instrText>
      </w:r>
      <w:r w:rsidR="005C2642">
        <w:fldChar w:fldCharType="separate"/>
      </w:r>
      <w:r w:rsidR="00DD3929">
        <w:rPr>
          <w:noProof/>
        </w:rPr>
        <w:t>76</w:t>
      </w:r>
      <w:r w:rsidR="005C2642">
        <w:rPr>
          <w:noProof/>
        </w:rPr>
        <w:fldChar w:fldCharType="end"/>
      </w:r>
      <w:r w:rsidR="00570679">
        <w:t>.</w:t>
      </w:r>
      <w:r w:rsidRPr="00660495">
        <w:t xml:space="preserve"> Wsparcie budowy mocy wytwórczych do produkcji wodoru odnawialnego i</w:t>
      </w:r>
      <w:r w:rsidR="00A74EF3">
        <w:t> </w:t>
      </w:r>
      <w:r w:rsidRPr="00660495">
        <w:t>niskoemisyjnego.</w:t>
      </w:r>
      <w:bookmarkEnd w:id="356"/>
    </w:p>
    <w:p w14:paraId="243328C6" w14:textId="0D7E3808" w:rsidR="00D13F94" w:rsidRPr="009B419F" w:rsidRDefault="00A74EF3" w:rsidP="00E001D7">
      <w:r w:rsidRPr="00A74EF3">
        <w:t>Działanie ma na celu wsparcie finansowe budowy mocy wytwórczych wodoru niskoemisyjnego i</w:t>
      </w:r>
      <w:r w:rsidR="00780E77">
        <w:t> </w:t>
      </w:r>
      <w:r w:rsidRPr="00A74EF3">
        <w:t>odnawialnego w Polsce. Środki finansowe na realizację działania zostaną przeznaczone z Instrumentu na rzecz Odbudowy i Zwiększania Odporności.</w:t>
      </w:r>
      <w:r w:rsidR="00D13F94">
        <w:t xml:space="preserve"> </w:t>
      </w:r>
    </w:p>
    <w:p w14:paraId="6B9786A4" w14:textId="2CDD3575" w:rsidR="00570679" w:rsidRDefault="00570679" w:rsidP="00570679">
      <w:pPr>
        <w:pStyle w:val="Nagwek6"/>
      </w:pPr>
      <w:bookmarkStart w:id="357" w:name="_Ref159242569"/>
      <w:r>
        <w:t xml:space="preserve">Działanie </w:t>
      </w:r>
      <w:r w:rsidR="005C2642">
        <w:fldChar w:fldCharType="begin"/>
      </w:r>
      <w:r w:rsidR="005C2642">
        <w:instrText xml:space="preserve"> SEQ Działanie \* ARABIC </w:instrText>
      </w:r>
      <w:r w:rsidR="005C2642">
        <w:fldChar w:fldCharType="separate"/>
      </w:r>
      <w:r w:rsidR="00DD3929">
        <w:rPr>
          <w:noProof/>
        </w:rPr>
        <w:t>77</w:t>
      </w:r>
      <w:r w:rsidR="005C2642">
        <w:rPr>
          <w:noProof/>
        </w:rPr>
        <w:fldChar w:fldCharType="end"/>
      </w:r>
      <w:r>
        <w:t xml:space="preserve">. Analiza potrzeby </w:t>
      </w:r>
      <w:r w:rsidRPr="00570679">
        <w:t>budowy morskiego terminalu portowego do przeładunku amoniaku.</w:t>
      </w:r>
      <w:bookmarkEnd w:id="357"/>
    </w:p>
    <w:p w14:paraId="22E785DC" w14:textId="573A485C" w:rsidR="00570679" w:rsidRPr="00A74EF3" w:rsidRDefault="00570679" w:rsidP="00A74EF3">
      <w:r>
        <w:t xml:space="preserve">W </w:t>
      </w:r>
      <w:r w:rsidRPr="00570679">
        <w:t xml:space="preserve">związku z rosnącym zapotrzebowaniem na wodór odnawialny i zielony amoniak, działanie ma </w:t>
      </w:r>
      <w:r w:rsidR="00774B04">
        <w:t xml:space="preserve">na </w:t>
      </w:r>
      <w:r w:rsidRPr="00570679">
        <w:t>celu określenie czy istnieje potrzeba budowy morskiego terminala portowego do przeładunku importowanego wodoru wraz z infrastrukturą do krakingu amoniaku. Analiza ma odpowiedzieć na pytanie</w:t>
      </w:r>
      <w:r w:rsidR="00774B04">
        <w:t>,</w:t>
      </w:r>
      <w:r w:rsidRPr="00570679">
        <w:t xml:space="preserve"> czy budowa takiego terminala będzie uzasadniona i przyniesie korzyści polskiej gospodarce.</w:t>
      </w:r>
    </w:p>
    <w:p w14:paraId="2C28C723" w14:textId="63160FAD" w:rsidR="00F721EE" w:rsidRPr="00F12C9E" w:rsidRDefault="00F721EE" w:rsidP="00B4077C">
      <w:pPr>
        <w:pStyle w:val="Nagwek6"/>
      </w:pPr>
      <w:bookmarkStart w:id="358" w:name="_Ref157421134"/>
      <w:bookmarkEnd w:id="355"/>
      <w:r w:rsidRPr="00F12C9E">
        <w:t xml:space="preserve">Działanie </w:t>
      </w:r>
      <w:r w:rsidR="005C2642">
        <w:fldChar w:fldCharType="begin"/>
      </w:r>
      <w:r w:rsidR="005C2642">
        <w:instrText xml:space="preserve"> SEQ Działanie \* ARABIC </w:instrText>
      </w:r>
      <w:r w:rsidR="005C2642">
        <w:fldChar w:fldCharType="separate"/>
      </w:r>
      <w:r w:rsidR="00DD3929">
        <w:rPr>
          <w:noProof/>
        </w:rPr>
        <w:t>78</w:t>
      </w:r>
      <w:r w:rsidR="005C2642">
        <w:rPr>
          <w:noProof/>
        </w:rPr>
        <w:fldChar w:fldCharType="end"/>
      </w:r>
      <w:r w:rsidRPr="00F12C9E">
        <w:t>.</w:t>
      </w:r>
      <w:r w:rsidR="006D0C65" w:rsidRPr="00F12C9E">
        <w:t xml:space="preserve"> </w:t>
      </w:r>
      <w:r w:rsidRPr="00F12C9E">
        <w:t xml:space="preserve">Instrument finansowy – Program NFOŚiGW </w:t>
      </w:r>
      <w:r w:rsidR="006E7D5E">
        <w:t>„</w:t>
      </w:r>
      <w:r w:rsidRPr="00F12C9E">
        <w:t>Energia dla wsi</w:t>
      </w:r>
      <w:r w:rsidR="006E7D5E">
        <w:t>”</w:t>
      </w:r>
      <w:r w:rsidRPr="00F12C9E">
        <w:t>.</w:t>
      </w:r>
      <w:bookmarkEnd w:id="358"/>
    </w:p>
    <w:p w14:paraId="336C6295" w14:textId="77777777" w:rsidR="00F721EE" w:rsidRPr="009F0F44" w:rsidRDefault="00F721EE" w:rsidP="00BA3E0C">
      <w:r w:rsidRPr="009F0F44">
        <w:t>Program obejmuje wsparcie inwestycji dotyczących budowy: elektrowni wodnych, instalacji wytwarzania energii z biogazu rolniczego w warunkach wysokosprawnej kogeneracji, oraz magazynów energii. Beneficjentami mogą być spółdzielnie energetyczne i jej członkowie będący przedsiębiorcami, a także rolnicy.</w:t>
      </w:r>
    </w:p>
    <w:p w14:paraId="2ECD2CCA" w14:textId="6990F80A" w:rsidR="00F721EE" w:rsidRPr="00F12C9E" w:rsidRDefault="00F721EE" w:rsidP="00B4077C">
      <w:pPr>
        <w:pStyle w:val="Nagwek6"/>
      </w:pPr>
      <w:bookmarkStart w:id="359" w:name="_Ref157425628"/>
      <w:r w:rsidRPr="00F12C9E">
        <w:t xml:space="preserve">Działanie </w:t>
      </w:r>
      <w:r w:rsidR="005C2642">
        <w:fldChar w:fldCharType="begin"/>
      </w:r>
      <w:r w:rsidR="005C2642">
        <w:instrText xml:space="preserve"> SEQ Działanie \* ARABIC </w:instrText>
      </w:r>
      <w:r w:rsidR="005C2642">
        <w:fldChar w:fldCharType="separate"/>
      </w:r>
      <w:r w:rsidR="00DD3929">
        <w:rPr>
          <w:noProof/>
        </w:rPr>
        <w:t>79</w:t>
      </w:r>
      <w:r w:rsidR="005C2642">
        <w:rPr>
          <w:noProof/>
        </w:rPr>
        <w:fldChar w:fldCharType="end"/>
      </w:r>
      <w:r w:rsidRPr="00F12C9E">
        <w:t>.</w:t>
      </w:r>
      <w:r w:rsidR="006D0C65" w:rsidRPr="00F12C9E">
        <w:t xml:space="preserve"> </w:t>
      </w:r>
      <w:r w:rsidR="00010DD9" w:rsidRPr="00010DD9">
        <w:t>Kontrakty różnicowe dla redukcji CO</w:t>
      </w:r>
      <w:r w:rsidR="00010DD9" w:rsidRPr="00010DD9">
        <w:rPr>
          <w:vertAlign w:val="subscript"/>
        </w:rPr>
        <w:t>2</w:t>
      </w:r>
      <w:r w:rsidR="00010DD9" w:rsidRPr="00010DD9">
        <w:t xml:space="preserve"> oraz inne działania wspierające komercyjne projekty CCS i CCU</w:t>
      </w:r>
      <w:r w:rsidRPr="00F12C9E">
        <w:t>.</w:t>
      </w:r>
      <w:bookmarkEnd w:id="359"/>
    </w:p>
    <w:p w14:paraId="103C0ABE" w14:textId="32DB5F37" w:rsidR="00F721EE" w:rsidRPr="009F0F44" w:rsidRDefault="00010DD9" w:rsidP="00586D95">
      <w:r w:rsidRPr="009F0F44">
        <w:t xml:space="preserve">Działanie to obejmuje </w:t>
      </w:r>
      <w:r>
        <w:t>przygotowanie finansowego instrumentu wsparcia dla instalacji redukujących emisje CO</w:t>
      </w:r>
      <w:r w:rsidRPr="00240522">
        <w:rPr>
          <w:vertAlign w:val="subscript"/>
        </w:rPr>
        <w:t>2</w:t>
      </w:r>
      <w:r>
        <w:t>. (</w:t>
      </w:r>
      <w:r w:rsidRPr="00240522">
        <w:t xml:space="preserve">ang. </w:t>
      </w:r>
      <w:r w:rsidRPr="00010DD9">
        <w:rPr>
          <w:i/>
          <w:iCs/>
        </w:rPr>
        <w:t>carbon contracts for difference</w:t>
      </w:r>
      <w:r w:rsidRPr="00240522">
        <w:t>)</w:t>
      </w:r>
      <w:r>
        <w:t>. Jest to instrument sprawdzony w promowaniu wielkoskalowych instalacji przemysłowych takich jak CCS, CCU, czy produkcji wodoru. Działanie obejmuje również inne działania wspierające technologię</w:t>
      </w:r>
      <w:r w:rsidRPr="009F0F44">
        <w:t xml:space="preserve"> wychwytywania i wykorzystania </w:t>
      </w:r>
      <w:r>
        <w:t>CO</w:t>
      </w:r>
      <w:r w:rsidRPr="00010DD9">
        <w:rPr>
          <w:vertAlign w:val="subscript"/>
        </w:rPr>
        <w:t>2</w:t>
      </w:r>
      <w:r w:rsidRPr="009F0F44">
        <w:t xml:space="preserve"> (CCU), </w:t>
      </w:r>
      <w:r>
        <w:t xml:space="preserve">a także </w:t>
      </w:r>
      <w:r w:rsidRPr="009F0F44">
        <w:t>budowy i eksploatacji instalacji do wychwytywania i sk</w:t>
      </w:r>
      <w:r w:rsidRPr="009F0F44">
        <w:rPr>
          <w:rFonts w:cs="Lato"/>
        </w:rPr>
        <w:t>ł</w:t>
      </w:r>
      <w:r w:rsidRPr="009F0F44">
        <w:t>adowania dwutlenku w</w:t>
      </w:r>
      <w:r w:rsidRPr="009F0F44">
        <w:rPr>
          <w:rFonts w:cs="Lato"/>
        </w:rPr>
        <w:t>ę</w:t>
      </w:r>
      <w:r w:rsidRPr="009F0F44">
        <w:t>gla (CCS)</w:t>
      </w:r>
      <w:r>
        <w:t xml:space="preserve">, w tym także </w:t>
      </w:r>
      <w:r w:rsidRPr="009F0F44">
        <w:t>projekty badawcze</w:t>
      </w:r>
      <w:r>
        <w:t xml:space="preserve">, </w:t>
      </w:r>
      <w:r w:rsidRPr="007860F9">
        <w:t>edukacyjne</w:t>
      </w:r>
      <w:r w:rsidR="00F721EE" w:rsidRPr="009F0F44">
        <w:t>.</w:t>
      </w:r>
    </w:p>
    <w:p w14:paraId="1D2301AF" w14:textId="5A152AC5" w:rsidR="00F721EE" w:rsidRPr="00F12C9E" w:rsidRDefault="00F721EE" w:rsidP="00586D95">
      <w:pPr>
        <w:pStyle w:val="Nagwek6"/>
      </w:pPr>
      <w:bookmarkStart w:id="360" w:name="_Ref157421151"/>
      <w:r w:rsidRPr="00F12C9E">
        <w:t xml:space="preserve">Działanie </w:t>
      </w:r>
      <w:r w:rsidR="005C2642">
        <w:fldChar w:fldCharType="begin"/>
      </w:r>
      <w:r w:rsidR="005C2642">
        <w:instrText xml:space="preserve"> SEQ Działanie \* ARABIC </w:instrText>
      </w:r>
      <w:r w:rsidR="005C2642">
        <w:fldChar w:fldCharType="separate"/>
      </w:r>
      <w:r w:rsidR="00DD3929">
        <w:rPr>
          <w:noProof/>
        </w:rPr>
        <w:t>80</w:t>
      </w:r>
      <w:r w:rsidR="005C2642">
        <w:rPr>
          <w:noProof/>
        </w:rPr>
        <w:fldChar w:fldCharType="end"/>
      </w:r>
      <w:r w:rsidRPr="00F12C9E">
        <w:t>.</w:t>
      </w:r>
      <w:r w:rsidR="006D0C65" w:rsidRPr="00F12C9E">
        <w:t xml:space="preserve"> </w:t>
      </w:r>
      <w:r w:rsidRPr="00F12C9E">
        <w:t xml:space="preserve">Instrument </w:t>
      </w:r>
      <w:r w:rsidRPr="00586D95">
        <w:t>finansowy</w:t>
      </w:r>
      <w:r w:rsidRPr="00F12C9E">
        <w:t xml:space="preserve"> – Fundusz Modernizacyjny.</w:t>
      </w:r>
      <w:bookmarkEnd w:id="360"/>
    </w:p>
    <w:p w14:paraId="00233B43" w14:textId="799036B7" w:rsidR="00992F1C" w:rsidRPr="00992F1C" w:rsidRDefault="00992F1C" w:rsidP="00C03379">
      <w:pPr>
        <w:rPr>
          <w:rStyle w:val="markedcontent"/>
          <w:rFonts w:cstheme="minorHAnsi"/>
          <w:szCs w:val="20"/>
        </w:rPr>
      </w:pPr>
      <w:bookmarkStart w:id="361" w:name="_Ref157423090"/>
      <w:r w:rsidRPr="00992F1C">
        <w:t>W ramach F</w:t>
      </w:r>
      <w:r>
        <w:t>unduszu Modernizacyjnego</w:t>
      </w:r>
      <w:r w:rsidRPr="00992F1C">
        <w:t xml:space="preserve"> możliwe jest dofinansowanie realizacji szerokiego spektrum inwestycji mających na celu modernizację krajowego systemu energetycznego oraz poprawę efektywności energetycznej w ramach obszarów priorytetowych i niepriorytetowych wskazanych w</w:t>
      </w:r>
      <w:r>
        <w:t> </w:t>
      </w:r>
      <w:r w:rsidR="00C80842">
        <w:t>dy</w:t>
      </w:r>
      <w:r w:rsidRPr="00992F1C">
        <w:t>rektywie ETS</w:t>
      </w:r>
      <w:r w:rsidR="002D0C2A">
        <w:t xml:space="preserve">. </w:t>
      </w:r>
      <w:r w:rsidRPr="00992F1C">
        <w:rPr>
          <w:rStyle w:val="markedcontent"/>
          <w:rFonts w:cstheme="minorHAnsi"/>
          <w:szCs w:val="20"/>
        </w:rPr>
        <w:t xml:space="preserve">FM będzie funkcjonował do 2030 r. i w jego ramach tworzone będą kolejne programy priorytetowe oferujące wsparcie dla inwestycji wpisujących się </w:t>
      </w:r>
      <w:r w:rsidR="00C80842">
        <w:rPr>
          <w:rStyle w:val="markedcontent"/>
          <w:rFonts w:cstheme="minorHAnsi"/>
          <w:szCs w:val="20"/>
        </w:rPr>
        <w:t>te</w:t>
      </w:r>
      <w:r w:rsidRPr="00992F1C">
        <w:rPr>
          <w:rStyle w:val="markedcontent"/>
          <w:rFonts w:cstheme="minorHAnsi"/>
          <w:szCs w:val="20"/>
        </w:rPr>
        <w:t xml:space="preserve"> obszary.</w:t>
      </w:r>
    </w:p>
    <w:p w14:paraId="752B25CE" w14:textId="50CE13DF" w:rsidR="00992F1C" w:rsidRPr="00992F1C" w:rsidRDefault="00992F1C" w:rsidP="00C03379">
      <w:pPr>
        <w:rPr>
          <w:rStyle w:val="markedcontent"/>
          <w:rFonts w:cstheme="minorHAnsi"/>
          <w:szCs w:val="20"/>
        </w:rPr>
      </w:pPr>
      <w:r w:rsidRPr="00992F1C">
        <w:rPr>
          <w:rStyle w:val="markedcontent"/>
          <w:rFonts w:cstheme="minorHAnsi"/>
          <w:szCs w:val="20"/>
        </w:rPr>
        <w:t>W ramach innych działań</w:t>
      </w:r>
      <w:r w:rsidRPr="00992F1C">
        <w:t xml:space="preserve"> </w:t>
      </w:r>
      <w:r w:rsidRPr="00992F1C">
        <w:rPr>
          <w:rStyle w:val="markedcontent"/>
          <w:rFonts w:cstheme="minorHAnsi"/>
          <w:szCs w:val="20"/>
        </w:rPr>
        <w:t>zostały przedstawione istotne z</w:t>
      </w:r>
      <w:r w:rsidR="002D0C2A">
        <w:rPr>
          <w:rStyle w:val="markedcontent"/>
          <w:rFonts w:cstheme="minorHAnsi"/>
          <w:szCs w:val="20"/>
        </w:rPr>
        <w:t> </w:t>
      </w:r>
      <w:r w:rsidRPr="00992F1C">
        <w:rPr>
          <w:rStyle w:val="markedcontent"/>
          <w:rFonts w:cstheme="minorHAnsi"/>
          <w:szCs w:val="20"/>
        </w:rPr>
        <w:t xml:space="preserve">perspektywy Krajowego planu działania finansowane przez Fundusz Modernizacyjny. </w:t>
      </w:r>
    </w:p>
    <w:p w14:paraId="4FFBF5AE" w14:textId="0DA8FD43" w:rsidR="00F721EE" w:rsidRPr="00F12C9E" w:rsidRDefault="00F721EE" w:rsidP="00CE5AEF">
      <w:pPr>
        <w:pStyle w:val="Nagwek6"/>
      </w:pPr>
      <w:bookmarkStart w:id="362" w:name="_Ref159929134"/>
      <w:r w:rsidRPr="00F12C9E">
        <w:t xml:space="preserve">Działanie </w:t>
      </w:r>
      <w:r w:rsidR="005C2642">
        <w:fldChar w:fldCharType="begin"/>
      </w:r>
      <w:r w:rsidR="005C2642">
        <w:instrText xml:space="preserve"> SEQ Działanie \* ARABIC </w:instrText>
      </w:r>
      <w:r w:rsidR="005C2642">
        <w:fldChar w:fldCharType="separate"/>
      </w:r>
      <w:r w:rsidR="00DD3929">
        <w:rPr>
          <w:noProof/>
        </w:rPr>
        <w:t>81</w:t>
      </w:r>
      <w:r w:rsidR="005C2642">
        <w:rPr>
          <w:noProof/>
        </w:rPr>
        <w:fldChar w:fldCharType="end"/>
      </w:r>
      <w:r w:rsidRPr="00F12C9E">
        <w:t>.</w:t>
      </w:r>
      <w:r w:rsidR="006D0C65" w:rsidRPr="00F12C9E">
        <w:t xml:space="preserve"> </w:t>
      </w:r>
      <w:r w:rsidRPr="00CE5AEF">
        <w:t>Rozwój</w:t>
      </w:r>
      <w:r w:rsidRPr="00F12C9E">
        <w:t xml:space="preserve"> ekologicznych i efektywnych systemów ciepłowniczych.</w:t>
      </w:r>
      <w:bookmarkEnd w:id="361"/>
      <w:bookmarkEnd w:id="362"/>
    </w:p>
    <w:p w14:paraId="0ED059E3" w14:textId="01B11E6E" w:rsidR="00B039E7" w:rsidRDefault="00F721EE" w:rsidP="0066371E">
      <w:pPr>
        <w:spacing w:before="240" w:after="120"/>
      </w:pPr>
      <w:r w:rsidRPr="009F0F44">
        <w:t>Działanie ma na celu wypracowanie generalnych rozwiązań i systemów wsparcia dla sektora ciepłownictwa. Dodatkowo zorganizowanie systemu pozyskiwania informacji o liczbie, lokalizacji i udziale systemów efektywnych energetycznie w liczbie systemów ciepłowniczych w Polsce.</w:t>
      </w:r>
    </w:p>
    <w:p w14:paraId="21099BD9" w14:textId="2781D1FD" w:rsidR="00B039E7" w:rsidRDefault="00B039E7" w:rsidP="00CE5AEF">
      <w:pPr>
        <w:pStyle w:val="Nagwek6"/>
      </w:pPr>
      <w:bookmarkStart w:id="363" w:name="_Ref159237120"/>
      <w:r w:rsidRPr="00BA3E0C">
        <w:t xml:space="preserve">Działanie </w:t>
      </w:r>
      <w:r w:rsidR="005C2642">
        <w:fldChar w:fldCharType="begin"/>
      </w:r>
      <w:r w:rsidR="005C2642">
        <w:instrText xml:space="preserve"> SEQ Działanie \* ARABIC </w:instrText>
      </w:r>
      <w:r w:rsidR="005C2642">
        <w:fldChar w:fldCharType="separate"/>
      </w:r>
      <w:r w:rsidR="00DD3929">
        <w:rPr>
          <w:noProof/>
        </w:rPr>
        <w:t>82</w:t>
      </w:r>
      <w:r w:rsidR="005C2642">
        <w:rPr>
          <w:noProof/>
        </w:rPr>
        <w:fldChar w:fldCharType="end"/>
      </w:r>
      <w:r w:rsidRPr="00BA3E0C">
        <w:t>.</w:t>
      </w:r>
      <w:r>
        <w:t xml:space="preserve"> </w:t>
      </w:r>
      <w:r w:rsidRPr="00CE5AEF">
        <w:t>Wsparcie</w:t>
      </w:r>
      <w:r>
        <w:t xml:space="preserve"> b</w:t>
      </w:r>
      <w:r w:rsidRPr="00B039E7">
        <w:t>udow</w:t>
      </w:r>
      <w:r>
        <w:t>y</w:t>
      </w:r>
      <w:r w:rsidRPr="00B039E7">
        <w:t xml:space="preserve"> innowacyjnych jednostek transportowych napędzanych wodorem</w:t>
      </w:r>
      <w:r>
        <w:t>.</w:t>
      </w:r>
      <w:bookmarkEnd w:id="363"/>
    </w:p>
    <w:p w14:paraId="258834FD" w14:textId="7246983B" w:rsidR="00B039E7" w:rsidRPr="00B039E7" w:rsidRDefault="00B039E7" w:rsidP="00D16E9D">
      <w:r w:rsidRPr="00B039E7">
        <w:t>Działanie ma na celu wsparcie finansowe rozwoju, budowy i wdrożenia innowacyjnych jednostek transportowych zasilanych wodorem (prace zmierzające do budowy, a następnie komercjalizacji pojazdów/jednostek szynowych/jednostek pływających). Środki finansowe na realizację działania zostaną przeznaczone z Instrumentu na rzecz Odbudowy i Zwiększania Odporności (</w:t>
      </w:r>
      <w:r>
        <w:t xml:space="preserve">ang. </w:t>
      </w:r>
      <w:r w:rsidRPr="00B039E7">
        <w:rPr>
          <w:i/>
          <w:iCs/>
        </w:rPr>
        <w:t>Recovery and Resilience Facility</w:t>
      </w:r>
      <w:r w:rsidRPr="00B039E7">
        <w:t xml:space="preserve"> – RRF) w ramach </w:t>
      </w:r>
      <w:r w:rsidR="00D6023C" w:rsidRPr="00B039E7">
        <w:t>K</w:t>
      </w:r>
      <w:r w:rsidR="00D6023C">
        <w:t xml:space="preserve">rajowego </w:t>
      </w:r>
      <w:r w:rsidRPr="00B039E7">
        <w:t>P</w:t>
      </w:r>
      <w:r w:rsidR="00D6023C">
        <w:t xml:space="preserve">lanu </w:t>
      </w:r>
      <w:r w:rsidRPr="00B039E7">
        <w:t>O</w:t>
      </w:r>
      <w:r w:rsidR="00D6023C">
        <w:t>dbudowy</w:t>
      </w:r>
      <w:r>
        <w:t>.</w:t>
      </w:r>
    </w:p>
    <w:p w14:paraId="49121C34" w14:textId="7724C684" w:rsidR="00F12C9E" w:rsidRPr="00F12C9E" w:rsidRDefault="00F12C9E" w:rsidP="00CE5AEF">
      <w:pPr>
        <w:pStyle w:val="Nagwek6"/>
        <w:rPr>
          <w:i/>
          <w:iCs/>
        </w:rPr>
      </w:pPr>
      <w:bookmarkStart w:id="364" w:name="_Ref158810999"/>
      <w:r w:rsidRPr="00F12C9E">
        <w:t xml:space="preserve">Działanie </w:t>
      </w:r>
      <w:r w:rsidR="005C2642">
        <w:fldChar w:fldCharType="begin"/>
      </w:r>
      <w:r w:rsidR="005C2642">
        <w:instrText xml:space="preserve"> SEQ Działanie \* ARABIC </w:instrText>
      </w:r>
      <w:r w:rsidR="005C2642">
        <w:fldChar w:fldCharType="separate"/>
      </w:r>
      <w:r w:rsidR="00DD3929">
        <w:rPr>
          <w:noProof/>
        </w:rPr>
        <w:t>83</w:t>
      </w:r>
      <w:r w:rsidR="005C2642">
        <w:rPr>
          <w:noProof/>
        </w:rPr>
        <w:fldChar w:fldCharType="end"/>
      </w:r>
      <w:r w:rsidRPr="00B4077C">
        <w:t>.</w:t>
      </w:r>
      <w:r w:rsidRPr="00F12C9E">
        <w:t xml:space="preserve"> </w:t>
      </w:r>
      <w:r w:rsidRPr="00CE5AEF">
        <w:t>Przygotowanie</w:t>
      </w:r>
      <w:r w:rsidRPr="00F12C9E">
        <w:t xml:space="preserve"> planów gospodarowania zasobami wodnymi w lasach.</w:t>
      </w:r>
      <w:bookmarkEnd w:id="364"/>
    </w:p>
    <w:p w14:paraId="56D0CE2E" w14:textId="76973EB1" w:rsidR="00F12C9E" w:rsidRPr="00E944AF" w:rsidRDefault="00F12C9E" w:rsidP="00D16E9D">
      <w:r w:rsidRPr="00E944AF">
        <w:t xml:space="preserve">Działanie obejmuje kształtowanie ekologicznych, produkcyjnych i społecznych funkcji lasu </w:t>
      </w:r>
      <w:r w:rsidR="009B4DA7">
        <w:t xml:space="preserve">na poziomie nadleśnictw </w:t>
      </w:r>
      <w:r w:rsidRPr="00E944AF">
        <w:t>przez: zachowanie naturalnych warunków wodnych niezbędnych w rozwoju potencjalnego zespołu leśnego (regulacje warunków wodnych), zwiększanie zasobów wodnych (przedsięwzięcia retencyjne oraz spowalniające odpływ wód ze zlewni), co znacząco wpływa na poprawę warunków produkcji leśnej, różnorodność biologiczną oraz sprzyja adaptacji lasu do prognozowanych zmian klimatu. Sprzyja to także łagodzeniu wpływu ekstremalnych zjawisk atmosferycznych, tj. susz i powodzi na lasy.</w:t>
      </w:r>
    </w:p>
    <w:p w14:paraId="3E215AD3" w14:textId="616A9984" w:rsidR="00DB2D47" w:rsidRPr="0043213A" w:rsidRDefault="00DB2D47" w:rsidP="00CE5AEF">
      <w:pPr>
        <w:pStyle w:val="Nagwek6"/>
      </w:pPr>
      <w:bookmarkStart w:id="365" w:name="_Ref158723930"/>
      <w:r w:rsidRPr="0043213A">
        <w:t xml:space="preserve">Działanie </w:t>
      </w:r>
      <w:r w:rsidR="005C2642">
        <w:fldChar w:fldCharType="begin"/>
      </w:r>
      <w:r w:rsidR="005C2642">
        <w:instrText xml:space="preserve"> SEQ Działanie \* ARABIC </w:instrText>
      </w:r>
      <w:r w:rsidR="005C2642">
        <w:fldChar w:fldCharType="separate"/>
      </w:r>
      <w:r w:rsidR="00DD3929">
        <w:rPr>
          <w:noProof/>
        </w:rPr>
        <w:t>84</w:t>
      </w:r>
      <w:r w:rsidR="005C2642">
        <w:rPr>
          <w:noProof/>
        </w:rPr>
        <w:fldChar w:fldCharType="end"/>
      </w:r>
      <w:r w:rsidRPr="0043213A">
        <w:t xml:space="preserve">. Określanie celów i zasad prowadzenia trwale zrównoważonej gospodarki leśnej </w:t>
      </w:r>
      <w:r w:rsidR="00563063">
        <w:t>dla nadleśnictw</w:t>
      </w:r>
      <w:r w:rsidRPr="0043213A">
        <w:t>.</w:t>
      </w:r>
      <w:bookmarkEnd w:id="365"/>
    </w:p>
    <w:p w14:paraId="20A6173D" w14:textId="3F5B2CD5" w:rsidR="00DB2D47" w:rsidRDefault="00DB2D47" w:rsidP="00D16E9D">
      <w:r w:rsidRPr="00E944AF">
        <w:t xml:space="preserve">Działanie to oznacza konieczność </w:t>
      </w:r>
      <w:r w:rsidR="00563063">
        <w:t xml:space="preserve">sporządzania planów urządzenia lasu </w:t>
      </w:r>
      <w:r w:rsidR="002B495F">
        <w:t xml:space="preserve">(na poziomie nadleśnictw) </w:t>
      </w:r>
      <w:r w:rsidR="00563063" w:rsidRPr="0043213A">
        <w:t>w</w:t>
      </w:r>
      <w:r w:rsidR="002B495F">
        <w:t> </w:t>
      </w:r>
      <w:r w:rsidR="00563063" w:rsidRPr="0043213A">
        <w:t>oparciu o kryterium zachowania i</w:t>
      </w:r>
      <w:r w:rsidR="00563063">
        <w:t> </w:t>
      </w:r>
      <w:r w:rsidR="00563063" w:rsidRPr="0043213A">
        <w:t>odpowiedniego wzmacniania zasobów leśnych i</w:t>
      </w:r>
      <w:r w:rsidR="00563063">
        <w:t> </w:t>
      </w:r>
      <w:r w:rsidR="00563063" w:rsidRPr="0043213A">
        <w:t>ich udziału w</w:t>
      </w:r>
      <w:r w:rsidR="002B495F">
        <w:t> </w:t>
      </w:r>
      <w:r w:rsidR="00563063" w:rsidRPr="0043213A">
        <w:t>globalnym bilansie węgla</w:t>
      </w:r>
      <w:r w:rsidRPr="00E944AF">
        <w:t>, które zapewni</w:t>
      </w:r>
      <w:r w:rsidR="00563063">
        <w:t>ą</w:t>
      </w:r>
      <w:r w:rsidRPr="00E944AF">
        <w:t xml:space="preserve"> pożądaną ilość i jakość zasobów leśnych w horyzoncie średnio- i długookresowym (poprzez wyważenie stosunku pozyskania do przyrostu), zmierza</w:t>
      </w:r>
      <w:r w:rsidR="00774B04">
        <w:t>ją</w:t>
      </w:r>
      <w:r w:rsidRPr="00E944AF">
        <w:t xml:space="preserve"> do utrzymania zapasu lub jego zwiększenia (do poziomu pożądanego ze względów ekonomicznych, ekologicznych i społecznych) oraz zwiększania lesistości, kiedy tylko może to przyczynić się do zwiększenia wartości ekonomicznych, ekologicznych, społecznych i/lub kulturowych.</w:t>
      </w:r>
    </w:p>
    <w:p w14:paraId="4A3DBBA7" w14:textId="3D96A8E4" w:rsidR="002B495F" w:rsidRPr="002B495F" w:rsidRDefault="002B495F" w:rsidP="00D16E9D">
      <w:pPr>
        <w:pStyle w:val="Legenda"/>
        <w:spacing w:before="480"/>
        <w:rPr>
          <w:rFonts w:ascii="Bahnschrift" w:eastAsiaTheme="majorEastAsia" w:hAnsi="Bahnschrift" w:cstheme="majorBidi"/>
          <w:b/>
          <w:i w:val="0"/>
          <w:iCs w:val="0"/>
          <w:color w:val="000000" w:themeColor="text1"/>
          <w:sz w:val="22"/>
          <w:szCs w:val="22"/>
        </w:rPr>
      </w:pPr>
      <w:bookmarkStart w:id="366" w:name="_Ref172030489"/>
      <w:r w:rsidRPr="002B495F">
        <w:rPr>
          <w:rFonts w:ascii="Bahnschrift" w:eastAsiaTheme="majorEastAsia" w:hAnsi="Bahnschrift" w:cstheme="majorBidi"/>
          <w:b/>
          <w:i w:val="0"/>
          <w:iCs w:val="0"/>
          <w:color w:val="000000" w:themeColor="text1"/>
          <w:sz w:val="22"/>
          <w:szCs w:val="22"/>
        </w:rPr>
        <w:t xml:space="preserve">Działanie </w:t>
      </w:r>
      <w:r w:rsidRPr="002B495F">
        <w:rPr>
          <w:rFonts w:ascii="Bahnschrift" w:eastAsiaTheme="majorEastAsia" w:hAnsi="Bahnschrift" w:cstheme="majorBidi"/>
          <w:b/>
          <w:i w:val="0"/>
          <w:iCs w:val="0"/>
          <w:color w:val="000000" w:themeColor="text1"/>
          <w:sz w:val="22"/>
          <w:szCs w:val="22"/>
        </w:rPr>
        <w:fldChar w:fldCharType="begin"/>
      </w:r>
      <w:r w:rsidRPr="002B495F">
        <w:rPr>
          <w:rFonts w:ascii="Bahnschrift" w:eastAsiaTheme="majorEastAsia" w:hAnsi="Bahnschrift" w:cstheme="majorBidi"/>
          <w:b/>
          <w:i w:val="0"/>
          <w:iCs w:val="0"/>
          <w:color w:val="000000" w:themeColor="text1"/>
          <w:sz w:val="22"/>
          <w:szCs w:val="22"/>
        </w:rPr>
        <w:instrText xml:space="preserve"> SEQ Działanie \* ARABIC </w:instrText>
      </w:r>
      <w:r w:rsidRPr="002B495F">
        <w:rPr>
          <w:rFonts w:ascii="Bahnschrift" w:eastAsiaTheme="majorEastAsia" w:hAnsi="Bahnschrift" w:cstheme="majorBidi"/>
          <w:b/>
          <w:i w:val="0"/>
          <w:iCs w:val="0"/>
          <w:color w:val="000000" w:themeColor="text1"/>
          <w:sz w:val="22"/>
          <w:szCs w:val="22"/>
        </w:rPr>
        <w:fldChar w:fldCharType="separate"/>
      </w:r>
      <w:r w:rsidR="00DD3929">
        <w:rPr>
          <w:rFonts w:ascii="Bahnschrift" w:eastAsiaTheme="majorEastAsia" w:hAnsi="Bahnschrift" w:cstheme="majorBidi"/>
          <w:b/>
          <w:i w:val="0"/>
          <w:iCs w:val="0"/>
          <w:noProof/>
          <w:color w:val="000000" w:themeColor="text1"/>
          <w:sz w:val="22"/>
          <w:szCs w:val="22"/>
        </w:rPr>
        <w:t>85</w:t>
      </w:r>
      <w:r w:rsidRPr="002B495F">
        <w:rPr>
          <w:rFonts w:ascii="Bahnschrift" w:eastAsiaTheme="majorEastAsia" w:hAnsi="Bahnschrift" w:cstheme="majorBidi"/>
          <w:b/>
          <w:i w:val="0"/>
          <w:iCs w:val="0"/>
          <w:color w:val="000000" w:themeColor="text1"/>
          <w:sz w:val="22"/>
          <w:szCs w:val="22"/>
        </w:rPr>
        <w:fldChar w:fldCharType="end"/>
      </w:r>
      <w:r w:rsidRPr="002B495F">
        <w:rPr>
          <w:rFonts w:ascii="Bahnschrift" w:eastAsiaTheme="majorEastAsia" w:hAnsi="Bahnschrift" w:cstheme="majorBidi"/>
          <w:b/>
          <w:i w:val="0"/>
          <w:iCs w:val="0"/>
          <w:color w:val="000000" w:themeColor="text1"/>
          <w:sz w:val="22"/>
          <w:szCs w:val="22"/>
        </w:rPr>
        <w:t>. Prowadzenie gospodarki nasiennej w leśnictwie.</w:t>
      </w:r>
      <w:bookmarkEnd w:id="366"/>
    </w:p>
    <w:p w14:paraId="2DFC366B" w14:textId="154C760D" w:rsidR="002B495F" w:rsidRPr="002B495F" w:rsidRDefault="002B495F" w:rsidP="00D16E9D">
      <w:r w:rsidRPr="00E944AF">
        <w:t>Działanie ma na celu rozszerzanie zasięgów najlepszych populacji drzew z regionów pochodzenia odznaczających się dużymi zdolnościami adaptacji do zmieniających się warunków środowiska i przez to zwiększenie przeżywalności drzew w zmieniającym się klimacie.</w:t>
      </w:r>
    </w:p>
    <w:p w14:paraId="35A20420" w14:textId="4CAB5C18" w:rsidR="007961B2" w:rsidRPr="00CE5AEF" w:rsidRDefault="007961B2" w:rsidP="00DC5106">
      <w:pPr>
        <w:pStyle w:val="Nagwek6"/>
        <w:spacing w:before="360"/>
      </w:pPr>
      <w:bookmarkStart w:id="367" w:name="_Ref158811078"/>
      <w:bookmarkStart w:id="368" w:name="_Ref157429313"/>
      <w:bookmarkStart w:id="369" w:name="_Ref158811044"/>
      <w:r w:rsidRPr="00CE5AEF">
        <w:t xml:space="preserve">Działanie </w:t>
      </w:r>
      <w:r w:rsidR="005C2642">
        <w:fldChar w:fldCharType="begin"/>
      </w:r>
      <w:r w:rsidR="005C2642">
        <w:instrText xml:space="preserve"> SEQ Działanie \* ARABIC </w:instrText>
      </w:r>
      <w:r w:rsidR="005C2642">
        <w:fldChar w:fldCharType="separate"/>
      </w:r>
      <w:r w:rsidR="00DD3929">
        <w:rPr>
          <w:noProof/>
        </w:rPr>
        <w:t>86</w:t>
      </w:r>
      <w:r w:rsidR="005C2642">
        <w:rPr>
          <w:noProof/>
        </w:rPr>
        <w:fldChar w:fldCharType="end"/>
      </w:r>
      <w:r w:rsidRPr="00CE5AEF">
        <w:t xml:space="preserve">. </w:t>
      </w:r>
      <w:r w:rsidR="00654E82">
        <w:t>Lasy</w:t>
      </w:r>
      <w:r w:rsidRPr="00CE5AEF">
        <w:t xml:space="preserve"> węglowe.</w:t>
      </w:r>
      <w:bookmarkEnd w:id="367"/>
    </w:p>
    <w:p w14:paraId="23850BAE" w14:textId="408E060D" w:rsidR="007961B2" w:rsidRPr="00E944AF" w:rsidRDefault="007961B2" w:rsidP="007961B2">
      <w:pPr>
        <w:spacing w:before="240" w:after="120"/>
        <w:rPr>
          <w:rFonts w:cs="Arial"/>
          <w:szCs w:val="20"/>
        </w:rPr>
      </w:pPr>
      <w:r w:rsidRPr="00E944AF">
        <w:rPr>
          <w:rFonts w:cs="Arial"/>
          <w:szCs w:val="20"/>
        </w:rPr>
        <w:t xml:space="preserve">Działanie </w:t>
      </w:r>
      <w:r w:rsidR="00DB57B1">
        <w:rPr>
          <w:rFonts w:cs="Arial"/>
          <w:szCs w:val="20"/>
        </w:rPr>
        <w:t xml:space="preserve">– </w:t>
      </w:r>
      <w:r w:rsidR="00DB57B1">
        <w:rPr>
          <w:szCs w:val="20"/>
        </w:rPr>
        <w:t xml:space="preserve">będące projektem Lasów Państwowych – </w:t>
      </w:r>
      <w:r w:rsidRPr="00E944AF">
        <w:rPr>
          <w:rFonts w:cs="Arial"/>
          <w:szCs w:val="20"/>
        </w:rPr>
        <w:t>obejmuje zalesianie gruntów, rozbudowę struktury pionowej lasu, np. wprowadzanie nowego pokolenia pod osłoną starych drzew, stosowanie różnych sposobów odnowienia lasu i prac pielęgnacyjnych ograniczających emisję węgla z gleby, wykorzystanie do tego celu gatunków o większej naturalnej zdolności pochłaniania dwutlenku węgla.</w:t>
      </w:r>
    </w:p>
    <w:p w14:paraId="6E964306" w14:textId="2FC5A2B7" w:rsidR="009E6ED8" w:rsidRPr="00AC0694" w:rsidRDefault="009E6ED8" w:rsidP="00DC5106">
      <w:pPr>
        <w:pStyle w:val="Nagwek6"/>
        <w:spacing w:before="360"/>
      </w:pPr>
      <w:bookmarkStart w:id="370" w:name="_Ref172030488"/>
      <w:r w:rsidRPr="00AC0694">
        <w:t xml:space="preserve">Działanie </w:t>
      </w:r>
      <w:r w:rsidR="005C2642">
        <w:fldChar w:fldCharType="begin"/>
      </w:r>
      <w:r w:rsidR="005C2642">
        <w:instrText xml:space="preserve"> SEQ Działanie \* ARABIC </w:instrText>
      </w:r>
      <w:r w:rsidR="005C2642">
        <w:fldChar w:fldCharType="separate"/>
      </w:r>
      <w:r w:rsidR="00DD3929">
        <w:rPr>
          <w:noProof/>
        </w:rPr>
        <w:t>87</w:t>
      </w:r>
      <w:r w:rsidR="005C2642">
        <w:rPr>
          <w:noProof/>
        </w:rPr>
        <w:fldChar w:fldCharType="end"/>
      </w:r>
      <w:r w:rsidRPr="00AC0694">
        <w:t xml:space="preserve">. </w:t>
      </w:r>
      <w:r w:rsidRPr="00CE5AEF">
        <w:t>Przeciwdziałanie</w:t>
      </w:r>
      <w:r w:rsidRPr="00AC0694">
        <w:t xml:space="preserve"> zamieraniu lasów.</w:t>
      </w:r>
      <w:bookmarkEnd w:id="370"/>
    </w:p>
    <w:p w14:paraId="1596354B" w14:textId="40954B15" w:rsidR="009E6ED8" w:rsidRDefault="009E6ED8" w:rsidP="009E6ED8">
      <w:pPr>
        <w:spacing w:before="240" w:after="120"/>
        <w:rPr>
          <w:szCs w:val="20"/>
        </w:rPr>
      </w:pPr>
      <w:r w:rsidRPr="00E944AF">
        <w:rPr>
          <w:szCs w:val="20"/>
        </w:rPr>
        <w:t xml:space="preserve">Działanie </w:t>
      </w:r>
      <w:r>
        <w:rPr>
          <w:szCs w:val="20"/>
        </w:rPr>
        <w:t xml:space="preserve">– będące projektem Lasów Państwowych – </w:t>
      </w:r>
      <w:r w:rsidRPr="00E944AF">
        <w:rPr>
          <w:szCs w:val="20"/>
        </w:rPr>
        <w:t>polega na przeciwdziałaniu procesom zamierania lasów w Polsce oraz działaniach mitygacyjnych w perspektywie do 2030 r</w:t>
      </w:r>
      <w:r>
        <w:rPr>
          <w:szCs w:val="20"/>
        </w:rPr>
        <w:t>.</w:t>
      </w:r>
      <w:r w:rsidRPr="00E944AF">
        <w:rPr>
          <w:szCs w:val="20"/>
        </w:rPr>
        <w:t>, a także zapobieżeniu lub minimalizacji negatywnych skutków zmian klimatycznych, w tym przede wszystkim niedopuszczeniu do</w:t>
      </w:r>
      <w:r>
        <w:rPr>
          <w:szCs w:val="20"/>
        </w:rPr>
        <w:t xml:space="preserve"> </w:t>
      </w:r>
      <w:r w:rsidRPr="00E944AF">
        <w:rPr>
          <w:szCs w:val="20"/>
        </w:rPr>
        <w:t>wielkopowierzchniowego</w:t>
      </w:r>
      <w:r>
        <w:rPr>
          <w:szCs w:val="20"/>
        </w:rPr>
        <w:t xml:space="preserve"> </w:t>
      </w:r>
      <w:r w:rsidRPr="00E944AF">
        <w:rPr>
          <w:szCs w:val="20"/>
        </w:rPr>
        <w:t>zamierania lasó</w:t>
      </w:r>
      <w:r>
        <w:rPr>
          <w:szCs w:val="20"/>
        </w:rPr>
        <w:t>w.</w:t>
      </w:r>
    </w:p>
    <w:p w14:paraId="4824E29D" w14:textId="41AA764E" w:rsidR="00DB2D47" w:rsidRPr="00CE5AEF" w:rsidRDefault="00DB2D47" w:rsidP="00CE5AEF">
      <w:pPr>
        <w:pStyle w:val="Nagwek6"/>
      </w:pPr>
      <w:bookmarkStart w:id="371" w:name="_Ref159358637"/>
      <w:bookmarkEnd w:id="368"/>
      <w:r w:rsidRPr="00CE5AEF">
        <w:t xml:space="preserve">Działanie </w:t>
      </w:r>
      <w:r w:rsidR="005C2642">
        <w:fldChar w:fldCharType="begin"/>
      </w:r>
      <w:r w:rsidR="005C2642">
        <w:instrText xml:space="preserve"> SEQ Działanie \* ARABIC </w:instrText>
      </w:r>
      <w:r w:rsidR="005C2642">
        <w:fldChar w:fldCharType="separate"/>
      </w:r>
      <w:r w:rsidR="00DD3929">
        <w:rPr>
          <w:noProof/>
        </w:rPr>
        <w:t>88</w:t>
      </w:r>
      <w:r w:rsidR="005C2642">
        <w:rPr>
          <w:noProof/>
        </w:rPr>
        <w:fldChar w:fldCharType="end"/>
      </w:r>
      <w:r w:rsidRPr="00CE5AEF">
        <w:t>. Określenie kierunkowych zadań z zakresu ochrony lasu, w tym ochrony przeciwpożarowej</w:t>
      </w:r>
      <w:r w:rsidR="006946D8">
        <w:t xml:space="preserve"> dla nadleśnictw</w:t>
      </w:r>
      <w:r w:rsidRPr="00CE5AEF">
        <w:t>.</w:t>
      </w:r>
      <w:bookmarkEnd w:id="369"/>
      <w:bookmarkEnd w:id="371"/>
    </w:p>
    <w:p w14:paraId="59DEA8FE" w14:textId="1FEAAFBA" w:rsidR="00DB2D47" w:rsidRDefault="00DB2D47" w:rsidP="00D16E9D">
      <w:r w:rsidRPr="00E944AF">
        <w:t>Działanie po</w:t>
      </w:r>
      <w:r w:rsidR="00746798">
        <w:t>lega</w:t>
      </w:r>
      <w:r w:rsidRPr="00E944AF">
        <w:t xml:space="preserve"> na określeni</w:t>
      </w:r>
      <w:r w:rsidR="00746798">
        <w:t>u</w:t>
      </w:r>
      <w:r w:rsidRPr="00E944AF">
        <w:t xml:space="preserve"> wytycznych z zakresu ochrony przeciwpożarowej </w:t>
      </w:r>
      <w:r>
        <w:t xml:space="preserve">wskazanych </w:t>
      </w:r>
      <w:r w:rsidRPr="00E944AF">
        <w:t>na podstawie obowiązujących przepisów prawnych, analizę stanu zagrożenia pożarowego w ubiegłym okresie oraz analizę i ocenę aktualnego stanu ochrony przeciwpożarowej nadleśnictw (w tym oceny aktualnych i dających się przewidzieć zagrożeń w zmieniających się warunkach powiązania lasu z otoczeniem społeczno-gospodarczym). Pozwala to na prewencję przeciwpożarową lasów i w następstwie przeciwdziała emisji CO</w:t>
      </w:r>
      <w:r w:rsidRPr="00E944AF">
        <w:rPr>
          <w:vertAlign w:val="subscript"/>
        </w:rPr>
        <w:t>2</w:t>
      </w:r>
      <w:r w:rsidRPr="00E944AF">
        <w:t xml:space="preserve"> z lasów.</w:t>
      </w:r>
    </w:p>
    <w:p w14:paraId="30467D1C" w14:textId="26EE7B7D" w:rsidR="00DB2D47" w:rsidRPr="00AC0694" w:rsidRDefault="00DB2D47" w:rsidP="00CE5AEF">
      <w:pPr>
        <w:pStyle w:val="Nagwek6"/>
        <w:rPr>
          <w:i/>
          <w:iCs/>
        </w:rPr>
      </w:pPr>
      <w:bookmarkStart w:id="372" w:name="_Ref158811110"/>
      <w:r w:rsidRPr="00AC0694">
        <w:t xml:space="preserve">Działanie </w:t>
      </w:r>
      <w:r w:rsidR="005C2642">
        <w:fldChar w:fldCharType="begin"/>
      </w:r>
      <w:r w:rsidR="005C2642">
        <w:instrText xml:space="preserve"> SEQ Działanie \* ARABIC </w:instrText>
      </w:r>
      <w:r w:rsidR="005C2642">
        <w:fldChar w:fldCharType="separate"/>
      </w:r>
      <w:r w:rsidR="00DD3929">
        <w:rPr>
          <w:noProof/>
        </w:rPr>
        <w:t>89</w:t>
      </w:r>
      <w:r w:rsidR="005C2642">
        <w:rPr>
          <w:noProof/>
        </w:rPr>
        <w:fldChar w:fldCharType="end"/>
      </w:r>
      <w:r w:rsidRPr="00AC0694">
        <w:t>. Odtworzenie oraz zachowanie obszarów bagiennych, torfowisk i terenów podmokłych</w:t>
      </w:r>
      <w:r w:rsidR="00AC0694">
        <w:t xml:space="preserve"> </w:t>
      </w:r>
      <w:r w:rsidRPr="00AC0694">
        <w:t xml:space="preserve">na </w:t>
      </w:r>
      <w:r w:rsidRPr="00CE5AEF">
        <w:t>obszarach</w:t>
      </w:r>
      <w:r w:rsidRPr="00AC0694">
        <w:t xml:space="preserve"> Natura 2000 i Zielonej Infrastruktury.</w:t>
      </w:r>
      <w:bookmarkEnd w:id="372"/>
    </w:p>
    <w:p w14:paraId="1B3A7011" w14:textId="77777777" w:rsidR="00DB2D47" w:rsidRDefault="00DB2D47" w:rsidP="0066371E">
      <w:pPr>
        <w:spacing w:before="240" w:after="120"/>
        <w:rPr>
          <w:szCs w:val="20"/>
        </w:rPr>
      </w:pPr>
      <w:r w:rsidRPr="00E944AF">
        <w:rPr>
          <w:szCs w:val="20"/>
        </w:rPr>
        <w:t>Działanie ma na celu stworzenie możliwości realizacji Priorytetowych Ram Działania dla sieci Natura 2000 w Polsce w zakresie bagien, torfowisk i terenów podmokłych.</w:t>
      </w:r>
    </w:p>
    <w:p w14:paraId="28FB8EA5" w14:textId="28FF1C9F" w:rsidR="00746798" w:rsidRPr="00746798" w:rsidRDefault="00746798" w:rsidP="0066371E">
      <w:pPr>
        <w:spacing w:before="240" w:after="120"/>
      </w:pPr>
      <w:r>
        <w:rPr>
          <w:szCs w:val="20"/>
        </w:rPr>
        <w:t xml:space="preserve">Działania mają pozwalać na </w:t>
      </w:r>
      <w:r w:rsidRPr="003C4924">
        <w:t>zmniejszeni</w:t>
      </w:r>
      <w:r>
        <w:t>e</w:t>
      </w:r>
      <w:r w:rsidRPr="003C4924">
        <w:t xml:space="preserve"> negatywnych skutków wywoływanych przez pożary w lasach oraz sprawn</w:t>
      </w:r>
      <w:r>
        <w:t>ym</w:t>
      </w:r>
      <w:r w:rsidRPr="003C4924">
        <w:t xml:space="preserve"> lokalizowani</w:t>
      </w:r>
      <w:r>
        <w:t>u</w:t>
      </w:r>
      <w:r w:rsidRPr="003C4924">
        <w:t xml:space="preserve"> źródła zagrożenia i minimalizowani</w:t>
      </w:r>
      <w:r>
        <w:t>u</w:t>
      </w:r>
      <w:r w:rsidRPr="003C4924">
        <w:t xml:space="preserve"> strat, a w dalszej perspektywie – zmniejszeni</w:t>
      </w:r>
      <w:r>
        <w:t>u</w:t>
      </w:r>
      <w:r w:rsidRPr="003C4924">
        <w:t xml:space="preserve"> średniej powierzchni pożarów i rozszerzeni</w:t>
      </w:r>
      <w:r>
        <w:t>u</w:t>
      </w:r>
      <w:r w:rsidRPr="003C4924">
        <w:t xml:space="preserve"> obserwacji obszarów leśnych, szczególnie w nadleśnictwach zakwalifikowanych do I kategorii zagrożenia pożarowego</w:t>
      </w:r>
    </w:p>
    <w:p w14:paraId="2BEA0E4C" w14:textId="60D9BDB9" w:rsidR="00DB2D47" w:rsidRPr="00AC0694" w:rsidRDefault="00DB2D47" w:rsidP="00CE5AEF">
      <w:pPr>
        <w:pStyle w:val="Nagwek6"/>
      </w:pPr>
      <w:bookmarkStart w:id="373" w:name="_Ref158811125"/>
      <w:r w:rsidRPr="00AC0694">
        <w:t xml:space="preserve">Działanie </w:t>
      </w:r>
      <w:r w:rsidR="005C2642">
        <w:fldChar w:fldCharType="begin"/>
      </w:r>
      <w:r w:rsidR="005C2642">
        <w:instrText xml:space="preserve"> SEQ Działanie \* ARABIC </w:instrText>
      </w:r>
      <w:r w:rsidR="005C2642">
        <w:fldChar w:fldCharType="separate"/>
      </w:r>
      <w:r w:rsidR="00DD3929">
        <w:rPr>
          <w:noProof/>
        </w:rPr>
        <w:t>90</w:t>
      </w:r>
      <w:r w:rsidR="005C2642">
        <w:rPr>
          <w:noProof/>
        </w:rPr>
        <w:fldChar w:fldCharType="end"/>
      </w:r>
      <w:r w:rsidRPr="00AC0694">
        <w:t xml:space="preserve">. </w:t>
      </w:r>
      <w:r w:rsidR="00D16E9D">
        <w:t>Rozwój małej retencji wodnej</w:t>
      </w:r>
      <w:r w:rsidRPr="00AC0694">
        <w:t>.</w:t>
      </w:r>
      <w:bookmarkEnd w:id="373"/>
    </w:p>
    <w:p w14:paraId="6BE9F190" w14:textId="5AA0D51F" w:rsidR="00746798" w:rsidRPr="00E944AF" w:rsidRDefault="00DB2D47" w:rsidP="0066371E">
      <w:pPr>
        <w:spacing w:before="240" w:after="120"/>
        <w:rPr>
          <w:szCs w:val="20"/>
        </w:rPr>
      </w:pPr>
      <w:r w:rsidRPr="00E944AF">
        <w:rPr>
          <w:szCs w:val="20"/>
        </w:rPr>
        <w:t>Działani</w:t>
      </w:r>
      <w:r w:rsidR="00F6477F">
        <w:rPr>
          <w:szCs w:val="20"/>
        </w:rPr>
        <w:t>e</w:t>
      </w:r>
      <w:r w:rsidR="00D16E9D">
        <w:rPr>
          <w:szCs w:val="20"/>
        </w:rPr>
        <w:t xml:space="preserve"> – będące projektem Lasów Państwowych – </w:t>
      </w:r>
      <w:r w:rsidRPr="00E944AF">
        <w:rPr>
          <w:szCs w:val="20"/>
        </w:rPr>
        <w:t>polega na wykonaniu prac z zakresu retencji wodnej, polegających przede wszystkim na budowie i odbudowie małych zbiorników wodnych, odtwarzaniu terenów podmokłych i zalewowych</w:t>
      </w:r>
      <w:r w:rsidR="00FA794E">
        <w:rPr>
          <w:szCs w:val="20"/>
        </w:rPr>
        <w:t xml:space="preserve"> (</w:t>
      </w:r>
      <w:r w:rsidR="00FA794E" w:rsidRPr="00AC0694">
        <w:t>mała retencja na terenach nizinnych i górskich</w:t>
      </w:r>
      <w:r w:rsidR="00FA794E">
        <w:rPr>
          <w:szCs w:val="20"/>
        </w:rPr>
        <w:t>)</w:t>
      </w:r>
      <w:r w:rsidRPr="00E944AF">
        <w:rPr>
          <w:szCs w:val="20"/>
        </w:rPr>
        <w:t>.</w:t>
      </w:r>
      <w:r w:rsidR="00FA794E">
        <w:rPr>
          <w:szCs w:val="20"/>
        </w:rPr>
        <w:t xml:space="preserve"> </w:t>
      </w:r>
      <w:r w:rsidR="00746798">
        <w:rPr>
          <w:szCs w:val="20"/>
        </w:rPr>
        <w:t>Podejmowane działania powinny odpowiadać wyzwaniom adaptacji do zmian klimatu. T</w:t>
      </w:r>
      <w:r w:rsidR="00746798" w:rsidRPr="00746798">
        <w:rPr>
          <w:szCs w:val="20"/>
        </w:rPr>
        <w:t xml:space="preserve">worzenie warunków do magazynowania wody oraz zapobieganie, przeciwdziałanie </w:t>
      </w:r>
      <w:r w:rsidR="00746798">
        <w:rPr>
          <w:szCs w:val="20"/>
        </w:rPr>
        <w:t>i</w:t>
      </w:r>
      <w:r w:rsidR="00746798" w:rsidRPr="00746798">
        <w:rPr>
          <w:szCs w:val="20"/>
        </w:rPr>
        <w:t xml:space="preserve"> ograniczanie skutków zagrożeń związanych z pożarami lasów</w:t>
      </w:r>
      <w:r w:rsidR="00746798">
        <w:rPr>
          <w:szCs w:val="20"/>
        </w:rPr>
        <w:t xml:space="preserve"> ma pozwalać na </w:t>
      </w:r>
      <w:r w:rsidR="00746798" w:rsidRPr="003C4924">
        <w:t>zmniejszeni</w:t>
      </w:r>
      <w:r w:rsidR="00746798">
        <w:t>u</w:t>
      </w:r>
      <w:r w:rsidR="00746798" w:rsidRPr="003C4924">
        <w:t xml:space="preserve"> negatywnych skutków wywoływanych przez pożary w lasach oraz sprawn</w:t>
      </w:r>
      <w:r w:rsidR="00746798">
        <w:t>ym</w:t>
      </w:r>
      <w:r w:rsidR="00746798" w:rsidRPr="003C4924">
        <w:t xml:space="preserve"> lokalizowani</w:t>
      </w:r>
      <w:r w:rsidR="00746798">
        <w:t>u</w:t>
      </w:r>
      <w:r w:rsidR="00746798" w:rsidRPr="003C4924">
        <w:t xml:space="preserve"> źródła zagrożenia i minimalizowani</w:t>
      </w:r>
      <w:r w:rsidR="00746798">
        <w:t>u</w:t>
      </w:r>
      <w:r w:rsidR="00746798" w:rsidRPr="003C4924">
        <w:t xml:space="preserve"> strat, a w dalszej perspektywie – zmniejszeni</w:t>
      </w:r>
      <w:r w:rsidR="00746798">
        <w:t>u</w:t>
      </w:r>
      <w:r w:rsidR="00746798" w:rsidRPr="003C4924">
        <w:t xml:space="preserve"> średniej powierzchni pożarów i rozszerzeni</w:t>
      </w:r>
      <w:r w:rsidR="00746798">
        <w:t>u</w:t>
      </w:r>
      <w:r w:rsidR="00746798" w:rsidRPr="003C4924">
        <w:t xml:space="preserve"> obserwacji obszarów leśnych, szczególnie w nadleśnictwach zakwalifikowanych do I kategorii zagrożenia pożarowego</w:t>
      </w:r>
      <w:r w:rsidR="00746798">
        <w:t>.</w:t>
      </w:r>
    </w:p>
    <w:p w14:paraId="283999B6" w14:textId="77777777" w:rsidR="00CE5AEF" w:rsidRDefault="00CE5AEF" w:rsidP="000029E7">
      <w:pPr>
        <w:spacing w:before="240" w:after="120"/>
        <w:rPr>
          <w:szCs w:val="20"/>
        </w:rPr>
        <w:sectPr w:rsidR="00CE5AEF" w:rsidSect="00CE5AEF">
          <w:headerReference w:type="even" r:id="rId85"/>
          <w:headerReference w:type="default" r:id="rId86"/>
          <w:headerReference w:type="first" r:id="rId87"/>
          <w:pgSz w:w="11906" w:h="16838"/>
          <w:pgMar w:top="1417" w:right="1417" w:bottom="1417" w:left="1417" w:header="708" w:footer="708" w:gutter="0"/>
          <w:cols w:space="708"/>
          <w:titlePg/>
          <w:docGrid w:linePitch="360"/>
        </w:sectPr>
      </w:pPr>
    </w:p>
    <w:p w14:paraId="706261AC" w14:textId="4D4D7922" w:rsidR="0057223B" w:rsidRPr="000029E7" w:rsidRDefault="00536B8F" w:rsidP="0057223B">
      <w:pPr>
        <w:pStyle w:val="Nagwek2"/>
        <w:rPr>
          <w:color w:val="FFFFFF" w:themeColor="background1"/>
        </w:rPr>
      </w:pPr>
      <w:bookmarkStart w:id="374" w:name="_Toc159598356"/>
      <w:bookmarkStart w:id="375" w:name="_Toc179537009"/>
      <w:r>
        <w:rPr>
          <w:noProof/>
        </w:rPr>
        <mc:AlternateContent>
          <mc:Choice Requires="wps">
            <w:drawing>
              <wp:anchor distT="0" distB="0" distL="114300" distR="114300" simplePos="0" relativeHeight="251624448" behindDoc="0" locked="0" layoutInCell="1" allowOverlap="1" wp14:anchorId="224EB9C6" wp14:editId="5579B9A6">
                <wp:simplePos x="0" y="0"/>
                <wp:positionH relativeFrom="margin">
                  <wp:align>center</wp:align>
                </wp:positionH>
                <wp:positionV relativeFrom="page">
                  <wp:posOffset>313690</wp:posOffset>
                </wp:positionV>
                <wp:extent cx="6983730" cy="1812925"/>
                <wp:effectExtent l="0" t="0" r="7620" b="0"/>
                <wp:wrapNone/>
                <wp:docPr id="35525564" name="Prostokąt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983730" cy="1812925"/>
                        </a:xfrm>
                        <a:prstGeom prst="rect">
                          <a:avLst/>
                        </a:prstGeom>
                        <a:solidFill>
                          <a:schemeClr val="accent5">
                            <a:lumMod val="40000"/>
                            <a:lumOff val="60000"/>
                            <a:alpha val="80000"/>
                          </a:schemeClr>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255D84CF" w14:textId="3AC5E577" w:rsidR="006D2F10" w:rsidRPr="009F667D" w:rsidRDefault="00924DDE" w:rsidP="006D2F10">
                            <w:pPr>
                              <w:spacing w:after="0"/>
                              <w:ind w:left="979"/>
                              <w:jc w:val="left"/>
                              <w:rPr>
                                <w:rFonts w:ascii="Bahnschrift" w:hAnsi="Bahnschrift"/>
                                <w:b/>
                                <w:bCs/>
                                <w:kern w:val="24"/>
                                <w:sz w:val="56"/>
                                <w:szCs w:val="56"/>
                                <w14:ligatures w14:val="none"/>
                              </w:rPr>
                            </w:pPr>
                            <w:r>
                              <w:rPr>
                                <w:rFonts w:ascii="Bahnschrift" w:hAnsi="Bahnschrift"/>
                                <w:color w:val="000000" w:themeColor="text1"/>
                                <w:kern w:val="24"/>
                                <w:sz w:val="56"/>
                                <w:szCs w:val="56"/>
                              </w:rPr>
                              <w:t>W</w:t>
                            </w:r>
                            <w:r w:rsidR="006D2F10" w:rsidRPr="00694A4E">
                              <w:rPr>
                                <w:rFonts w:ascii="Bahnschrift" w:hAnsi="Bahnschrift"/>
                                <w:color w:val="000000" w:themeColor="text1"/>
                                <w:kern w:val="24"/>
                                <w:sz w:val="56"/>
                                <w:szCs w:val="56"/>
                              </w:rPr>
                              <w:t xml:space="preserve">ymiar </w:t>
                            </w:r>
                            <w:r>
                              <w:rPr>
                                <w:rFonts w:ascii="Bahnschrift" w:hAnsi="Bahnschrift"/>
                                <w:color w:val="000000" w:themeColor="text1"/>
                                <w:kern w:val="24"/>
                                <w:sz w:val="56"/>
                                <w:szCs w:val="56"/>
                              </w:rPr>
                              <w:t>2</w:t>
                            </w:r>
                            <w:r w:rsidR="006D2F10" w:rsidRPr="00694A4E">
                              <w:rPr>
                                <w:rFonts w:ascii="Bahnschrift" w:hAnsi="Bahnschrift"/>
                                <w:kern w:val="24"/>
                                <w:sz w:val="72"/>
                                <w:szCs w:val="72"/>
                              </w:rPr>
                              <w:br/>
                            </w:r>
                            <w:r w:rsidR="006D2F10" w:rsidRPr="009F667D">
                              <w:rPr>
                                <w:rFonts w:ascii="Bahnschrift" w:hAnsi="Bahnschrift"/>
                                <w:b/>
                                <w:bCs/>
                                <w:color w:val="000000" w:themeColor="text1"/>
                                <w:kern w:val="24"/>
                                <w:sz w:val="56"/>
                                <w:szCs w:val="56"/>
                                <w14:ligatures w14:val="none"/>
                              </w:rPr>
                              <w:t>Efektywność energetyczna</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224EB9C6" id="Prostokąt 4" o:spid="_x0000_s1114" style="position:absolute;left:0;text-align:left;margin-left:0;margin-top:24.7pt;width:549.9pt;height:142.75pt;z-index:251624448;visibility:visible;mso-wrap-style:square;mso-width-percent:0;mso-height-percent:0;mso-wrap-distance-left:9pt;mso-wrap-distance-top:0;mso-wrap-distance-right:9pt;mso-wrap-distance-bottom:0;mso-position-horizontal:center;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" fillcolor="#bdd6ee [1304]" stroked="f" strokeweight="1pt">
                <v:fill opacity="52428f"/>
                <v:textbox>
                  <w:txbxContent>
                    <w:p w14:paraId="255D84CF" w14:textId="3AC5E577" w:rsidR="006D2F10" w:rsidRPr="009F667D" w:rsidRDefault="00924DDE" w:rsidP="006D2F10">
                      <w:pPr>
                        <w:spacing w:after="0"/>
                        <w:ind w:left="979"/>
                        <w:jc w:val="left"/>
                        <w:rPr>
                          <w:rFonts w:ascii="Bahnschrift" w:hAnsi="Bahnschrift"/>
                          <w:b/>
                          <w:bCs/>
                          <w:kern w:val="24"/>
                          <w:sz w:val="56"/>
                          <w:szCs w:val="56"/>
                          <w14:ligatures w14:val="none"/>
                        </w:rPr>
                      </w:pPr>
                      <w:r>
                        <w:rPr>
                          <w:rFonts w:ascii="Bahnschrift" w:hAnsi="Bahnschrift"/>
                          <w:color w:val="000000" w:themeColor="text1"/>
                          <w:kern w:val="24"/>
                          <w:sz w:val="56"/>
                          <w:szCs w:val="56"/>
                        </w:rPr>
                        <w:t>W</w:t>
                      </w:r>
                      <w:r w:rsidR="006D2F10" w:rsidRPr="00694A4E">
                        <w:rPr>
                          <w:rFonts w:ascii="Bahnschrift" w:hAnsi="Bahnschrift"/>
                          <w:color w:val="000000" w:themeColor="text1"/>
                          <w:kern w:val="24"/>
                          <w:sz w:val="56"/>
                          <w:szCs w:val="56"/>
                        </w:rPr>
                        <w:t xml:space="preserve">ymiar </w:t>
                      </w:r>
                      <w:r>
                        <w:rPr>
                          <w:rFonts w:ascii="Bahnschrift" w:hAnsi="Bahnschrift"/>
                          <w:color w:val="000000" w:themeColor="text1"/>
                          <w:kern w:val="24"/>
                          <w:sz w:val="56"/>
                          <w:szCs w:val="56"/>
                        </w:rPr>
                        <w:t>2</w:t>
                      </w:r>
                      <w:r w:rsidR="006D2F10" w:rsidRPr="00694A4E">
                        <w:rPr>
                          <w:rFonts w:ascii="Bahnschrift" w:hAnsi="Bahnschrift"/>
                          <w:kern w:val="24"/>
                          <w:sz w:val="72"/>
                          <w:szCs w:val="72"/>
                        </w:rPr>
                        <w:br/>
                      </w:r>
                      <w:r w:rsidR="006D2F10" w:rsidRPr="009F667D">
                        <w:rPr>
                          <w:rFonts w:ascii="Bahnschrift" w:hAnsi="Bahnschrift"/>
                          <w:b/>
                          <w:bCs/>
                          <w:color w:val="000000" w:themeColor="text1"/>
                          <w:kern w:val="24"/>
                          <w:sz w:val="56"/>
                          <w:szCs w:val="56"/>
                          <w14:ligatures w14:val="none"/>
                        </w:rPr>
                        <w:t>Efektywność energetyczna</w:t>
                      </w:r>
                    </w:p>
                  </w:txbxContent>
                </v:textbox>
                <w10:wrap anchorx="margin" anchory="page"/>
              </v:rect>
            </w:pict>
          </mc:Fallback>
        </mc:AlternateContent>
      </w:r>
      <w:r w:rsidR="0057223B" w:rsidRPr="000029E7">
        <w:rPr>
          <w:color w:val="FFFFFF" w:themeColor="background1"/>
        </w:rPr>
        <w:t>Efektywność energetyczna</w:t>
      </w:r>
      <w:bookmarkEnd w:id="374"/>
      <w:bookmarkEnd w:id="375"/>
    </w:p>
    <w:p w14:paraId="09282016" w14:textId="69DFE47D" w:rsidR="006D2F10" w:rsidRDefault="006D2F10" w:rsidP="0057223B">
      <w:pPr>
        <w:rPr>
          <w:color w:val="000000" w:themeColor="text1"/>
        </w:rPr>
      </w:pPr>
    </w:p>
    <w:p w14:paraId="18659D38" w14:textId="77777777" w:rsidR="000029E7" w:rsidRPr="000029E7" w:rsidRDefault="000029E7" w:rsidP="0057223B">
      <w:pPr>
        <w:rPr>
          <w:color w:val="000000" w:themeColor="text1"/>
        </w:rPr>
      </w:pPr>
    </w:p>
    <w:p w14:paraId="0BE87278" w14:textId="77777777" w:rsidR="00CE5AEF" w:rsidRDefault="00CE5AEF" w:rsidP="00064DA3">
      <w:pPr>
        <w:pStyle w:val="Bezodstpw"/>
      </w:pPr>
      <w:bookmarkStart w:id="376" w:name="_Ref157423173"/>
    </w:p>
    <w:p w14:paraId="2F10CF3E" w14:textId="676F872C" w:rsidR="006D0C65" w:rsidRPr="00751886" w:rsidRDefault="006D0C65" w:rsidP="00B4077C">
      <w:pPr>
        <w:pStyle w:val="Nagwek6"/>
      </w:pPr>
      <w:bookmarkStart w:id="377" w:name="_Ref174036279"/>
      <w:bookmarkStart w:id="378" w:name="_Hlk173432202"/>
      <w:r w:rsidRPr="00751886">
        <w:t xml:space="preserve">Działanie </w:t>
      </w:r>
      <w:r w:rsidR="005C2642">
        <w:fldChar w:fldCharType="begin"/>
      </w:r>
      <w:r w:rsidR="005C2642">
        <w:instrText xml:space="preserve"> SEQ Działanie \* ARABIC </w:instrText>
      </w:r>
      <w:r w:rsidR="005C2642">
        <w:fldChar w:fldCharType="separate"/>
      </w:r>
      <w:r w:rsidR="00DD3929">
        <w:rPr>
          <w:noProof/>
        </w:rPr>
        <w:t>91</w:t>
      </w:r>
      <w:r w:rsidR="005C2642">
        <w:rPr>
          <w:noProof/>
        </w:rPr>
        <w:fldChar w:fldCharType="end"/>
      </w:r>
      <w:r w:rsidRPr="00751886">
        <w:t>. Instrument finansowy – Preferencje dla wytwórców energii elektrycznej w</w:t>
      </w:r>
      <w:r w:rsidR="00BA47CC" w:rsidRPr="00751886">
        <w:t> </w:t>
      </w:r>
      <w:r w:rsidRPr="00751886">
        <w:t>wysokosprawnej kogeneracji.</w:t>
      </w:r>
      <w:bookmarkEnd w:id="376"/>
      <w:bookmarkEnd w:id="377"/>
    </w:p>
    <w:p w14:paraId="09A95A63" w14:textId="26520DF6" w:rsidR="00485767" w:rsidRPr="009F0F44" w:rsidRDefault="006D0C65" w:rsidP="00C03379">
      <w:r w:rsidRPr="009F0F44">
        <w:t>Instrument polega na zapewnieniu udogodnień dla jednostek kogeneracji poprzez ułatwienie uzyskania dostępu do sieci elektroenergetycznej. Jego celem jest zarówno stymulowanie budowy nowych jednostek kogeneracji, jak i utrzymanie produkcji energii elektrycznej z wysokosprawnej kogeneracji w istniejących jednostkach.</w:t>
      </w:r>
      <w:r w:rsidR="00921639">
        <w:t xml:space="preserve"> </w:t>
      </w:r>
      <w:r w:rsidR="00921639" w:rsidRPr="00B02DE2">
        <w:t>W związku z obowiązywaniem nowych wytycznych w sprawie pomocy państwa na cele związane z klimatem, ochroną środowiska i energią wydanych przez Komisję Europejską (</w:t>
      </w:r>
      <w:r w:rsidR="00921639">
        <w:t xml:space="preserve">ang. </w:t>
      </w:r>
      <w:r w:rsidR="00921639" w:rsidRPr="00921639">
        <w:rPr>
          <w:i/>
          <w:iCs/>
        </w:rPr>
        <w:t>Climate, Energy and Environmental Aid Guidelines</w:t>
      </w:r>
      <w:r w:rsidR="00921639">
        <w:t>,</w:t>
      </w:r>
      <w:r w:rsidR="00921639" w:rsidRPr="00921639">
        <w:t xml:space="preserve"> </w:t>
      </w:r>
      <w:r w:rsidR="00921639" w:rsidRPr="00B02DE2">
        <w:t>CEEAG), które nie przewidują wsparcia paliw kopalnych, a</w:t>
      </w:r>
      <w:r w:rsidR="00921639">
        <w:t> </w:t>
      </w:r>
      <w:r w:rsidR="00921639" w:rsidRPr="00B02DE2">
        <w:t>w</w:t>
      </w:r>
      <w:r w:rsidR="00921639">
        <w:t> </w:t>
      </w:r>
      <w:r w:rsidR="00921639" w:rsidRPr="00B02DE2">
        <w:t xml:space="preserve">szczególności paliw węglowych </w:t>
      </w:r>
      <w:r w:rsidR="008C2E0D">
        <w:t>i przewidują</w:t>
      </w:r>
      <w:r w:rsidR="008C2E0D" w:rsidRPr="00B02DE2">
        <w:t xml:space="preserve"> całkowi</w:t>
      </w:r>
      <w:r w:rsidR="008C2E0D">
        <w:t>te</w:t>
      </w:r>
      <w:r w:rsidR="008C2E0D" w:rsidRPr="00B02DE2">
        <w:t xml:space="preserve"> odstąpi</w:t>
      </w:r>
      <w:r w:rsidR="008C2E0D">
        <w:t>enie</w:t>
      </w:r>
      <w:r w:rsidR="008C2E0D" w:rsidRPr="00B02DE2">
        <w:t xml:space="preserve"> od wsparcia paliwa węglowego</w:t>
      </w:r>
      <w:r w:rsidR="00921639">
        <w:t>.</w:t>
      </w:r>
    </w:p>
    <w:p w14:paraId="2FBFC385" w14:textId="7F50BA42" w:rsidR="006D0C65" w:rsidRPr="00751886" w:rsidRDefault="006D0C65" w:rsidP="00B4077C">
      <w:pPr>
        <w:pStyle w:val="Nagwek6"/>
      </w:pPr>
      <w:bookmarkStart w:id="379" w:name="_Ref157423178"/>
      <w:bookmarkEnd w:id="378"/>
      <w:r w:rsidRPr="00751886">
        <w:t xml:space="preserve">Działanie </w:t>
      </w:r>
      <w:r w:rsidR="005C2642">
        <w:fldChar w:fldCharType="begin"/>
      </w:r>
      <w:r w:rsidR="005C2642">
        <w:instrText xml:space="preserve"> SEQ Działanie \* ARABIC </w:instrText>
      </w:r>
      <w:r w:rsidR="005C2642">
        <w:fldChar w:fldCharType="separate"/>
      </w:r>
      <w:r w:rsidR="00DD3929">
        <w:rPr>
          <w:noProof/>
        </w:rPr>
        <w:t>92</w:t>
      </w:r>
      <w:r w:rsidR="005C2642">
        <w:rPr>
          <w:noProof/>
        </w:rPr>
        <w:fldChar w:fldCharType="end"/>
      </w:r>
      <w:r w:rsidRPr="00751886">
        <w:t>. Instrument finansowy – Premia kogeneracyjna.</w:t>
      </w:r>
      <w:bookmarkEnd w:id="379"/>
    </w:p>
    <w:p w14:paraId="6ABC9783" w14:textId="292B0AC4" w:rsidR="006D0C65" w:rsidRPr="009F0F44" w:rsidRDefault="006D0C65" w:rsidP="006D0C65">
      <w:r w:rsidRPr="009F0F44">
        <w:t>Instrument polega na zapewnieniu dopłat do wyprodukowanej energii w w</w:t>
      </w:r>
      <w:r w:rsidR="00BA47CC">
        <w:t>y</w:t>
      </w:r>
      <w:r w:rsidRPr="009F0F44">
        <w:t>sokosprawnej kogeneracji, uzyskiwanych w drodze aukcji. Jego celem jest zarówno stymulowanie budowy nowych jednostek kogeneracji, jak i utrzymanie produkcji energii elektrycznej z wysokosprawnej kogeneracji w istniejących jednostkach, które bez wsparcia nie mogłyby funkcjonować z powodu luki finansowej w kosztach operacyjnych.</w:t>
      </w:r>
    </w:p>
    <w:p w14:paraId="7C37DA6E" w14:textId="42B11C22" w:rsidR="006D0C65" w:rsidRPr="00751886" w:rsidRDefault="006D0C65" w:rsidP="00661B98">
      <w:pPr>
        <w:pStyle w:val="Nagwek6"/>
      </w:pPr>
      <w:bookmarkStart w:id="380" w:name="_Ref157423248"/>
      <w:r w:rsidRPr="00751886">
        <w:t xml:space="preserve">Działanie </w:t>
      </w:r>
      <w:r w:rsidR="005C2642">
        <w:fldChar w:fldCharType="begin"/>
      </w:r>
      <w:r w:rsidR="005C2642">
        <w:instrText xml:space="preserve"> SEQ Działanie \* ARABIC </w:instrText>
      </w:r>
      <w:r w:rsidR="005C2642">
        <w:fldChar w:fldCharType="separate"/>
      </w:r>
      <w:r w:rsidR="00DD3929">
        <w:rPr>
          <w:noProof/>
        </w:rPr>
        <w:t>93</w:t>
      </w:r>
      <w:r w:rsidR="005C2642">
        <w:rPr>
          <w:noProof/>
        </w:rPr>
        <w:fldChar w:fldCharType="end"/>
      </w:r>
      <w:r w:rsidRPr="00751886">
        <w:t xml:space="preserve">. </w:t>
      </w:r>
      <w:r w:rsidRPr="00661B98">
        <w:t>Instrument</w:t>
      </w:r>
      <w:r w:rsidRPr="00751886">
        <w:t xml:space="preserve"> finansowy – Inne programy NFOŚiGW wspierające rozwój kogeneracji.</w:t>
      </w:r>
      <w:bookmarkEnd w:id="380"/>
    </w:p>
    <w:p w14:paraId="05C3A2B4" w14:textId="512D6A87" w:rsidR="006D0C65" w:rsidRPr="009F0F44" w:rsidRDefault="006D0C65" w:rsidP="00723896">
      <w:pPr>
        <w:spacing w:before="240"/>
      </w:pPr>
      <w:r w:rsidRPr="009F0F44">
        <w:t xml:space="preserve">Działanie obejmuje dofinansowanie </w:t>
      </w:r>
      <w:r w:rsidR="00BA47CC" w:rsidRPr="009F0F44">
        <w:t>przedsięwzięć</w:t>
      </w:r>
      <w:r w:rsidRPr="009F0F44">
        <w:t xml:space="preserve"> zmierzających do budowy lub modernizacji systemów ciepłowniczych oraz budowę lub modernizację jednostek produkujących ciepło i energię elektryczną w</w:t>
      </w:r>
      <w:r w:rsidR="001C5841">
        <w:t> </w:t>
      </w:r>
      <w:r w:rsidRPr="009F0F44">
        <w:t>wysokosprawnej kogeneracji.</w:t>
      </w:r>
    </w:p>
    <w:p w14:paraId="2F53C452" w14:textId="6078470F" w:rsidR="006D0C65" w:rsidRPr="00751886" w:rsidRDefault="006D0C65" w:rsidP="00661B98">
      <w:pPr>
        <w:pStyle w:val="Nagwek6"/>
      </w:pPr>
      <w:bookmarkStart w:id="381" w:name="_Ref157423332"/>
      <w:bookmarkStart w:id="382" w:name="_Hlk173432270"/>
      <w:r w:rsidRPr="00751886">
        <w:t xml:space="preserve">Działanie </w:t>
      </w:r>
      <w:r w:rsidR="005C2642">
        <w:fldChar w:fldCharType="begin"/>
      </w:r>
      <w:r w:rsidR="005C2642">
        <w:instrText xml:space="preserve"> SEQ Działanie \* ARABIC </w:instrText>
      </w:r>
      <w:r w:rsidR="005C2642">
        <w:fldChar w:fldCharType="separate"/>
      </w:r>
      <w:r w:rsidR="00DD3929">
        <w:rPr>
          <w:noProof/>
        </w:rPr>
        <w:t>94</w:t>
      </w:r>
      <w:r w:rsidR="005C2642">
        <w:rPr>
          <w:noProof/>
        </w:rPr>
        <w:fldChar w:fldCharType="end"/>
      </w:r>
      <w:r w:rsidRPr="00751886">
        <w:t xml:space="preserve">. </w:t>
      </w:r>
      <w:r w:rsidRPr="00661B98">
        <w:t>Instrument</w:t>
      </w:r>
      <w:r w:rsidRPr="00751886">
        <w:t xml:space="preserve"> finansowy – system białych certyfikatów.</w:t>
      </w:r>
      <w:bookmarkEnd w:id="381"/>
    </w:p>
    <w:p w14:paraId="3B9F572E" w14:textId="77777777" w:rsidR="006D0C65" w:rsidRPr="009F0F44" w:rsidRDefault="006D0C65" w:rsidP="00723896">
      <w:pPr>
        <w:spacing w:before="240"/>
      </w:pPr>
      <w:r w:rsidRPr="009F0F44">
        <w:t xml:space="preserve">Świadectwa potwierdzające zaoszczędzenie określonej ilości energii w wyniku realizacji inwestycji służących poprawie efektywności energetycznej gospodarki, zwiększeniu oszczędności energii przez odbiorców końcowych, zmniejszeniu strat energii elektrycznej, ciepła lub gazu ziemnego w przesyle lub dystrybucji. Posiadają prawa majątkowe i są przedmiotem obrotu na Towarowej Giełdzie Energii. </w:t>
      </w:r>
    </w:p>
    <w:p w14:paraId="3A1ABBF1" w14:textId="24923A04" w:rsidR="006D0C65" w:rsidRPr="00751886" w:rsidRDefault="006D0C65" w:rsidP="00661B98">
      <w:pPr>
        <w:pStyle w:val="Nagwek6"/>
      </w:pPr>
      <w:bookmarkStart w:id="383" w:name="_Ref157428491"/>
      <w:bookmarkStart w:id="384" w:name="_Hlk173432288"/>
      <w:bookmarkEnd w:id="382"/>
      <w:r w:rsidRPr="00751886">
        <w:t xml:space="preserve">Działanie </w:t>
      </w:r>
      <w:r w:rsidR="005C2642">
        <w:fldChar w:fldCharType="begin"/>
      </w:r>
      <w:r w:rsidR="005C2642">
        <w:instrText xml:space="preserve"> SEQ Działanie \* ARABIC </w:instrText>
      </w:r>
      <w:r w:rsidR="005C2642">
        <w:fldChar w:fldCharType="separate"/>
      </w:r>
      <w:r w:rsidR="00DD3929">
        <w:rPr>
          <w:noProof/>
        </w:rPr>
        <w:t>95</w:t>
      </w:r>
      <w:r w:rsidR="005C2642">
        <w:rPr>
          <w:noProof/>
        </w:rPr>
        <w:fldChar w:fldCharType="end"/>
      </w:r>
      <w:r w:rsidRPr="00751886">
        <w:t xml:space="preserve">. Rozwój </w:t>
      </w:r>
      <w:r w:rsidRPr="00661B98">
        <w:t>audytów</w:t>
      </w:r>
      <w:r w:rsidRPr="00751886">
        <w:t xml:space="preserve"> energetycznych i systemów zarządzania energią.</w:t>
      </w:r>
      <w:bookmarkEnd w:id="383"/>
    </w:p>
    <w:p w14:paraId="2EA8D89B" w14:textId="77777777" w:rsidR="006D0C65" w:rsidRPr="009F0F44" w:rsidRDefault="006D0C65" w:rsidP="00723896">
      <w:pPr>
        <w:spacing w:before="240"/>
      </w:pPr>
      <w:r w:rsidRPr="009F0F44">
        <w:t>Działanie polega na ocenie ilości i struktury zużywanej energii oraz zalecenie konkretnych rozwiązań celem określenia ich opłacalności. Dodatkowo obejmuje doradztwo w zakresie podejmowania i realizacji inwestycji mających na celu racjonalizację zużycia energii.</w:t>
      </w:r>
    </w:p>
    <w:p w14:paraId="40892982" w14:textId="057DC05F" w:rsidR="006D0C65" w:rsidRPr="00751886" w:rsidRDefault="006D0C65" w:rsidP="00661B98">
      <w:pPr>
        <w:pStyle w:val="Nagwek6"/>
      </w:pPr>
      <w:bookmarkStart w:id="385" w:name="_Ref157423349"/>
      <w:bookmarkEnd w:id="384"/>
      <w:r w:rsidRPr="00751886">
        <w:t xml:space="preserve">Działanie </w:t>
      </w:r>
      <w:r w:rsidR="005C2642">
        <w:fldChar w:fldCharType="begin"/>
      </w:r>
      <w:r w:rsidR="005C2642">
        <w:instrText xml:space="preserve"> SEQ Działanie \* ARABIC </w:instrText>
      </w:r>
      <w:r w:rsidR="005C2642">
        <w:fldChar w:fldCharType="separate"/>
      </w:r>
      <w:r w:rsidR="00DD3929">
        <w:rPr>
          <w:noProof/>
        </w:rPr>
        <w:t>96</w:t>
      </w:r>
      <w:r w:rsidR="005C2642">
        <w:rPr>
          <w:noProof/>
        </w:rPr>
        <w:fldChar w:fldCharType="end"/>
      </w:r>
      <w:r w:rsidRPr="00751886">
        <w:t xml:space="preserve">. Instrument </w:t>
      </w:r>
      <w:r w:rsidRPr="00661B98">
        <w:t>finansowy</w:t>
      </w:r>
      <w:r w:rsidRPr="00751886">
        <w:t xml:space="preserve"> – Program Termo.</w:t>
      </w:r>
      <w:bookmarkEnd w:id="385"/>
    </w:p>
    <w:p w14:paraId="690A363E" w14:textId="33CAEFB1" w:rsidR="006D0C65" w:rsidRPr="009F0F44" w:rsidRDefault="006D0C65" w:rsidP="00453D77">
      <w:pPr>
        <w:spacing w:before="240"/>
      </w:pPr>
      <w:r w:rsidRPr="009F0F44">
        <w:t>Działanie składa się z kilku form wsparcia remontów i modernizacji budynków mieszkalnych. Celem jest udzielanie pomocy finansowej dla inwestorów na przedsięwzięcia poprawiające stan techniczny istniejących budynków oraz wypłata rekompensat dla właścicieli budynków za przeprowadzenie działań wpływających znacząco na zmniejszenie zużycia energii w budynkach.</w:t>
      </w:r>
    </w:p>
    <w:p w14:paraId="0B6298CD" w14:textId="65ACDA74" w:rsidR="006D0C65" w:rsidRPr="00DE3F08" w:rsidRDefault="006D0C65" w:rsidP="00661B98">
      <w:pPr>
        <w:pStyle w:val="Nagwek6"/>
      </w:pPr>
      <w:bookmarkStart w:id="386" w:name="_Ref157423353"/>
      <w:r w:rsidRPr="00DE3F08">
        <w:t xml:space="preserve">Działanie </w:t>
      </w:r>
      <w:r w:rsidR="005C2642">
        <w:fldChar w:fldCharType="begin"/>
      </w:r>
      <w:r w:rsidR="005C2642">
        <w:instrText xml:space="preserve"> SEQ Działanie \* ARABIC </w:instrText>
      </w:r>
      <w:r w:rsidR="005C2642">
        <w:fldChar w:fldCharType="separate"/>
      </w:r>
      <w:r w:rsidR="00DD3929">
        <w:rPr>
          <w:noProof/>
        </w:rPr>
        <w:t>97</w:t>
      </w:r>
      <w:r w:rsidR="005C2642">
        <w:rPr>
          <w:noProof/>
        </w:rPr>
        <w:fldChar w:fldCharType="end"/>
      </w:r>
      <w:r w:rsidRPr="00DE3F08">
        <w:t xml:space="preserve">. Instrument </w:t>
      </w:r>
      <w:r w:rsidRPr="00661B98">
        <w:t>finansowy</w:t>
      </w:r>
      <w:r w:rsidRPr="00DE3F08">
        <w:t xml:space="preserve"> – </w:t>
      </w:r>
      <w:r w:rsidR="0055017E" w:rsidRPr="00D94B5E">
        <w:t xml:space="preserve">Ulga </w:t>
      </w:r>
      <w:r w:rsidR="0055017E">
        <w:t>podatkowa dotycząca wydatków poniesionych na termomodernizację jednorodzinnych budynków mieszkalnych</w:t>
      </w:r>
      <w:r w:rsidRPr="00DE3F08">
        <w:t>.</w:t>
      </w:r>
      <w:bookmarkEnd w:id="386"/>
    </w:p>
    <w:p w14:paraId="608CAB97" w14:textId="02E3BE95" w:rsidR="006D0C65" w:rsidRPr="009F0F44" w:rsidRDefault="006D0C65" w:rsidP="00453D77">
      <w:pPr>
        <w:spacing w:before="240"/>
      </w:pPr>
      <w:r w:rsidRPr="009F0F44">
        <w:t xml:space="preserve">Działanie </w:t>
      </w:r>
      <w:r w:rsidR="00BA47CC">
        <w:t>polega na zapewnieniu ulgi podatkowej (</w:t>
      </w:r>
      <w:r w:rsidR="00BA47CC" w:rsidRPr="009F0F44">
        <w:t>odliczeni</w:t>
      </w:r>
      <w:r w:rsidR="00BA47CC">
        <w:t>e</w:t>
      </w:r>
      <w:r w:rsidR="00BA47CC" w:rsidRPr="009F0F44">
        <w:t xml:space="preserve"> od dochodu</w:t>
      </w:r>
      <w:r w:rsidR="00BA47CC">
        <w:t>/</w:t>
      </w:r>
      <w:r w:rsidR="00BA47CC" w:rsidRPr="009F0F44">
        <w:t>przychodu)</w:t>
      </w:r>
      <w:r w:rsidR="00BA47CC">
        <w:t xml:space="preserve"> dotyczącej wydatków poniesionych na </w:t>
      </w:r>
      <w:r w:rsidRPr="009F0F44">
        <w:t>termomodernizacj</w:t>
      </w:r>
      <w:r w:rsidR="00BA47CC">
        <w:t>ę</w:t>
      </w:r>
      <w:r w:rsidRPr="009F0F44">
        <w:t xml:space="preserve"> jednorodzinnych budynków mieszkalnych</w:t>
      </w:r>
      <w:r w:rsidR="00BA47CC">
        <w:t>. Mechanizm s</w:t>
      </w:r>
      <w:r w:rsidRPr="009F0F44">
        <w:t>kierowan</w:t>
      </w:r>
      <w:r w:rsidR="00BA47CC">
        <w:t>y</w:t>
      </w:r>
      <w:r w:rsidRPr="009F0F44">
        <w:t xml:space="preserve"> jest do osób prywatnych oraz dotyczy jedynie nieruchomości już istniejących, a nie dopiero powstających.</w:t>
      </w:r>
    </w:p>
    <w:p w14:paraId="02E4993F" w14:textId="2624BCC7" w:rsidR="006D0C65" w:rsidRPr="00DE3F08" w:rsidRDefault="006D0C65" w:rsidP="00661B98">
      <w:pPr>
        <w:pStyle w:val="Nagwek6"/>
      </w:pPr>
      <w:bookmarkStart w:id="387" w:name="_Ref157431455"/>
      <w:r w:rsidRPr="00DE3F08">
        <w:t xml:space="preserve">Działanie </w:t>
      </w:r>
      <w:r w:rsidR="005C2642">
        <w:fldChar w:fldCharType="begin"/>
      </w:r>
      <w:r w:rsidR="005C2642">
        <w:instrText xml:space="preserve"> SEQ Działanie \* ARABIC </w:instrText>
      </w:r>
      <w:r w:rsidR="005C2642">
        <w:fldChar w:fldCharType="separate"/>
      </w:r>
      <w:r w:rsidR="00DD3929">
        <w:rPr>
          <w:noProof/>
        </w:rPr>
        <w:t>98</w:t>
      </w:r>
      <w:r w:rsidR="005C2642">
        <w:rPr>
          <w:noProof/>
        </w:rPr>
        <w:fldChar w:fldCharType="end"/>
      </w:r>
      <w:r w:rsidRPr="00DE3F08">
        <w:t xml:space="preserve">. </w:t>
      </w:r>
      <w:r w:rsidR="001C7392">
        <w:t xml:space="preserve">Efektywny </w:t>
      </w:r>
      <w:r w:rsidR="001C7392" w:rsidRPr="00661B98">
        <w:t>energetycznie</w:t>
      </w:r>
      <w:r w:rsidR="001C7392">
        <w:t xml:space="preserve"> sektor publiczny</w:t>
      </w:r>
      <w:r w:rsidRPr="00DE3F08">
        <w:t>.</w:t>
      </w:r>
      <w:bookmarkEnd w:id="387"/>
    </w:p>
    <w:p w14:paraId="0A2C6D34" w14:textId="6103CB32" w:rsidR="004A44C0" w:rsidRPr="004A44C0" w:rsidRDefault="00A67584" w:rsidP="009159CE">
      <w:pPr>
        <w:spacing w:before="240"/>
      </w:pPr>
      <w:r>
        <w:t>Działanie polega na</w:t>
      </w:r>
      <w:r w:rsidRPr="004B74EB">
        <w:t xml:space="preserve"> upowszechni</w:t>
      </w:r>
      <w:r>
        <w:t>a</w:t>
      </w:r>
      <w:r w:rsidRPr="004B74EB">
        <w:t>ni</w:t>
      </w:r>
      <w:r>
        <w:t>u</w:t>
      </w:r>
      <w:r w:rsidRPr="004B74EB">
        <w:t xml:space="preserve"> dobrych praktyk z zakresu efektywności energetycznej,</w:t>
      </w:r>
      <w:r>
        <w:t xml:space="preserve"> </w:t>
      </w:r>
      <w:r w:rsidRPr="00536AFE">
        <w:t>zmniejszen</w:t>
      </w:r>
      <w:r>
        <w:t>iu</w:t>
      </w:r>
      <w:r w:rsidRPr="004B74EB">
        <w:t xml:space="preserve"> emisji zanieczyszczeń do atmosfery poprzez realizację inwestycji polegających na kompleksowej termomodernizacji budynków prowadzącej do racjonalizacji zużycia </w:t>
      </w:r>
      <w:r>
        <w:t>energii oraz poprawie</w:t>
      </w:r>
      <w:r w:rsidRPr="004F5084">
        <w:t xml:space="preserve"> efektywności energetycznej budynków użyteczności publiczne</w:t>
      </w:r>
      <w:r>
        <w:t>j</w:t>
      </w:r>
      <w:r w:rsidR="004A44C0">
        <w:t>.</w:t>
      </w:r>
      <w:r>
        <w:t xml:space="preserve"> </w:t>
      </w:r>
      <w:r w:rsidR="007B14C5">
        <w:rPr>
          <w:rFonts w:eastAsia="Lato" w:cs="Lato"/>
        </w:rPr>
        <w:t xml:space="preserve"> </w:t>
      </w:r>
    </w:p>
    <w:p w14:paraId="3919AFDC" w14:textId="6AA8D533" w:rsidR="006D0C65" w:rsidRPr="00DE3F08" w:rsidRDefault="006D0C65" w:rsidP="00661B98">
      <w:pPr>
        <w:pStyle w:val="Nagwek6"/>
      </w:pPr>
      <w:bookmarkStart w:id="388" w:name="_Ref157430987"/>
      <w:r w:rsidRPr="00DE3F08">
        <w:t xml:space="preserve">Działanie </w:t>
      </w:r>
      <w:r w:rsidR="005C2642">
        <w:fldChar w:fldCharType="begin"/>
      </w:r>
      <w:r w:rsidR="005C2642">
        <w:instrText xml:space="preserve"> SEQ Działanie \* ARABIC </w:instrText>
      </w:r>
      <w:r w:rsidR="005C2642">
        <w:fldChar w:fldCharType="separate"/>
      </w:r>
      <w:r w:rsidR="00DD3929">
        <w:rPr>
          <w:noProof/>
        </w:rPr>
        <w:t>99</w:t>
      </w:r>
      <w:r w:rsidR="005C2642">
        <w:rPr>
          <w:noProof/>
        </w:rPr>
        <w:fldChar w:fldCharType="end"/>
      </w:r>
      <w:r w:rsidRPr="00DE3F08">
        <w:t xml:space="preserve">. </w:t>
      </w:r>
      <w:r w:rsidRPr="00661B98">
        <w:t>Wsparcie</w:t>
      </w:r>
      <w:r w:rsidRPr="00DE3F08">
        <w:t xml:space="preserve"> dla przedsiębiorstw działających w formule ESCO.</w:t>
      </w:r>
      <w:bookmarkEnd w:id="388"/>
    </w:p>
    <w:p w14:paraId="297C6D01" w14:textId="77777777" w:rsidR="006D0C65" w:rsidRPr="009F0F44" w:rsidRDefault="006D0C65" w:rsidP="00453D77">
      <w:pPr>
        <w:spacing w:before="240"/>
      </w:pPr>
      <w:r w:rsidRPr="009F0F44">
        <w:t>Środek ma na celu podejmowanie działań mających na celu wsparcie przedsiębiorstw działających w dziedzinie efektywności energetycznej i OZE z preferencją dla firm będących dostawcami usług energetycznych.</w:t>
      </w:r>
    </w:p>
    <w:p w14:paraId="1DA220F4" w14:textId="5C420B0E" w:rsidR="006D0C65" w:rsidRPr="00DE3F08" w:rsidRDefault="006D0C65" w:rsidP="003A4832">
      <w:pPr>
        <w:pStyle w:val="Nagwek6"/>
      </w:pPr>
      <w:bookmarkStart w:id="389" w:name="_Ref157423390"/>
      <w:r w:rsidRPr="00DE3F08">
        <w:t xml:space="preserve">Działanie </w:t>
      </w:r>
      <w:r w:rsidR="005C2642">
        <w:fldChar w:fldCharType="begin"/>
      </w:r>
      <w:r w:rsidR="005C2642">
        <w:instrText xml:space="preserve"> SEQ Działanie \* ARABIC </w:instrText>
      </w:r>
      <w:r w:rsidR="005C2642">
        <w:fldChar w:fldCharType="separate"/>
      </w:r>
      <w:r w:rsidR="00DD3929">
        <w:rPr>
          <w:noProof/>
        </w:rPr>
        <w:t>100</w:t>
      </w:r>
      <w:r w:rsidR="005C2642">
        <w:rPr>
          <w:noProof/>
        </w:rPr>
        <w:fldChar w:fldCharType="end"/>
      </w:r>
      <w:r w:rsidRPr="00DE3F08">
        <w:t xml:space="preserve">. </w:t>
      </w:r>
      <w:r w:rsidRPr="003A4832">
        <w:t>Działania</w:t>
      </w:r>
      <w:r w:rsidRPr="00DE3F08">
        <w:t xml:space="preserve"> w zakresie digitalizacji sieci ciepłowniczych.</w:t>
      </w:r>
      <w:bookmarkEnd w:id="389"/>
    </w:p>
    <w:p w14:paraId="6FD701B6" w14:textId="4942321F" w:rsidR="006D0C65" w:rsidRPr="009F0F44" w:rsidRDefault="006D0C65" w:rsidP="00453D77">
      <w:pPr>
        <w:spacing w:before="240"/>
      </w:pPr>
      <w:r w:rsidRPr="009F0F44">
        <w:t>Działanie obejmuje budowę i/lub przebudowę systemów automatyki, telemetrii i telemechaniki polegając</w:t>
      </w:r>
      <w:r w:rsidR="00ED75E8">
        <w:t>ą</w:t>
      </w:r>
      <w:r w:rsidRPr="009F0F44">
        <w:t xml:space="preserve"> na wdrożeniu nowoczesnych narzędzi i rozwiązań IT/OT służących m.in. do nadzoru, sterowania, monitorowania oraz analizy parametrów jakościowych i ilościowych pracy systemu ciepłowniczego oraz przesyłu ciepła/chłodu</w:t>
      </w:r>
      <w:r w:rsidR="00921639">
        <w:t>,</w:t>
      </w:r>
      <w:r w:rsidRPr="009F0F44">
        <w:t xml:space="preserve"> budow</w:t>
      </w:r>
      <w:r w:rsidR="00921639">
        <w:t>y</w:t>
      </w:r>
      <w:r w:rsidRPr="009F0F44">
        <w:t xml:space="preserve"> instalacji OZE wytwarzającego energię wyłącznie na potrzeby urządzeń związanych z systemem telemetrii i telemechaniki</w:t>
      </w:r>
      <w:r w:rsidR="00921639">
        <w:t>. E</w:t>
      </w:r>
      <w:r w:rsidRPr="009F0F44">
        <w:t xml:space="preserve">lementem instalacji OZE może być magazyn energii, pod warunkiem zintegrowania go ze źródłem OZE. </w:t>
      </w:r>
    </w:p>
    <w:p w14:paraId="3AFF3151" w14:textId="2EE91BA9" w:rsidR="006D0C65" w:rsidRPr="006D0C65" w:rsidRDefault="006D0C65" w:rsidP="003A4832">
      <w:pPr>
        <w:pStyle w:val="Nagwek6"/>
        <w:rPr>
          <w:sz w:val="24"/>
        </w:rPr>
      </w:pPr>
      <w:bookmarkStart w:id="390" w:name="_Ref157436208"/>
      <w:r w:rsidRPr="00BA3E0C">
        <w:rPr>
          <w:sz w:val="24"/>
        </w:rPr>
        <w:t xml:space="preserve">Działanie </w:t>
      </w:r>
      <w:r w:rsidRPr="00BA3E0C">
        <w:rPr>
          <w:sz w:val="24"/>
        </w:rPr>
        <w:fldChar w:fldCharType="begin"/>
      </w:r>
      <w:r w:rsidRPr="00BA3E0C">
        <w:rPr>
          <w:sz w:val="24"/>
        </w:rPr>
        <w:instrText xml:space="preserve"> SEQ Działanie \* ARABIC </w:instrText>
      </w:r>
      <w:r w:rsidRPr="00BA3E0C">
        <w:rPr>
          <w:sz w:val="24"/>
        </w:rPr>
        <w:fldChar w:fldCharType="separate"/>
      </w:r>
      <w:r w:rsidR="00DD3929">
        <w:rPr>
          <w:noProof/>
          <w:sz w:val="24"/>
        </w:rPr>
        <w:t>101</w:t>
      </w:r>
      <w:r w:rsidRPr="00BA3E0C">
        <w:rPr>
          <w:sz w:val="24"/>
        </w:rPr>
        <w:fldChar w:fldCharType="end"/>
      </w:r>
      <w:r w:rsidRPr="00BA3E0C">
        <w:rPr>
          <w:sz w:val="24"/>
        </w:rPr>
        <w:t>.</w:t>
      </w:r>
      <w:r>
        <w:rPr>
          <w:sz w:val="24"/>
        </w:rPr>
        <w:t xml:space="preserve"> </w:t>
      </w:r>
      <w:r w:rsidRPr="003A4832">
        <w:t>Instrument</w:t>
      </w:r>
      <w:r w:rsidRPr="00BA3E0C">
        <w:t xml:space="preserve"> </w:t>
      </w:r>
      <w:r w:rsidR="00B4077C">
        <w:t>f</w:t>
      </w:r>
      <w:r w:rsidRPr="00BA3E0C">
        <w:t xml:space="preserve">inansowy – Program NFOŚiGW </w:t>
      </w:r>
      <w:r w:rsidR="006E7D5E">
        <w:t>„</w:t>
      </w:r>
      <w:r w:rsidRPr="00BA3E0C">
        <w:t>Elektroenergetyka – Inteligentna infrastruktura energetyczna</w:t>
      </w:r>
      <w:r w:rsidR="006E7D5E">
        <w:t>”</w:t>
      </w:r>
      <w:r w:rsidRPr="00BA3E0C">
        <w:t>.</w:t>
      </w:r>
      <w:bookmarkEnd w:id="390"/>
    </w:p>
    <w:p w14:paraId="3A1423D2" w14:textId="3BA7966D" w:rsidR="00DA148E" w:rsidRDefault="006D0C65" w:rsidP="006D0C65">
      <w:r w:rsidRPr="009F0F44">
        <w:t xml:space="preserve">Działanie obejmuje rozwój infrastruktury pozwalającej na </w:t>
      </w:r>
      <w:r w:rsidR="009159CE">
        <w:t>k</w:t>
      </w:r>
      <w:r w:rsidRPr="009F0F44">
        <w:t>omunikację wszystkich stron procesu dystrybucji energii elektrycznej poprzez instalację u odbiorców końcowych liczników zdalnego odczytu tzw. liczników inteligentnych wraz z infrastrukturą informatyczno-zarządczą, mający</w:t>
      </w:r>
      <w:r w:rsidR="00ED75E8">
        <w:t>ch</w:t>
      </w:r>
      <w:r w:rsidRPr="009F0F44">
        <w:t xml:space="preserve"> na celu optymalizację pracy sieci, szybszą obsługę procesów rynku energii elektrycznej i umożliwienie wdrażania </w:t>
      </w:r>
      <w:r w:rsidRPr="00EB50B5">
        <w:t>mechanizmów DSR (</w:t>
      </w:r>
      <w:r w:rsidR="006E7D5E" w:rsidRPr="00EB50B5">
        <w:t xml:space="preserve">ang. </w:t>
      </w:r>
      <w:r w:rsidR="006E7D5E" w:rsidRPr="00EB50B5">
        <w:rPr>
          <w:i/>
          <w:iCs/>
        </w:rPr>
        <w:t>d</w:t>
      </w:r>
      <w:r w:rsidRPr="00EB50B5">
        <w:rPr>
          <w:i/>
          <w:iCs/>
        </w:rPr>
        <w:t xml:space="preserve">emand </w:t>
      </w:r>
      <w:r w:rsidR="006E7D5E" w:rsidRPr="00EB50B5">
        <w:rPr>
          <w:i/>
          <w:iCs/>
        </w:rPr>
        <w:t>s</w:t>
      </w:r>
      <w:r w:rsidRPr="00EB50B5">
        <w:rPr>
          <w:i/>
          <w:iCs/>
        </w:rPr>
        <w:t xml:space="preserve">ide </w:t>
      </w:r>
      <w:r w:rsidR="006E7D5E" w:rsidRPr="00EB50B5">
        <w:rPr>
          <w:i/>
          <w:iCs/>
        </w:rPr>
        <w:t>r</w:t>
      </w:r>
      <w:r w:rsidRPr="00EB50B5">
        <w:rPr>
          <w:i/>
          <w:iCs/>
        </w:rPr>
        <w:t>esponse</w:t>
      </w:r>
      <w:r w:rsidRPr="00EB50B5">
        <w:t>).</w:t>
      </w:r>
    </w:p>
    <w:p w14:paraId="06EA2018" w14:textId="735F7E38" w:rsidR="00DA148E" w:rsidRDefault="00DA148E" w:rsidP="00BC70FB">
      <w:pPr>
        <w:pStyle w:val="Nagwek6"/>
      </w:pPr>
      <w:bookmarkStart w:id="391" w:name="_Ref175478352"/>
      <w:r>
        <w:t xml:space="preserve">Działanie </w:t>
      </w:r>
      <w:r w:rsidR="005C2642">
        <w:fldChar w:fldCharType="begin"/>
      </w:r>
      <w:r w:rsidR="005C2642">
        <w:instrText xml:space="preserve"> SEQ Działanie \* ARABIC </w:instrText>
      </w:r>
      <w:r w:rsidR="005C2642">
        <w:fldChar w:fldCharType="separate"/>
      </w:r>
      <w:r w:rsidR="00DD3929">
        <w:rPr>
          <w:noProof/>
        </w:rPr>
        <w:t>102</w:t>
      </w:r>
      <w:r w:rsidR="005C2642">
        <w:rPr>
          <w:noProof/>
        </w:rPr>
        <w:fldChar w:fldCharType="end"/>
      </w:r>
      <w:r>
        <w:t xml:space="preserve">. </w:t>
      </w:r>
      <w:r w:rsidR="00BC70FB" w:rsidRPr="4D796C50">
        <w:rPr>
          <w:rFonts w:eastAsia="Lato" w:cs="Lato"/>
        </w:rPr>
        <w:t>Wdrażanie nowych standardów energetycznych stawianych nowym budynkom oraz budynkom podlegającym ważniejszym renowacjom</w:t>
      </w:r>
      <w:r w:rsidRPr="00DE3F08">
        <w:t>.</w:t>
      </w:r>
      <w:bookmarkEnd w:id="391"/>
    </w:p>
    <w:p w14:paraId="7420354C" w14:textId="174B94C8" w:rsidR="00DA148E" w:rsidRPr="00DA148E" w:rsidRDefault="00DA148E" w:rsidP="00DA148E">
      <w:r w:rsidRPr="007B14C5">
        <w:t>Ustalenie minimalnych wymagań dotyczących charakterystyki energetycznej budynków lub modułów budynków w celu osiągnięcia co najmniej poziomów optymalnych pod względem kosztów. Sukcesywny przegląd wymagań oraz dostosowanie ich w miarę potrzeb oraz ustanowienie wymagań w zakresie standardu bezemisyjności nowych budynków począwszy od 2028</w:t>
      </w:r>
      <w:r>
        <w:t xml:space="preserve"> r.</w:t>
      </w:r>
    </w:p>
    <w:p w14:paraId="4EF95AD0" w14:textId="09C0B84B" w:rsidR="00CE5AEF" w:rsidRDefault="00DA148E" w:rsidP="00DA148E">
      <w:pPr>
        <w:pStyle w:val="Nagwek6"/>
      </w:pPr>
      <w:bookmarkStart w:id="392" w:name="_Ref175478253"/>
      <w:r>
        <w:t xml:space="preserve">Działanie </w:t>
      </w:r>
      <w:r w:rsidR="005C2642">
        <w:fldChar w:fldCharType="begin"/>
      </w:r>
      <w:r w:rsidR="005C2642">
        <w:instrText xml:space="preserve"> SEQ Działanie \* ARABIC </w:instrText>
      </w:r>
      <w:r w:rsidR="005C2642">
        <w:fldChar w:fldCharType="separate"/>
      </w:r>
      <w:r w:rsidR="00DD3929">
        <w:rPr>
          <w:noProof/>
        </w:rPr>
        <w:t>103</w:t>
      </w:r>
      <w:r w:rsidR="005C2642">
        <w:rPr>
          <w:noProof/>
        </w:rPr>
        <w:fldChar w:fldCharType="end"/>
      </w:r>
      <w:r>
        <w:t xml:space="preserve">. </w:t>
      </w:r>
      <w:r w:rsidRPr="0024251C">
        <w:t xml:space="preserve">System oceny energetycznej budynków </w:t>
      </w:r>
      <w:r>
        <w:t>i</w:t>
      </w:r>
      <w:r w:rsidRPr="0024251C">
        <w:t xml:space="preserve"> systemów technicznych budynków</w:t>
      </w:r>
      <w:r>
        <w:t>.</w:t>
      </w:r>
      <w:bookmarkEnd w:id="392"/>
      <w:r w:rsidR="00CE5AEF">
        <w:t xml:space="preserve"> </w:t>
      </w:r>
    </w:p>
    <w:p w14:paraId="7443DD8D" w14:textId="1AAE9AA3" w:rsidR="00BC70FB" w:rsidRDefault="00DA148E" w:rsidP="00DA148E">
      <w:pPr>
        <w:rPr>
          <w:rFonts w:eastAsia="Lato" w:cs="Lato"/>
        </w:rPr>
      </w:pPr>
      <w:r>
        <w:t xml:space="preserve">System funkcjonuje w oparciu o świadectwa charakterystyki energetycznej budynków oraz protokoły z kontroli systemów ogrzewania i systemów klimatyzacji w budynkach. Dokumenty sporządzane są na różnych etapach związanych z budową, użytkowaniem, sprzedażą lub najmem budynków. Dzięki nim możliwe jest uzyskanie wiedzy na temat efektywności energetycznej budynków oraz systemów technicznych w nich zainstalowanych, a także informacji na temat możliwości poprawy efektywności energetycznej przez szerokie grono zainteresowanych w uzyskaniu oszczędności energii w budynkach. Dzięki informacjom zawartym w świadectwie </w:t>
      </w:r>
      <w:r w:rsidRPr="4D796C50">
        <w:rPr>
          <w:rFonts w:eastAsia="Lato" w:cs="Lato"/>
        </w:rPr>
        <w:t>właściciel, najemca lub użytkownik budynku może określić orientacyjne roczne zapotrzebowanie na energię, a tym samym koszt utrzymania związany ze zużyciem energii</w:t>
      </w:r>
      <w:r>
        <w:rPr>
          <w:rFonts w:eastAsia="Lato" w:cs="Lato"/>
        </w:rPr>
        <w:t>. Ta wiedza wspiera podejmowanie decyzji o działaniach na rzecz. poprawy efektywności energetycznej.</w:t>
      </w:r>
    </w:p>
    <w:p w14:paraId="6E7A0B63" w14:textId="7999037E" w:rsidR="00BC70FB" w:rsidRDefault="00BC70FB" w:rsidP="00E85928">
      <w:pPr>
        <w:pStyle w:val="Nagwek6"/>
      </w:pPr>
      <w:bookmarkStart w:id="393" w:name="_Ref175483628"/>
      <w:r>
        <w:t xml:space="preserve">Działanie </w:t>
      </w:r>
      <w:r w:rsidR="005C2642">
        <w:fldChar w:fldCharType="begin"/>
      </w:r>
      <w:r w:rsidR="005C2642">
        <w:instrText xml:space="preserve"> SEQ Działanie \* ARABIC </w:instrText>
      </w:r>
      <w:r w:rsidR="005C2642">
        <w:fldChar w:fldCharType="separate"/>
      </w:r>
      <w:r w:rsidR="00DD3929">
        <w:rPr>
          <w:noProof/>
        </w:rPr>
        <w:t>104</w:t>
      </w:r>
      <w:r w:rsidR="005C2642">
        <w:rPr>
          <w:noProof/>
        </w:rPr>
        <w:fldChar w:fldCharType="end"/>
      </w:r>
      <w:r>
        <w:t xml:space="preserve">. Instrument finansowy - </w:t>
      </w:r>
      <w:r w:rsidRPr="4D796C50">
        <w:rPr>
          <w:rFonts w:eastAsia="Lato"/>
        </w:rPr>
        <w:t>wsparcie działań związanych z poprawą efektywności energetycznej budynków w</w:t>
      </w:r>
      <w:r>
        <w:rPr>
          <w:rFonts w:eastAsia="Lato"/>
        </w:rPr>
        <w:t> </w:t>
      </w:r>
      <w:r w:rsidRPr="4D796C50">
        <w:rPr>
          <w:rFonts w:eastAsia="Lato"/>
        </w:rPr>
        <w:t>ramach funduszy europejskich</w:t>
      </w:r>
      <w:r>
        <w:t>.</w:t>
      </w:r>
      <w:bookmarkEnd w:id="393"/>
    </w:p>
    <w:p w14:paraId="467A4CF7" w14:textId="26A7AE3D" w:rsidR="0078378C" w:rsidRDefault="00BC70FB" w:rsidP="00DC5106">
      <w:pPr>
        <w:spacing w:line="257" w:lineRule="auto"/>
      </w:pPr>
      <w:r w:rsidRPr="4D796C50">
        <w:rPr>
          <w:rFonts w:eastAsia="Lato" w:cs="Lato"/>
        </w:rPr>
        <w:t>Działanie obejmuje wsparcie inwestycji mających na celu poprawę efektywności energetycznej użytkowanych budynków, w tym budynków mieszkalnych, użyteczności publicznej, jak i należących do przedsiębiorstw. Działanie realizowane jest w ramach programów Fundusze Europejskie na Infrastrukturę, Klimat, Środowisko 2021</w:t>
      </w:r>
      <w:r w:rsidR="00E85928">
        <w:rPr>
          <w:rFonts w:eastAsia="Lato" w:cs="Lato"/>
        </w:rPr>
        <w:t>–</w:t>
      </w:r>
      <w:r w:rsidRPr="4D796C50">
        <w:rPr>
          <w:rFonts w:eastAsia="Lato" w:cs="Lato"/>
        </w:rPr>
        <w:t>2027, Fundusze Europejskie dla Nowoczesnej Gospodarki, Krajowy Plan Odbudowy i Zwiększania Odporności oraz w ramach programów regionalnych.</w:t>
      </w:r>
      <w:r w:rsidR="0078378C">
        <w:br w:type="page"/>
      </w:r>
    </w:p>
    <w:p w14:paraId="3371E072" w14:textId="77777777" w:rsidR="0078378C" w:rsidRDefault="0078378C" w:rsidP="006D0C65">
      <w:pPr>
        <w:sectPr w:rsidR="0078378C" w:rsidSect="00CE5AEF">
          <w:headerReference w:type="even" r:id="rId88"/>
          <w:headerReference w:type="default" r:id="rId89"/>
          <w:headerReference w:type="first" r:id="rId90"/>
          <w:pgSz w:w="11906" w:h="16838"/>
          <w:pgMar w:top="1417" w:right="1417" w:bottom="1417" w:left="1417" w:header="708" w:footer="708" w:gutter="0"/>
          <w:cols w:space="708"/>
          <w:titlePg/>
          <w:docGrid w:linePitch="360"/>
        </w:sectPr>
      </w:pPr>
    </w:p>
    <w:p w14:paraId="6B13C026" w14:textId="5A3DE874" w:rsidR="006D0C65" w:rsidRDefault="00156737" w:rsidP="006D0C65">
      <w:r>
        <w:rPr>
          <w:noProof/>
        </w:rPr>
        <mc:AlternateContent>
          <mc:Choice Requires="wps">
            <w:drawing>
              <wp:anchor distT="0" distB="0" distL="114300" distR="114300" simplePos="0" relativeHeight="251625472" behindDoc="0" locked="0" layoutInCell="1" allowOverlap="1" wp14:anchorId="2C02CA48" wp14:editId="39D3FCC8">
                <wp:simplePos x="0" y="0"/>
                <wp:positionH relativeFrom="margin">
                  <wp:align>center</wp:align>
                </wp:positionH>
                <wp:positionV relativeFrom="paragraph">
                  <wp:posOffset>-586740</wp:posOffset>
                </wp:positionV>
                <wp:extent cx="7019925" cy="1812925"/>
                <wp:effectExtent l="0" t="0" r="9525" b="0"/>
                <wp:wrapNone/>
                <wp:docPr id="584422184" name="Prostokąt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019925" cy="1812925"/>
                        </a:xfrm>
                        <a:prstGeom prst="rect">
                          <a:avLst/>
                        </a:prstGeom>
                        <a:solidFill>
                          <a:srgbClr val="C00000">
                            <a:alpha val="80000"/>
                          </a:srgbClr>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053A21F7" w14:textId="77777777" w:rsidR="00FC190C" w:rsidRPr="009F667D" w:rsidRDefault="00FC190C" w:rsidP="00227851">
                            <w:pPr>
                              <w:spacing w:after="0"/>
                              <w:ind w:left="851"/>
                              <w:jc w:val="left"/>
                              <w:rPr>
                                <w:rFonts w:ascii="Bahnschrift" w:hAnsi="Bahnschrift"/>
                                <w:b/>
                                <w:bCs/>
                                <w:color w:val="FFFFFF" w:themeColor="light1"/>
                                <w:kern w:val="24"/>
                                <w:sz w:val="64"/>
                                <w:szCs w:val="64"/>
                              </w:rPr>
                            </w:pPr>
                            <w:r>
                              <w:rPr>
                                <w:rFonts w:ascii="Bahnschrift" w:hAnsi="Bahnschrift"/>
                                <w:color w:val="FFFFFF" w:themeColor="light1"/>
                                <w:kern w:val="24"/>
                                <w:sz w:val="56"/>
                                <w:szCs w:val="56"/>
                              </w:rPr>
                              <w:t xml:space="preserve">Wymiar 3. </w:t>
                            </w:r>
                            <w:r>
                              <w:rPr>
                                <w:rFonts w:ascii="Bahnschrift" w:hAnsi="Bahnschrift"/>
                                <w:color w:val="FFFFFF" w:themeColor="light1"/>
                                <w:kern w:val="24"/>
                                <w:sz w:val="72"/>
                                <w:szCs w:val="72"/>
                              </w:rPr>
                              <w:br/>
                            </w:r>
                            <w:r w:rsidRPr="009F667D">
                              <w:rPr>
                                <w:rFonts w:ascii="Bahnschrift" w:hAnsi="Bahnschrift"/>
                                <w:b/>
                                <w:bCs/>
                                <w:color w:val="FFFFFF" w:themeColor="light1"/>
                                <w:kern w:val="24"/>
                                <w:sz w:val="64"/>
                                <w:szCs w:val="64"/>
                              </w:rPr>
                              <w:t>Bezpieczeństwo energetyczne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2C02CA48" id="Prostokąt 3" o:spid="_x0000_s1115" style="position:absolute;left:0;text-align:left;margin-left:0;margin-top:-46.2pt;width:552.75pt;height:142.75pt;z-index:25162547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" fillcolor="#c00000" stroked="f" strokeweight="1pt">
                <v:fill opacity="52428f"/>
                <v:textbox>
                  <w:txbxContent>
                    <w:p w14:paraId="053A21F7" w14:textId="77777777" w:rsidR="00FC190C" w:rsidRPr="009F667D" w:rsidRDefault="00FC190C" w:rsidP="00227851">
                      <w:pPr>
                        <w:spacing w:after="0"/>
                        <w:ind w:left="851"/>
                        <w:jc w:val="left"/>
                        <w:rPr>
                          <w:rFonts w:ascii="Bahnschrift" w:hAnsi="Bahnschrift"/>
                          <w:b/>
                          <w:bCs/>
                          <w:color w:val="FFFFFF" w:themeColor="light1"/>
                          <w:kern w:val="24"/>
                          <w:sz w:val="64"/>
                          <w:szCs w:val="64"/>
                        </w:rPr>
                      </w:pPr>
                      <w:r>
                        <w:rPr>
                          <w:rFonts w:ascii="Bahnschrift" w:hAnsi="Bahnschrift"/>
                          <w:color w:val="FFFFFF" w:themeColor="light1"/>
                          <w:kern w:val="24"/>
                          <w:sz w:val="56"/>
                          <w:szCs w:val="56"/>
                        </w:rPr>
                        <w:t xml:space="preserve">Wymiar 3. </w:t>
                      </w:r>
                      <w:r>
                        <w:rPr>
                          <w:rFonts w:ascii="Bahnschrift" w:hAnsi="Bahnschrift"/>
                          <w:color w:val="FFFFFF" w:themeColor="light1"/>
                          <w:kern w:val="24"/>
                          <w:sz w:val="72"/>
                          <w:szCs w:val="72"/>
                        </w:rPr>
                        <w:br/>
                      </w:r>
                      <w:r w:rsidRPr="009F667D">
                        <w:rPr>
                          <w:rFonts w:ascii="Bahnschrift" w:hAnsi="Bahnschrift"/>
                          <w:b/>
                          <w:bCs/>
                          <w:color w:val="FFFFFF" w:themeColor="light1"/>
                          <w:kern w:val="24"/>
                          <w:sz w:val="64"/>
                          <w:szCs w:val="64"/>
                        </w:rPr>
                        <w:t>Bezpieczeństwo energetyczne</w:t>
                      </w:r>
                    </w:p>
                  </w:txbxContent>
                </v:textbox>
                <w10:wrap anchorx="margin"/>
              </v:rect>
            </w:pict>
          </mc:Fallback>
        </mc:AlternateContent>
      </w:r>
    </w:p>
    <w:p w14:paraId="36231138" w14:textId="1FB4B47F" w:rsidR="000029E7" w:rsidRDefault="000029E7">
      <w:pPr>
        <w:jc w:val="left"/>
      </w:pPr>
    </w:p>
    <w:p w14:paraId="582DB8C1" w14:textId="190E7226" w:rsidR="006D0C65" w:rsidRPr="00EB50B5" w:rsidRDefault="006D0C65" w:rsidP="006D0C65">
      <w:pPr>
        <w:tabs>
          <w:tab w:val="left" w:pos="1365"/>
        </w:tabs>
      </w:pPr>
    </w:p>
    <w:p w14:paraId="7D57384B" w14:textId="1BF94459" w:rsidR="00536B8F" w:rsidRPr="00536B8F" w:rsidRDefault="00536B8F" w:rsidP="00536B8F">
      <w:pPr>
        <w:pStyle w:val="Nagwek2"/>
        <w:rPr>
          <w:color w:val="FFFFFF" w:themeColor="background1"/>
        </w:rPr>
      </w:pPr>
      <w:bookmarkStart w:id="394" w:name="_Toc179537010"/>
      <w:r w:rsidRPr="00536B8F">
        <w:rPr>
          <w:color w:val="FFFFFF" w:themeColor="background1"/>
        </w:rPr>
        <w:t>Bezpieczeństwo energetyczne</w:t>
      </w:r>
      <w:bookmarkEnd w:id="394"/>
    </w:p>
    <w:p w14:paraId="56646D28" w14:textId="5324F77A" w:rsidR="00FC190C" w:rsidRDefault="00FC190C"/>
    <w:p w14:paraId="0C07FC26" w14:textId="20598316" w:rsidR="00FC190C" w:rsidRDefault="00FC190C"/>
    <w:p w14:paraId="24FA9859" w14:textId="6D0699F3" w:rsidR="000029E7" w:rsidRDefault="00744B7E" w:rsidP="0078378C">
      <w:pPr>
        <w:pStyle w:val="Nagwek6"/>
      </w:pPr>
      <w:bookmarkStart w:id="395" w:name="_Ref175320916"/>
      <w:r>
        <w:t xml:space="preserve">Działanie </w:t>
      </w:r>
      <w:r w:rsidR="005C2642">
        <w:fldChar w:fldCharType="begin"/>
      </w:r>
      <w:r w:rsidR="005C2642">
        <w:instrText xml:space="preserve"> SEQ Działanie \* ARABIC </w:instrText>
      </w:r>
      <w:r w:rsidR="005C2642">
        <w:fldChar w:fldCharType="separate"/>
      </w:r>
      <w:r w:rsidR="00DD3929">
        <w:rPr>
          <w:noProof/>
        </w:rPr>
        <w:t>105</w:t>
      </w:r>
      <w:r w:rsidR="005C2642">
        <w:rPr>
          <w:noProof/>
        </w:rPr>
        <w:fldChar w:fldCharType="end"/>
      </w:r>
      <w:r>
        <w:t xml:space="preserve">. </w:t>
      </w:r>
      <w:r w:rsidRPr="004F4990">
        <w:t xml:space="preserve">Opracowanie </w:t>
      </w:r>
      <w:r w:rsidR="00546ECB">
        <w:t xml:space="preserve">i wdrażanie </w:t>
      </w:r>
      <w:r w:rsidRPr="004F4990">
        <w:t>Krajowego programu poszukiwań surowców krytycznych</w:t>
      </w:r>
      <w:r>
        <w:t>.</w:t>
      </w:r>
      <w:bookmarkEnd w:id="395"/>
    </w:p>
    <w:p w14:paraId="67759A84" w14:textId="17F416CB" w:rsidR="00744B7E" w:rsidRDefault="00744B7E" w:rsidP="00744B7E">
      <w:r>
        <w:t xml:space="preserve">Działanie polega na </w:t>
      </w:r>
      <w:r w:rsidR="00E463B7">
        <w:t xml:space="preserve">weryfikacji możliwości pozyskiwania </w:t>
      </w:r>
      <w:r w:rsidR="00CC624C">
        <w:t xml:space="preserve">surowców </w:t>
      </w:r>
      <w:r w:rsidR="00E463B7">
        <w:t>krytycznych i strategicznych niezbędnych do prowadzenia transformacji energetycznej</w:t>
      </w:r>
      <w:r w:rsidR="00CC624C">
        <w:t xml:space="preserve"> z zasobów krajowych</w:t>
      </w:r>
      <w:r w:rsidR="00E463B7">
        <w:t xml:space="preserve">. Dotyczy to m.in. </w:t>
      </w:r>
      <w:r w:rsidR="0078378C">
        <w:t>l</w:t>
      </w:r>
      <w:r w:rsidR="0078378C" w:rsidRPr="0078378C">
        <w:t>it</w:t>
      </w:r>
      <w:r w:rsidR="0078378C">
        <w:t>u</w:t>
      </w:r>
      <w:r w:rsidR="0078378C" w:rsidRPr="0078378C">
        <w:t>, nik</w:t>
      </w:r>
      <w:r w:rsidR="0078378C">
        <w:t>lu</w:t>
      </w:r>
      <w:r w:rsidR="0078378C" w:rsidRPr="0078378C">
        <w:t>, kobalt</w:t>
      </w:r>
      <w:r w:rsidR="0078378C">
        <w:t>u</w:t>
      </w:r>
      <w:r w:rsidR="0078378C" w:rsidRPr="0078378C">
        <w:t xml:space="preserve"> i grafit</w:t>
      </w:r>
      <w:r w:rsidR="0078378C">
        <w:t>u, czy innych metali z grupy platynowców.</w:t>
      </w:r>
      <w:r w:rsidR="00E463B7">
        <w:t xml:space="preserve"> Opracowanie dokumentu wynika z tzw. </w:t>
      </w:r>
      <w:r w:rsidRPr="00744B7E">
        <w:t xml:space="preserve">rozporządzenia </w:t>
      </w:r>
      <w:r>
        <w:t xml:space="preserve">UE </w:t>
      </w:r>
      <w:r w:rsidRPr="00744B7E">
        <w:t>dot. surowców krytycznych – Critical Raw Material Act</w:t>
      </w:r>
      <w:r w:rsidR="00E463B7">
        <w:t>.</w:t>
      </w:r>
    </w:p>
    <w:p w14:paraId="044020EC" w14:textId="52848B6B" w:rsidR="002A6DFA" w:rsidRPr="00570679" w:rsidRDefault="002A6DFA" w:rsidP="000029E7">
      <w:pPr>
        <w:pStyle w:val="Nagwek6"/>
      </w:pPr>
      <w:bookmarkStart w:id="396" w:name="_Ref157434707"/>
      <w:r w:rsidRPr="00570679">
        <w:t xml:space="preserve">Działanie </w:t>
      </w:r>
      <w:r w:rsidR="005C2642">
        <w:fldChar w:fldCharType="begin"/>
      </w:r>
      <w:r w:rsidR="005C2642">
        <w:instrText xml:space="preserve"> SEQ Działanie \* ARABIC </w:instrText>
      </w:r>
      <w:r w:rsidR="005C2642">
        <w:fldChar w:fldCharType="separate"/>
      </w:r>
      <w:r w:rsidR="00DD3929">
        <w:rPr>
          <w:noProof/>
        </w:rPr>
        <w:t>106</w:t>
      </w:r>
      <w:r w:rsidR="005C2642">
        <w:rPr>
          <w:noProof/>
        </w:rPr>
        <w:fldChar w:fldCharType="end"/>
      </w:r>
      <w:r w:rsidRPr="00570679">
        <w:t xml:space="preserve">. </w:t>
      </w:r>
      <w:r w:rsidR="00DC7166">
        <w:t>Utrzymanie sprawnych połączeń międzysystemowych i terminalu LNG w Świnoujściu</w:t>
      </w:r>
      <w:r w:rsidRPr="00570679">
        <w:t>.</w:t>
      </w:r>
      <w:bookmarkEnd w:id="396"/>
    </w:p>
    <w:p w14:paraId="2B3B9E08" w14:textId="2F4B7427" w:rsidR="002A6DFA" w:rsidRPr="009F0F44" w:rsidRDefault="00DC7166" w:rsidP="002A6DFA">
      <w:r>
        <w:t xml:space="preserve">Działanie dotyczy podejmowania kompleksowych działań służących zapewnieniu pełnej i stałej funkcjonalności oraz sprawności wszystkich istniejących połączeń transgranicznych oraz terminalu regazyfikacyjnego LNG w Świnoujściu, zapewniających łącznie bezpieczeństwo dostaw gazu ziemnego do krajowych odbiorców oraz możliwość eksportu nadwyżek gazu ziemnego, wzmacniających również bezpieczeństwo dostaw w ujęciu regionalnym. Działanie polega także na zapewnieniu odpowiedniej ochrony fizycznej </w:t>
      </w:r>
      <w:r w:rsidR="001C5841">
        <w:t xml:space="preserve">oraz </w:t>
      </w:r>
      <w:r>
        <w:t>z zakresu cyberbezpieczeństwa</w:t>
      </w:r>
      <w:r w:rsidR="002A6DFA" w:rsidRPr="009F0F44">
        <w:t>.</w:t>
      </w:r>
    </w:p>
    <w:p w14:paraId="5867AA43" w14:textId="3A450106" w:rsidR="002A6DFA" w:rsidRPr="00570679" w:rsidRDefault="002A6DFA" w:rsidP="00570679">
      <w:pPr>
        <w:pStyle w:val="Nagwek6"/>
      </w:pPr>
      <w:bookmarkStart w:id="397" w:name="_Ref157434733"/>
      <w:r w:rsidRPr="00570679">
        <w:t xml:space="preserve">Działanie </w:t>
      </w:r>
      <w:r w:rsidR="005C2642">
        <w:fldChar w:fldCharType="begin"/>
      </w:r>
      <w:r w:rsidR="005C2642">
        <w:instrText xml:space="preserve"> SEQ Działanie \* ARABIC </w:instrText>
      </w:r>
      <w:r w:rsidR="005C2642">
        <w:fldChar w:fldCharType="separate"/>
      </w:r>
      <w:r w:rsidR="00DD3929">
        <w:rPr>
          <w:noProof/>
        </w:rPr>
        <w:t>107</w:t>
      </w:r>
      <w:r w:rsidR="005C2642">
        <w:rPr>
          <w:noProof/>
        </w:rPr>
        <w:fldChar w:fldCharType="end"/>
      </w:r>
      <w:r w:rsidRPr="00570679">
        <w:t xml:space="preserve">. </w:t>
      </w:r>
      <w:r w:rsidR="00DC7166">
        <w:t>Cykliczna aktualizacja</w:t>
      </w:r>
      <w:r w:rsidRPr="00570679">
        <w:t xml:space="preserve"> planu działań zapobiegawczych oraz planu na wypadek sytuacji nadzwyczajnej</w:t>
      </w:r>
      <w:r w:rsidR="00DC7166">
        <w:t xml:space="preserve"> </w:t>
      </w:r>
      <w:r w:rsidR="00DC7166" w:rsidRPr="00DC7166">
        <w:t>oraz monitoring realizacji zadań wpisanych w planie działań zapobiegawczych</w:t>
      </w:r>
      <w:r w:rsidRPr="00570679">
        <w:t>.</w:t>
      </w:r>
      <w:bookmarkEnd w:id="397"/>
    </w:p>
    <w:p w14:paraId="1BFBADC0" w14:textId="0A167695" w:rsidR="002A6DFA" w:rsidRPr="009F0F44" w:rsidRDefault="00DC7166" w:rsidP="002A6DFA">
      <w:r w:rsidRPr="009F0F44">
        <w:t>Działani</w:t>
      </w:r>
      <w:r>
        <w:t>e</w:t>
      </w:r>
      <w:r w:rsidRPr="009F0F44">
        <w:t xml:space="preserve"> polegające na monitoringu postępów w realizacji kluczowych inwestycji zwiększających bezpieczeństwo dostaw gazu ziemnego do krajowych odbiorców</w:t>
      </w:r>
      <w:r>
        <w:t xml:space="preserve"> wskazanych w planie działań zapobiegawczych</w:t>
      </w:r>
      <w:r w:rsidR="001C5841">
        <w:t xml:space="preserve"> oraz na cyklicznej aktualizacji dokumentów: planu działań zapobiegawczych oraz planu na wypadek sytuacji nadzwyczajnej</w:t>
      </w:r>
      <w:r w:rsidR="002A6DFA" w:rsidRPr="009F0F44">
        <w:t>.</w:t>
      </w:r>
    </w:p>
    <w:p w14:paraId="7C33C3F2" w14:textId="24469CC6" w:rsidR="002A6DFA" w:rsidRPr="00570679" w:rsidRDefault="002A6DFA" w:rsidP="00570679">
      <w:pPr>
        <w:pStyle w:val="Nagwek6"/>
      </w:pPr>
      <w:bookmarkStart w:id="398" w:name="_Ref157434743"/>
      <w:r w:rsidRPr="00570679">
        <w:t xml:space="preserve">Działanie </w:t>
      </w:r>
      <w:r w:rsidR="005C2642">
        <w:fldChar w:fldCharType="begin"/>
      </w:r>
      <w:r w:rsidR="005C2642">
        <w:instrText xml:space="preserve"> SEQ Działanie \* ARABIC </w:instrText>
      </w:r>
      <w:r w:rsidR="005C2642">
        <w:fldChar w:fldCharType="separate"/>
      </w:r>
      <w:r w:rsidR="00DD3929">
        <w:rPr>
          <w:noProof/>
        </w:rPr>
        <w:t>108</w:t>
      </w:r>
      <w:r w:rsidR="005C2642">
        <w:rPr>
          <w:noProof/>
        </w:rPr>
        <w:fldChar w:fldCharType="end"/>
      </w:r>
      <w:r w:rsidRPr="00570679">
        <w:t xml:space="preserve">. </w:t>
      </w:r>
      <w:r w:rsidR="00DC7166">
        <w:t>B</w:t>
      </w:r>
      <w:r w:rsidRPr="00570679">
        <w:t>udow</w:t>
      </w:r>
      <w:r w:rsidR="00DC7166">
        <w:t>a</w:t>
      </w:r>
      <w:r w:rsidRPr="00570679">
        <w:t xml:space="preserve"> terminal</w:t>
      </w:r>
      <w:r w:rsidR="00DC7166">
        <w:t>u</w:t>
      </w:r>
      <w:r w:rsidRPr="00570679">
        <w:t xml:space="preserve"> FSRU w Zatoce Gdańskiej.</w:t>
      </w:r>
      <w:bookmarkEnd w:id="398"/>
    </w:p>
    <w:p w14:paraId="68F10EFA" w14:textId="519F2E5B" w:rsidR="002A6DFA" w:rsidRDefault="0063732D" w:rsidP="002A6DFA">
      <w:r w:rsidRPr="0063732D">
        <w:t xml:space="preserve"> </w:t>
      </w:r>
      <w:r>
        <w:t>Działanie obejmuje realizację zadań i inwestycji dotyczących</w:t>
      </w:r>
      <w:r w:rsidR="00DC7166" w:rsidRPr="009F0F44">
        <w:t xml:space="preserve"> pływającego terminal</w:t>
      </w:r>
      <w:r w:rsidR="00DC7166">
        <w:t>u</w:t>
      </w:r>
      <w:r w:rsidR="00DC7166" w:rsidRPr="009F0F44">
        <w:t xml:space="preserve"> regazyfikacyjnego LNG w Zatoce Gdańskiej</w:t>
      </w:r>
      <w:r w:rsidR="002A6DFA" w:rsidRPr="009F0F44">
        <w:t>.</w:t>
      </w:r>
    </w:p>
    <w:p w14:paraId="43B7F51A" w14:textId="7485DCFF" w:rsidR="00441EDE" w:rsidRDefault="00441EDE" w:rsidP="00441EDE">
      <w:pPr>
        <w:pStyle w:val="Nagwek6"/>
      </w:pPr>
      <w:bookmarkStart w:id="399" w:name="_Ref159502277"/>
      <w:r>
        <w:t xml:space="preserve">Działanie </w:t>
      </w:r>
      <w:r w:rsidR="005C2642">
        <w:fldChar w:fldCharType="begin"/>
      </w:r>
      <w:r w:rsidR="005C2642">
        <w:instrText xml:space="preserve"> SEQ Działanie \* ARABIC </w:instrText>
      </w:r>
      <w:r w:rsidR="005C2642">
        <w:fldChar w:fldCharType="separate"/>
      </w:r>
      <w:r w:rsidR="00DD3929">
        <w:rPr>
          <w:noProof/>
        </w:rPr>
        <w:t>109</w:t>
      </w:r>
      <w:r w:rsidR="005C2642">
        <w:rPr>
          <w:noProof/>
        </w:rPr>
        <w:fldChar w:fldCharType="end"/>
      </w:r>
      <w:r>
        <w:t xml:space="preserve">. </w:t>
      </w:r>
      <w:r w:rsidRPr="00441EDE">
        <w:t>Zwiększanie pojemności i mocy odbioru systemu magazynowania gazu ziemnego</w:t>
      </w:r>
      <w:bookmarkEnd w:id="399"/>
    </w:p>
    <w:p w14:paraId="50A1A9CD" w14:textId="3AA43B8A" w:rsidR="00441EDE" w:rsidRDefault="00441EDE" w:rsidP="00441EDE">
      <w:r>
        <w:t xml:space="preserve">Działanie </w:t>
      </w:r>
      <w:r w:rsidRPr="00441EDE">
        <w:t>polega na zrealizowaniu inwestycji infrastrukturalnych skutkujących zwiększeniem pojemności czynnych systemu magazynowania gazu ziemnego oraz zwiększeniu maksymalnej mocy odbioru z instalacji magazynowych, co łącznie wpłynie na stabilność funkcjonowania systemu w szczególności w sezonie zimowym oraz zapewni fundament dla właściwego dalszego rozwoju rynku gazu i prowadzenia działalności handlowej w tym sektorze.</w:t>
      </w:r>
    </w:p>
    <w:p w14:paraId="50F1FA11" w14:textId="61BD0908" w:rsidR="00441EDE" w:rsidRDefault="00441EDE" w:rsidP="00441EDE">
      <w:pPr>
        <w:pStyle w:val="Nagwek6"/>
      </w:pPr>
      <w:bookmarkStart w:id="400" w:name="_Ref159499172"/>
      <w:r>
        <w:t xml:space="preserve">Działanie </w:t>
      </w:r>
      <w:r w:rsidR="005C2642">
        <w:fldChar w:fldCharType="begin"/>
      </w:r>
      <w:r w:rsidR="005C2642">
        <w:instrText xml:space="preserve"> SEQ Działanie \* ARABIC </w:instrText>
      </w:r>
      <w:r w:rsidR="005C2642">
        <w:fldChar w:fldCharType="separate"/>
      </w:r>
      <w:r w:rsidR="00DD3929">
        <w:rPr>
          <w:noProof/>
        </w:rPr>
        <w:t>110</w:t>
      </w:r>
      <w:r w:rsidR="005C2642">
        <w:rPr>
          <w:noProof/>
        </w:rPr>
        <w:fldChar w:fldCharType="end"/>
      </w:r>
      <w:r>
        <w:t xml:space="preserve">. </w:t>
      </w:r>
      <w:r w:rsidRPr="00E410E0">
        <w:t xml:space="preserve">Rozbudowa i modernizacja systemu </w:t>
      </w:r>
      <w:r>
        <w:t xml:space="preserve">gazowego </w:t>
      </w:r>
      <w:r w:rsidRPr="00E410E0">
        <w:t>przesyłowego i</w:t>
      </w:r>
      <w:r>
        <w:t> </w:t>
      </w:r>
      <w:r w:rsidRPr="00E410E0">
        <w:t>dystrybucyjnego zgodnie z przyjętymi planami rozwoju oraz ich aktualizacjami</w:t>
      </w:r>
      <w:bookmarkEnd w:id="400"/>
    </w:p>
    <w:p w14:paraId="2AD8C123" w14:textId="490872E5" w:rsidR="00441EDE" w:rsidRPr="00441EDE" w:rsidRDefault="00441EDE" w:rsidP="00441EDE">
      <w:r w:rsidRPr="00441EDE">
        <w:t>Działanie ma na celu zapewnienie prawidłowego rozwoju systemu gazowego, w sposób uzgodniony z</w:t>
      </w:r>
      <w:r>
        <w:t> </w:t>
      </w:r>
      <w:r w:rsidRPr="00441EDE">
        <w:t>uczestnikami rynku i spełniający ich oczekiwania. Realizacja działania zapewni poczucie funkcjonowania na stabilnym rynku, charakteryzującym się przewidywalnością w zakresie rozwoju infrastruktury służącej do transportu gazu ziemnego, co ułatwi podejmowanie decyzji dotyczących zasadności wykorzystania gazu ziemnego jako paliwa przejściowego wśród obecnych i przyszłych odbiorców paliwa gazowego</w:t>
      </w:r>
      <w:r>
        <w:t>.</w:t>
      </w:r>
    </w:p>
    <w:p w14:paraId="42BD7790" w14:textId="1BD83B2A" w:rsidR="009D40C4" w:rsidRPr="00A74EF3" w:rsidRDefault="009D40C4" w:rsidP="00A74EF3">
      <w:pPr>
        <w:pStyle w:val="Nagwek6"/>
      </w:pPr>
      <w:bookmarkStart w:id="401" w:name="_Ref159179475"/>
      <w:bookmarkStart w:id="402" w:name="_Ref157437767"/>
      <w:r w:rsidRPr="00A74EF3">
        <w:t xml:space="preserve">Działanie </w:t>
      </w:r>
      <w:r w:rsidR="005C2642">
        <w:fldChar w:fldCharType="begin"/>
      </w:r>
      <w:r w:rsidR="005C2642">
        <w:instrText xml:space="preserve"> SEQ Działanie \* ARABIC </w:instrText>
      </w:r>
      <w:r w:rsidR="005C2642">
        <w:fldChar w:fldCharType="separate"/>
      </w:r>
      <w:r w:rsidR="00DD3929">
        <w:rPr>
          <w:noProof/>
        </w:rPr>
        <w:t>111</w:t>
      </w:r>
      <w:r w:rsidR="005C2642">
        <w:rPr>
          <w:noProof/>
        </w:rPr>
        <w:fldChar w:fldCharType="end"/>
      </w:r>
      <w:r w:rsidRPr="00A74EF3">
        <w:t xml:space="preserve">. </w:t>
      </w:r>
      <w:r w:rsidR="00E75BB8" w:rsidRPr="00A74EF3">
        <w:t>Określenie r</w:t>
      </w:r>
      <w:r w:rsidRPr="00A74EF3">
        <w:t>am prawn</w:t>
      </w:r>
      <w:r w:rsidR="00E75BB8" w:rsidRPr="00A74EF3">
        <w:t>ych</w:t>
      </w:r>
      <w:r w:rsidRPr="00A74EF3">
        <w:t xml:space="preserve"> </w:t>
      </w:r>
      <w:r w:rsidR="00E75BB8" w:rsidRPr="00A74EF3">
        <w:t>dla rozwoju infrastruktury do transportu wodoru.</w:t>
      </w:r>
      <w:bookmarkEnd w:id="401"/>
    </w:p>
    <w:p w14:paraId="0A9BE0BC" w14:textId="62CC2DD4" w:rsidR="00E75BB8" w:rsidRDefault="00E75BB8" w:rsidP="00E75BB8">
      <w:r>
        <w:t>Działanie będzie polegać</w:t>
      </w:r>
      <w:r w:rsidR="00D046A3">
        <w:t xml:space="preserve"> na</w:t>
      </w:r>
      <w:r>
        <w:t>:</w:t>
      </w:r>
    </w:p>
    <w:p w14:paraId="113DCD97" w14:textId="68AF9E3B" w:rsidR="00E75BB8" w:rsidRDefault="00E75BB8" w:rsidP="001D4BA5">
      <w:pPr>
        <w:pStyle w:val="Akapitzlist"/>
        <w:numPr>
          <w:ilvl w:val="0"/>
          <w:numId w:val="21"/>
        </w:numPr>
      </w:pPr>
      <w:r>
        <w:t>opracowaniu i uchwaleniu projektu ustawy o zmianie ustawy – Prawo energetyczne oraz niektórych innych ustaw, spójnego z rewizją III pakietu gazowego w zakresie infrastruktury wodorowej,</w:t>
      </w:r>
    </w:p>
    <w:p w14:paraId="67BFAB3E" w14:textId="77777777" w:rsidR="00E75BB8" w:rsidRDefault="00E75BB8" w:rsidP="001D4BA5">
      <w:pPr>
        <w:pStyle w:val="Akapitzlist"/>
        <w:numPr>
          <w:ilvl w:val="0"/>
          <w:numId w:val="21"/>
        </w:numPr>
      </w:pPr>
      <w:r>
        <w:t>przyjęciu rozporządzenia wykonawczego do ustawy – Prawo budowlane w sprawie warunków technicznych i usytuowania stacji tankowania wodoru,</w:t>
      </w:r>
    </w:p>
    <w:p w14:paraId="37D0E6EF" w14:textId="58C766AA" w:rsidR="00E75BB8" w:rsidRDefault="00E75BB8" w:rsidP="001D4BA5">
      <w:pPr>
        <w:pStyle w:val="Akapitzlist"/>
        <w:numPr>
          <w:ilvl w:val="0"/>
          <w:numId w:val="21"/>
        </w:numPr>
      </w:pPr>
      <w:r>
        <w:t>przyjęciu rozporządzenia wykonawczego do ustawy – Prawo budowlane w sprawie warunków technicznych i usytuowania dla sieci wodorowych, instalacji magazynowania wodoru i dla instalacji towarzyszących.</w:t>
      </w:r>
    </w:p>
    <w:p w14:paraId="55845152" w14:textId="69E0E733" w:rsidR="00EA46A1" w:rsidRPr="00F12C9E" w:rsidRDefault="00EA46A1" w:rsidP="00EA46A1">
      <w:pPr>
        <w:pStyle w:val="Nagwek6"/>
      </w:pPr>
      <w:bookmarkStart w:id="403" w:name="_Ref157429352"/>
      <w:bookmarkStart w:id="404" w:name="_Hlk173432330"/>
      <w:r w:rsidRPr="00F12C9E">
        <w:t xml:space="preserve">Działanie </w:t>
      </w:r>
      <w:r w:rsidR="005C2642">
        <w:fldChar w:fldCharType="begin"/>
      </w:r>
      <w:r w:rsidR="005C2642">
        <w:instrText xml:space="preserve"> SEQ Działanie \* ARABIC </w:instrText>
      </w:r>
      <w:r w:rsidR="005C2642">
        <w:fldChar w:fldCharType="separate"/>
      </w:r>
      <w:r w:rsidR="00DD3929">
        <w:rPr>
          <w:noProof/>
        </w:rPr>
        <w:t>112</w:t>
      </w:r>
      <w:r w:rsidR="005C2642">
        <w:rPr>
          <w:noProof/>
        </w:rPr>
        <w:fldChar w:fldCharType="end"/>
      </w:r>
      <w:r w:rsidRPr="00F12C9E">
        <w:t>. Rozwój infrastruktury wodorowej.</w:t>
      </w:r>
      <w:bookmarkEnd w:id="403"/>
    </w:p>
    <w:p w14:paraId="50309BB8" w14:textId="48AA06D7" w:rsidR="00EA46A1" w:rsidRDefault="00EA46A1" w:rsidP="00EA46A1">
      <w:r w:rsidRPr="009F0F44">
        <w:t xml:space="preserve">Działania mają na celu wspieranie inwestycji dotyczących rozwoju infrastruktury wodorowej </w:t>
      </w:r>
      <w:r>
        <w:t>zaró</w:t>
      </w:r>
      <w:r>
        <w:fldChar w:fldCharType="begin"/>
      </w:r>
      <w:r>
        <w:instrText xml:space="preserve"> LISTNUM </w:instrText>
      </w:r>
      <w:r>
        <w:fldChar w:fldCharType="end"/>
      </w:r>
      <w:r>
        <w:t>wno przesyłowej, magazynowej, jak i produkcyjnej, w tym</w:t>
      </w:r>
      <w:r w:rsidRPr="009F0F44">
        <w:t xml:space="preserve"> m.in.: elektrolizerów, ogniw paliwowych, dyspensorów.</w:t>
      </w:r>
    </w:p>
    <w:p w14:paraId="26606944" w14:textId="2206BFD6" w:rsidR="0084678D" w:rsidRDefault="0084678D" w:rsidP="0084678D">
      <w:pPr>
        <w:pStyle w:val="Nagwek6"/>
      </w:pPr>
      <w:bookmarkStart w:id="405" w:name="_Ref159312851"/>
      <w:bookmarkEnd w:id="404"/>
      <w:r>
        <w:t xml:space="preserve">Działanie </w:t>
      </w:r>
      <w:r w:rsidR="005C2642">
        <w:fldChar w:fldCharType="begin"/>
      </w:r>
      <w:r w:rsidR="005C2642">
        <w:instrText xml:space="preserve"> SEQ Działanie \* ARABIC </w:instrText>
      </w:r>
      <w:r w:rsidR="005C2642">
        <w:fldChar w:fldCharType="separate"/>
      </w:r>
      <w:r w:rsidR="00DD3929">
        <w:rPr>
          <w:noProof/>
        </w:rPr>
        <w:t>113</w:t>
      </w:r>
      <w:r w:rsidR="005C2642">
        <w:rPr>
          <w:noProof/>
        </w:rPr>
        <w:fldChar w:fldCharType="end"/>
      </w:r>
      <w:r>
        <w:t xml:space="preserve">. </w:t>
      </w:r>
      <w:r w:rsidRPr="0084678D">
        <w:t>Wsparcie dla realizacji Nordycko-Bałtyckiego Korytarza Wodorowego oraz innej infrastruktury do przesyłu wodoru o charakterze transgranicznym</w:t>
      </w:r>
      <w:r>
        <w:t>.</w:t>
      </w:r>
      <w:bookmarkEnd w:id="405"/>
    </w:p>
    <w:p w14:paraId="127F9D82" w14:textId="62C22735" w:rsidR="0084678D" w:rsidRDefault="0084678D" w:rsidP="0084678D">
      <w:r>
        <w:t xml:space="preserve">Polska będzie </w:t>
      </w:r>
      <w:r w:rsidR="00780E77">
        <w:t>ws</w:t>
      </w:r>
      <w:r w:rsidRPr="0084678D">
        <w:t>p</w:t>
      </w:r>
      <w:r>
        <w:t>ierać</w:t>
      </w:r>
      <w:r w:rsidRPr="0084678D">
        <w:t xml:space="preserve"> projekt</w:t>
      </w:r>
      <w:r>
        <w:t xml:space="preserve"> polegający na budowie korytarza </w:t>
      </w:r>
      <w:r w:rsidR="00D84831">
        <w:t>przesyłu wodoru</w:t>
      </w:r>
      <w:r>
        <w:t xml:space="preserve"> przebiegającego przez kraje nordyckie i </w:t>
      </w:r>
      <w:r w:rsidR="00780E77">
        <w:t>b</w:t>
      </w:r>
      <w:r>
        <w:t>asen Morza</w:t>
      </w:r>
      <w:r w:rsidRPr="0084678D">
        <w:t xml:space="preserve"> </w:t>
      </w:r>
      <w:r>
        <w:t xml:space="preserve">Bałtyckiego </w:t>
      </w:r>
      <w:r w:rsidRPr="0084678D">
        <w:t>na szczeblu rządowym</w:t>
      </w:r>
      <w:r>
        <w:t>. Działanie będzie</w:t>
      </w:r>
      <w:r w:rsidRPr="0084678D">
        <w:t xml:space="preserve"> polega</w:t>
      </w:r>
      <w:r>
        <w:t>ć</w:t>
      </w:r>
      <w:r w:rsidRPr="0084678D">
        <w:t xml:space="preserve"> na podpisaniu listów poparcia i listów polecających wyrażających zainteresowanie Polski w realizacji </w:t>
      </w:r>
      <w:r>
        <w:t xml:space="preserve">tego i ewentualnych innych </w:t>
      </w:r>
      <w:r w:rsidRPr="0084678D">
        <w:t>projekt</w:t>
      </w:r>
      <w:r>
        <w:t>ów</w:t>
      </w:r>
      <w:r w:rsidR="00780E77" w:rsidRPr="00780E77">
        <w:t xml:space="preserve"> </w:t>
      </w:r>
      <w:r w:rsidR="00780E77">
        <w:t>transgranicznych</w:t>
      </w:r>
      <w:r>
        <w:t xml:space="preserve">, w przypadku ich oceny jako zasadnych dla Polski. </w:t>
      </w:r>
      <w:r w:rsidR="00183760">
        <w:t>W</w:t>
      </w:r>
      <w:r w:rsidR="00780E77">
        <w:t> </w:t>
      </w:r>
      <w:r w:rsidR="00183760">
        <w:t xml:space="preserve">połowie 2024 r. projekt był na etapie opracowania wstępnego studium wykonalności. </w:t>
      </w:r>
    </w:p>
    <w:p w14:paraId="22E8769F" w14:textId="56E14760" w:rsidR="0084678D" w:rsidRDefault="0084678D" w:rsidP="006E5CE5">
      <w:pPr>
        <w:pStyle w:val="Nagwek6"/>
      </w:pPr>
      <w:bookmarkStart w:id="406" w:name="_Ref159316111"/>
      <w:r>
        <w:t xml:space="preserve">Działanie </w:t>
      </w:r>
      <w:r w:rsidR="005C2642">
        <w:fldChar w:fldCharType="begin"/>
      </w:r>
      <w:r w:rsidR="005C2642">
        <w:instrText xml:space="preserve"> SEQ Działanie \* ARABIC </w:instrText>
      </w:r>
      <w:r w:rsidR="005C2642">
        <w:fldChar w:fldCharType="separate"/>
      </w:r>
      <w:r w:rsidR="00DD3929">
        <w:rPr>
          <w:noProof/>
        </w:rPr>
        <w:t>114</w:t>
      </w:r>
      <w:r w:rsidR="005C2642">
        <w:rPr>
          <w:noProof/>
        </w:rPr>
        <w:fldChar w:fldCharType="end"/>
      </w:r>
      <w:r>
        <w:t xml:space="preserve">. </w:t>
      </w:r>
      <w:r w:rsidRPr="0084678D">
        <w:t>Wsparcie dla realizacji „Programu rozwoju magazynowania wodoru w</w:t>
      </w:r>
      <w:r w:rsidR="006E5CE5">
        <w:t> </w:t>
      </w:r>
      <w:r w:rsidRPr="0084678D">
        <w:t>kawernach solnych dla wzmocnienia krytycznej infrastruktury Polski”</w:t>
      </w:r>
      <w:r>
        <w:t>.</w:t>
      </w:r>
      <w:bookmarkEnd w:id="406"/>
    </w:p>
    <w:p w14:paraId="692ED21D" w14:textId="491074B0" w:rsidR="0084678D" w:rsidRDefault="0084678D" w:rsidP="0084678D">
      <w:r>
        <w:t xml:space="preserve">Działanie oparte na programie Gospostrateg, zamawianym w </w:t>
      </w:r>
      <w:r w:rsidR="006E5CE5">
        <w:t>Narodowym</w:t>
      </w:r>
      <w:r>
        <w:t xml:space="preserve"> Centrum Badań i Rozwoju, które zapewnia wsparcie finansowanie dla inicjatywy. </w:t>
      </w:r>
      <w:r w:rsidR="00780E77">
        <w:t>Działanie ma na celu zmapowanie potencjału technicznego magazynowania wodoru w kawernach solnych</w:t>
      </w:r>
      <w:r w:rsidR="005059CD">
        <w:t xml:space="preserve">. Tego typu naturalne zbiorniki są wykorzystywane także do magazynowania innych surowców. Naturalny charakter kawern powoduje, że są atrakcyjnym rozwiązaniem, lecz niezbędne są pogłębione działania. </w:t>
      </w:r>
    </w:p>
    <w:p w14:paraId="6DFE39A9" w14:textId="58BE7A39" w:rsidR="003D0AFE" w:rsidRDefault="00CB16D4" w:rsidP="004C4C9A">
      <w:pPr>
        <w:pStyle w:val="Nagwek6"/>
      </w:pPr>
      <w:bookmarkStart w:id="407" w:name="_Ref160030796"/>
      <w:r w:rsidRPr="004C4C9A">
        <w:t xml:space="preserve">Działanie </w:t>
      </w:r>
      <w:r w:rsidR="005C2642">
        <w:fldChar w:fldCharType="begin"/>
      </w:r>
      <w:r w:rsidR="005C2642">
        <w:instrText xml:space="preserve"> SEQ Działanie \* ARABIC </w:instrText>
      </w:r>
      <w:r w:rsidR="005C2642">
        <w:fldChar w:fldCharType="separate"/>
      </w:r>
      <w:r w:rsidR="00DD3929">
        <w:rPr>
          <w:noProof/>
        </w:rPr>
        <w:t>115</w:t>
      </w:r>
      <w:r w:rsidR="005C2642">
        <w:rPr>
          <w:noProof/>
        </w:rPr>
        <w:fldChar w:fldCharType="end"/>
      </w:r>
      <w:r w:rsidRPr="004C4C9A">
        <w:t>.</w:t>
      </w:r>
      <w:r>
        <w:rPr>
          <w:i/>
          <w:iCs/>
        </w:rPr>
        <w:t xml:space="preserve"> </w:t>
      </w:r>
      <w:r w:rsidR="00183760">
        <w:t>Z</w:t>
      </w:r>
      <w:r w:rsidRPr="00CB16D4">
        <w:t>apewnienie sprawnie funkcjonującej logistyki dostaw paliw, wspieranie rozwoju infrastruktury przeładunkowej, przesyłowej i magazynowej</w:t>
      </w:r>
      <w:r w:rsidR="00AF4F26">
        <w:t xml:space="preserve"> oraz </w:t>
      </w:r>
      <w:r w:rsidRPr="00CB16D4">
        <w:t>działań zmierzających do przedłużenia systemu Europejskiej Sieci Rurociągów Paliwowych (CEPS – Central Europe Pipeline System) do Polski.</w:t>
      </w:r>
      <w:bookmarkEnd w:id="407"/>
    </w:p>
    <w:p w14:paraId="4468B519" w14:textId="1F3C19F6" w:rsidR="004C4C9A" w:rsidRPr="004C4C9A" w:rsidRDefault="009F6AA1" w:rsidP="004C4C9A">
      <w:r w:rsidRPr="008B0B94">
        <w:t>Działanie polega na wspieraniu inwestycji w ramach: utrzymania sprawnego zaplecza logistycznego z</w:t>
      </w:r>
      <w:r w:rsidR="00AF4F26">
        <w:t> </w:t>
      </w:r>
      <w:r w:rsidRPr="008B0B94">
        <w:t>systemami państw sąsiadujących (Niemcy, Czechy, Słowacja, Ukraina, Litwa) oraz morskimi terminalami paliwowymi; zapewnienie funkcjonowania oraz rozwój zdolności przeładunkowych morskich terminali paliwowych (również w zakresie LPG) w Szczecinie, Świnoujściu, Gdańsku oraz Gdyni</w:t>
      </w:r>
      <w:r w:rsidR="00ED75E8">
        <w:t>,</w:t>
      </w:r>
      <w:r w:rsidRPr="008B0B94">
        <w:t xml:space="preserve"> włącznie z bazą wydawczą w Dębogórzu; rozbudowę pojemności baz paliw tj. budowę nowych zbiorników na paliwa w</w:t>
      </w:r>
      <w:r>
        <w:t> </w:t>
      </w:r>
      <w:r w:rsidRPr="008B0B94">
        <w:t>bazach magazynowych, przedłużeni</w:t>
      </w:r>
      <w:r w:rsidR="00ED75E8">
        <w:t>e</w:t>
      </w:r>
      <w:r w:rsidRPr="008B0B94">
        <w:t xml:space="preserve"> systemu rurociągów paliwowych CEPS do Polski</w:t>
      </w:r>
      <w:r>
        <w:t>.</w:t>
      </w:r>
    </w:p>
    <w:p w14:paraId="53DD9EEC" w14:textId="443642F8" w:rsidR="00CB16D4" w:rsidRDefault="00CB16D4" w:rsidP="004C4C9A">
      <w:pPr>
        <w:pStyle w:val="Nagwek6"/>
      </w:pPr>
      <w:bookmarkStart w:id="408" w:name="_Ref160030451"/>
      <w:r w:rsidRPr="00CB16D4">
        <w:t xml:space="preserve">Działanie </w:t>
      </w:r>
      <w:r w:rsidR="005C2642">
        <w:fldChar w:fldCharType="begin"/>
      </w:r>
      <w:r w:rsidR="005C2642">
        <w:instrText xml:space="preserve"> SEQ Działanie \* ARABIC </w:instrText>
      </w:r>
      <w:r w:rsidR="005C2642">
        <w:fldChar w:fldCharType="separate"/>
      </w:r>
      <w:r w:rsidR="00DD3929">
        <w:rPr>
          <w:noProof/>
        </w:rPr>
        <w:t>116</w:t>
      </w:r>
      <w:r w:rsidR="005C2642">
        <w:rPr>
          <w:noProof/>
        </w:rPr>
        <w:fldChar w:fldCharType="end"/>
      </w:r>
      <w:r w:rsidRPr="00CB16D4">
        <w:t>.</w:t>
      </w:r>
      <w:r>
        <w:t xml:space="preserve"> </w:t>
      </w:r>
      <w:r w:rsidRPr="00CB16D4">
        <w:t>Monitorowanie potrzeb magazynowych w zakresie ropy naftowej i paliw ciekłych.</w:t>
      </w:r>
      <w:bookmarkEnd w:id="408"/>
    </w:p>
    <w:p w14:paraId="72A7A68C" w14:textId="62DCE065" w:rsidR="004C4C9A" w:rsidRPr="004C4C9A" w:rsidRDefault="009F6AA1" w:rsidP="004C4C9A">
      <w:bookmarkStart w:id="409" w:name="_Hlk159926772"/>
      <w:r w:rsidRPr="009F6AA1">
        <w:t>Działanie jest realizowane na podstawie opracowywanej przez Rządową Agencję Rezerw Strategicznych prognozy krajowego zapotrzebowania na pojemności magazynowe dla zapasów interwencyjnych i</w:t>
      </w:r>
      <w:r>
        <w:t> </w:t>
      </w:r>
      <w:r w:rsidRPr="009F6AA1">
        <w:t>handlowych paliw i ropy naftowej na okres 10 lat, która jest aktualizowana cyklicznie co 2 lata. Celem</w:t>
      </w:r>
      <w:r>
        <w:t> </w:t>
      </w:r>
      <w:r w:rsidRPr="009F6AA1">
        <w:t>działania jest zapewnienie odpowiednich podstaw dla decyzji inwestorskich, co jest niezwykle istotne dla zapewnienia właściwego prognozowania potrzeb sektora rafineryjnego.</w:t>
      </w:r>
    </w:p>
    <w:p w14:paraId="5C2A7119" w14:textId="0D736D46" w:rsidR="00CB16D4" w:rsidRDefault="008057CE" w:rsidP="004C4C9A">
      <w:pPr>
        <w:pStyle w:val="Nagwek6"/>
      </w:pPr>
      <w:bookmarkStart w:id="410" w:name="_Ref160030461"/>
      <w:bookmarkEnd w:id="409"/>
      <w:r w:rsidRPr="008057CE">
        <w:t xml:space="preserve">Działanie </w:t>
      </w:r>
      <w:r w:rsidR="005C2642">
        <w:fldChar w:fldCharType="begin"/>
      </w:r>
      <w:r w:rsidR="005C2642">
        <w:instrText xml:space="preserve"> SEQ Działanie \* ARABIC </w:instrText>
      </w:r>
      <w:r w:rsidR="005C2642">
        <w:fldChar w:fldCharType="separate"/>
      </w:r>
      <w:r w:rsidR="00DD3929">
        <w:rPr>
          <w:noProof/>
        </w:rPr>
        <w:t>117</w:t>
      </w:r>
      <w:r w:rsidR="005C2642">
        <w:rPr>
          <w:noProof/>
        </w:rPr>
        <w:fldChar w:fldCharType="end"/>
      </w:r>
      <w:r w:rsidRPr="008057CE">
        <w:t>.</w:t>
      </w:r>
      <w:r>
        <w:t xml:space="preserve"> </w:t>
      </w:r>
      <w:r w:rsidRPr="008057CE">
        <w:t>Wsparcie inwestycji mających na celu dywersyfikację oraz zwiększenie dostaw ropy naftowej, w tym m.in. zwiększenie możliwości przeładunkowych Naftoportu, budowę II nitki rurociągu „Pomorskiego”.</w:t>
      </w:r>
      <w:bookmarkEnd w:id="410"/>
    </w:p>
    <w:p w14:paraId="231E677F" w14:textId="651BCB27" w:rsidR="004C4C9A" w:rsidRPr="004C4C9A" w:rsidRDefault="009F6AA1" w:rsidP="004C4C9A">
      <w:r w:rsidRPr="009F6AA1">
        <w:t>Działanie mające na celu zapewnienia nieprzerwanych dostaw ropy naftowej będzie realizowan</w:t>
      </w:r>
      <w:r w:rsidR="00ED75E8">
        <w:t>e</w:t>
      </w:r>
      <w:r w:rsidRPr="009F6AA1">
        <w:t xml:space="preserve"> przez: zapewnienie funkcjonowania oraz rozwój zdolności przeładunkowych Naftoportu w Gdańsku a także zapewnienie odpowiednio rozwiniętej i sprawnej infrastruktury przesyłowej wewnątrz kraju, w tym jej rozbudowę poprzez budowę II nitki rurociągu Pomorskiego.</w:t>
      </w:r>
    </w:p>
    <w:p w14:paraId="5A3D1099" w14:textId="67EE7E61" w:rsidR="002A6DFA" w:rsidRPr="002A6DFA" w:rsidRDefault="002A6DFA" w:rsidP="00B4077C">
      <w:pPr>
        <w:pStyle w:val="Nagwek6"/>
      </w:pPr>
      <w:bookmarkStart w:id="411" w:name="_Ref159313085"/>
      <w:r w:rsidRPr="00BA3E0C">
        <w:t xml:space="preserve">Działanie </w:t>
      </w:r>
      <w:r w:rsidR="005C2642">
        <w:fldChar w:fldCharType="begin"/>
      </w:r>
      <w:r w:rsidR="005C2642">
        <w:instrText xml:space="preserve"> SEQ Działanie \* ARABIC </w:instrText>
      </w:r>
      <w:r w:rsidR="005C2642">
        <w:fldChar w:fldCharType="separate"/>
      </w:r>
      <w:r w:rsidR="00DD3929">
        <w:rPr>
          <w:noProof/>
        </w:rPr>
        <w:t>118</w:t>
      </w:r>
      <w:r w:rsidR="005C2642">
        <w:rPr>
          <w:noProof/>
        </w:rPr>
        <w:fldChar w:fldCharType="end"/>
      </w:r>
      <w:r w:rsidRPr="00BA3E0C">
        <w:t>.</w:t>
      </w:r>
      <w:r>
        <w:t xml:space="preserve"> </w:t>
      </w:r>
      <w:r w:rsidRPr="00BA3E0C">
        <w:t>Instrument finansowy – Rynek mocy.</w:t>
      </w:r>
      <w:bookmarkEnd w:id="402"/>
      <w:bookmarkEnd w:id="411"/>
    </w:p>
    <w:p w14:paraId="73B2B47E" w14:textId="5A2BBCD3" w:rsidR="002A6DFA" w:rsidRDefault="002A6DFA" w:rsidP="002A6DFA">
      <w:r w:rsidRPr="009F0F44">
        <w:t xml:space="preserve">Działanie mające na celu zapewnienie bezpieczeństwa energetycznego Polski, a także ciągłości dostaw </w:t>
      </w:r>
      <w:r w:rsidR="00E410E0">
        <w:t xml:space="preserve">energii </w:t>
      </w:r>
      <w:r w:rsidR="00A230B1">
        <w:t>elekt</w:t>
      </w:r>
      <w:r w:rsidR="009C5290">
        <w:t>r</w:t>
      </w:r>
      <w:r w:rsidR="00A230B1">
        <w:t>ycznej</w:t>
      </w:r>
      <w:r w:rsidRPr="009F0F44">
        <w:t xml:space="preserve"> do wszystkich odbiorców. Polega ono na zapewnieniu możliwości uzyskania – w</w:t>
      </w:r>
      <w:r w:rsidR="00A230B1">
        <w:t> </w:t>
      </w:r>
      <w:r w:rsidRPr="009F0F44">
        <w:t xml:space="preserve">konkurencyjnych aukcjach – kontraktów przez dostawców mocy w zamian za zapewnienie dostępności mocy i dostarczanie energii elektrycznej w sytuacji zagrożenia bezpieczeństwa systemu energetycznego. Jest odrębnym segmentem dwutowarowego rynku energii elektrycznej (obok rynku energii).  </w:t>
      </w:r>
    </w:p>
    <w:p w14:paraId="194F9ABF" w14:textId="58F15F44" w:rsidR="00DE3F08" w:rsidRDefault="00DE3F08" w:rsidP="00DE3F08">
      <w:pPr>
        <w:pStyle w:val="Nagwek6"/>
      </w:pPr>
      <w:bookmarkStart w:id="412" w:name="_Ref159310020"/>
      <w:r w:rsidRPr="00BA3E0C">
        <w:t xml:space="preserve">Działanie </w:t>
      </w:r>
      <w:r w:rsidR="005C2642">
        <w:fldChar w:fldCharType="begin"/>
      </w:r>
      <w:r w:rsidR="005C2642">
        <w:instrText xml:space="preserve"> SEQ Działanie \* ARABIC </w:instrText>
      </w:r>
      <w:r w:rsidR="005C2642">
        <w:fldChar w:fldCharType="separate"/>
      </w:r>
      <w:r w:rsidR="00DD3929">
        <w:rPr>
          <w:noProof/>
        </w:rPr>
        <w:t>119</w:t>
      </w:r>
      <w:r w:rsidR="005C2642">
        <w:rPr>
          <w:noProof/>
        </w:rPr>
        <w:fldChar w:fldCharType="end"/>
      </w:r>
      <w:r w:rsidRPr="00BA3E0C">
        <w:t>.</w:t>
      </w:r>
      <w:r>
        <w:t xml:space="preserve"> Wdrażanie wielkoskalowej energetyki jądrowej.</w:t>
      </w:r>
      <w:bookmarkEnd w:id="412"/>
    </w:p>
    <w:p w14:paraId="049F6870" w14:textId="77777777" w:rsidR="00CF1B24" w:rsidRPr="009F0F44" w:rsidRDefault="00DE3F08" w:rsidP="00CF1B24">
      <w:r w:rsidRPr="00DE3F08">
        <w:t xml:space="preserve">Działanie polega na zapewnieniu warunków uruchomienia wielkoskalowej energetyki jądrowej w tym m.in.: przygotowanie regulacji, rozwój zasobów ludzkich, zakończenie prac nad modelem finansowania, budowanie świadomości, realizowanych zgodnie z </w:t>
      </w:r>
      <w:r w:rsidRPr="00AF4F26">
        <w:rPr>
          <w:i/>
          <w:iCs/>
        </w:rPr>
        <w:t>Programem polskiej energetyki jądrowej</w:t>
      </w:r>
      <w:r w:rsidRPr="00DE3F08">
        <w:t xml:space="preserve"> (PPEJ).  </w:t>
      </w:r>
      <w:r w:rsidR="00CF1B24">
        <w:t>Obecnie program ten przewiduje</w:t>
      </w:r>
      <w:r w:rsidR="00CF1B24" w:rsidRPr="00DE3F08">
        <w:t xml:space="preserve"> uruchomienie w Polsce jądrowych bloków energetycznych o łącznej mocy netto 6-9 GW w sześciu blokach, zlokalizowanych w dwóch elektrowniach jądrowych – sukcesywnie w latach 2033-2037 (EJ1) i 2039-2043 (EJ2)</w:t>
      </w:r>
      <w:r w:rsidR="00CF1B24">
        <w:t>, ale będzie on podlegał aktualizacji</w:t>
      </w:r>
      <w:r w:rsidR="00CF1B24" w:rsidRPr="00DE3F08">
        <w:t>. Podjęte działania zapewnią także możliwość prywatnych inwestycji w</w:t>
      </w:r>
      <w:r w:rsidR="00CF1B24">
        <w:t> </w:t>
      </w:r>
      <w:r w:rsidR="00CF1B24" w:rsidRPr="00DE3F08">
        <w:t>wielkoskalową energetykę jądrową</w:t>
      </w:r>
      <w:r w:rsidR="00CF1B24">
        <w:t>.</w:t>
      </w:r>
    </w:p>
    <w:p w14:paraId="148F07D8" w14:textId="7823F8B0" w:rsidR="00DE3F08" w:rsidRPr="009F0F44" w:rsidRDefault="00DE3F08" w:rsidP="002A6DFA"/>
    <w:p w14:paraId="7FED3969" w14:textId="6BAF160E" w:rsidR="002A6DFA" w:rsidRPr="00570679" w:rsidRDefault="002A6DFA" w:rsidP="00570679">
      <w:pPr>
        <w:pStyle w:val="Nagwek6"/>
      </w:pPr>
      <w:bookmarkStart w:id="413" w:name="_Ref157434814"/>
      <w:r w:rsidRPr="00570679">
        <w:t xml:space="preserve">Działanie </w:t>
      </w:r>
      <w:r w:rsidR="005C2642">
        <w:fldChar w:fldCharType="begin"/>
      </w:r>
      <w:r w:rsidR="005C2642">
        <w:instrText xml:space="preserve"> SEQ Działanie \* ARABIC </w:instrText>
      </w:r>
      <w:r w:rsidR="005C2642">
        <w:fldChar w:fldCharType="separate"/>
      </w:r>
      <w:r w:rsidR="00DD3929">
        <w:rPr>
          <w:noProof/>
        </w:rPr>
        <w:t>120</w:t>
      </w:r>
      <w:r w:rsidR="005C2642">
        <w:rPr>
          <w:noProof/>
        </w:rPr>
        <w:fldChar w:fldCharType="end"/>
      </w:r>
      <w:r w:rsidRPr="00570679">
        <w:t xml:space="preserve">. Efektywna gospodarka surowcami </w:t>
      </w:r>
      <w:r w:rsidR="00DF4ECE">
        <w:t>ważnymi dla krajowej i unijnej gospodarki</w:t>
      </w:r>
      <w:r w:rsidRPr="00570679">
        <w:t>.</w:t>
      </w:r>
      <w:bookmarkEnd w:id="413"/>
    </w:p>
    <w:p w14:paraId="2D12E34A" w14:textId="48FC1983" w:rsidR="00D15C73" w:rsidRPr="009F0F44" w:rsidRDefault="00D15C73" w:rsidP="00D15C73">
      <w:r>
        <w:t>Sprawna i efektywna realizacja Polityki Surowcowej Państwa 2050, która ma na celu zapewnienie bezpieczeństwa surowcowego kraju poprzez m.in.</w:t>
      </w:r>
      <w:r w:rsidRPr="009F0F44">
        <w:t xml:space="preserve"> zapewnienie dostępu do surowców </w:t>
      </w:r>
      <w:r>
        <w:t>ważnych dla krajowej i unijnej gospodarki (m.in. surowców strategicznych i krytycznych)</w:t>
      </w:r>
      <w:r w:rsidRPr="009F0F44">
        <w:t xml:space="preserve">, poszukiwanie, rozpoznawanie oraz dokumentowanie złóż </w:t>
      </w:r>
      <w:r>
        <w:t>kopalin</w:t>
      </w:r>
      <w:r w:rsidRPr="009F0F44">
        <w:t>, wspieranie rozwoju gospodarki o obiegu zamkniętym</w:t>
      </w:r>
      <w:r>
        <w:t xml:space="preserve"> oraz rozwój współpracy międzynarodowej w zakresie geologii i surowców mineralnych. </w:t>
      </w:r>
    </w:p>
    <w:p w14:paraId="23C8720A" w14:textId="0323208D" w:rsidR="002A6DFA" w:rsidRPr="00570679" w:rsidRDefault="002A6DFA" w:rsidP="00570679">
      <w:pPr>
        <w:pStyle w:val="Nagwek6"/>
      </w:pPr>
      <w:bookmarkStart w:id="414" w:name="_Hlk157421982"/>
      <w:bookmarkStart w:id="415" w:name="_Ref157436008"/>
      <w:r w:rsidRPr="00570679">
        <w:t xml:space="preserve">Działanie </w:t>
      </w:r>
      <w:r w:rsidR="005C2642">
        <w:fldChar w:fldCharType="begin"/>
      </w:r>
      <w:r w:rsidR="005C2642">
        <w:instrText xml:space="preserve"> SEQ Działanie \* ARABIC </w:instrText>
      </w:r>
      <w:r w:rsidR="005C2642">
        <w:fldChar w:fldCharType="separate"/>
      </w:r>
      <w:r w:rsidR="00DD3929">
        <w:rPr>
          <w:noProof/>
        </w:rPr>
        <w:t>121</w:t>
      </w:r>
      <w:r w:rsidR="005C2642">
        <w:rPr>
          <w:noProof/>
        </w:rPr>
        <w:fldChar w:fldCharType="end"/>
      </w:r>
      <w:r w:rsidRPr="00570679">
        <w:t xml:space="preserve">. </w:t>
      </w:r>
      <w:bookmarkEnd w:id="414"/>
      <w:r w:rsidRPr="00570679">
        <w:t>Wzmacnianie cyberbezpieczeństwa w sektorze energii.</w:t>
      </w:r>
      <w:bookmarkEnd w:id="415"/>
    </w:p>
    <w:p w14:paraId="2EC6FC4B" w14:textId="33D8959F" w:rsidR="002A6DFA" w:rsidRPr="002A6DFA" w:rsidRDefault="002A6DFA" w:rsidP="002A6DFA">
      <w:r w:rsidRPr="009F0F44">
        <w:t xml:space="preserve">Działania w tym zakresie to </w:t>
      </w:r>
      <w:r w:rsidR="0063732D">
        <w:t>m.in.</w:t>
      </w:r>
      <w:r w:rsidRPr="009F0F44">
        <w:t>: zwiększanie świadomości i edukacja, wdrażanie odpowiednich protokołów bezpieczeństwa, monitoring i wykrywanie zagrożeń, tworzenie planów awaryjnych i</w:t>
      </w:r>
      <w:r w:rsidR="00A230B1">
        <w:t> </w:t>
      </w:r>
      <w:r w:rsidRPr="009F0F44">
        <w:t>odzyskiwania, zabezpieczenie systemów kontroli systemowego.</w:t>
      </w:r>
    </w:p>
    <w:p w14:paraId="22C985DD" w14:textId="5F1410C0" w:rsidR="002A6DFA" w:rsidRPr="00570679" w:rsidRDefault="003E673D" w:rsidP="00570679">
      <w:pPr>
        <w:pStyle w:val="Nagwek6"/>
      </w:pPr>
      <w:bookmarkStart w:id="416" w:name="_Ref157437817"/>
      <w:r w:rsidRPr="00570679">
        <w:t xml:space="preserve">Działanie </w:t>
      </w:r>
      <w:r w:rsidR="005C2642">
        <w:fldChar w:fldCharType="begin"/>
      </w:r>
      <w:r w:rsidR="005C2642">
        <w:instrText xml:space="preserve"> SEQ Działanie \* ARABIC </w:instrText>
      </w:r>
      <w:r w:rsidR="005C2642">
        <w:fldChar w:fldCharType="separate"/>
      </w:r>
      <w:r w:rsidR="00DD3929">
        <w:rPr>
          <w:noProof/>
        </w:rPr>
        <w:t>122</w:t>
      </w:r>
      <w:r w:rsidR="005C2642">
        <w:rPr>
          <w:noProof/>
        </w:rPr>
        <w:fldChar w:fldCharType="end"/>
      </w:r>
      <w:r w:rsidRPr="00570679">
        <w:t xml:space="preserve">. </w:t>
      </w:r>
      <w:r w:rsidR="002A6DFA" w:rsidRPr="00570679">
        <w:t>Działania w zakresie zwiększenia elastyczności systemu energetycznego w odniesieniu do wytwarzania energii ze źródeł odnawialnych</w:t>
      </w:r>
      <w:r w:rsidR="00D37832">
        <w:t xml:space="preserve"> i dostosowania się do przewidywanych zmian KSE</w:t>
      </w:r>
      <w:r w:rsidR="002A6DFA" w:rsidRPr="00570679">
        <w:t>.</w:t>
      </w:r>
      <w:bookmarkEnd w:id="416"/>
    </w:p>
    <w:p w14:paraId="2821471A" w14:textId="28FDFE89" w:rsidR="002A6DFA" w:rsidRDefault="00A230B1" w:rsidP="002A6DFA">
      <w:r w:rsidRPr="00A230B1">
        <w:t>Zapewnienie odpowiednich rozwiązań prawnych oraz opracowanie koncepcji mechanizmów rynkowej integracji OZE w związku z wyzwaniami rosnącej produkcji i mocy zainstalowanej w KSE, w tym usługi rynkowe świadczone przez OZE, uwzględnienie lokalizacji OZE w sieci, współpraca OZE z magazynami oraz usługi wpływające na bilansowanie systemu elektroenergetycznego i warunki funkcjonowania sieci elektroenergetycznej</w:t>
      </w:r>
      <w:r w:rsidR="002A6DFA" w:rsidRPr="009F0F44">
        <w:t>.</w:t>
      </w:r>
    </w:p>
    <w:p w14:paraId="0169C817" w14:textId="09189F5F" w:rsidR="00A230B1" w:rsidRDefault="00A230B1" w:rsidP="00A230B1">
      <w:pPr>
        <w:pStyle w:val="Nagwek6"/>
      </w:pPr>
      <w:bookmarkStart w:id="417" w:name="_Ref159501012"/>
      <w:r w:rsidRPr="00570679">
        <w:t xml:space="preserve">Działanie </w:t>
      </w:r>
      <w:r w:rsidR="005C2642">
        <w:fldChar w:fldCharType="begin"/>
      </w:r>
      <w:r w:rsidR="005C2642">
        <w:instrText xml:space="preserve"> SEQ Działanie \* ARABIC </w:instrText>
      </w:r>
      <w:r w:rsidR="005C2642">
        <w:fldChar w:fldCharType="separate"/>
      </w:r>
      <w:r w:rsidR="00DD3929">
        <w:rPr>
          <w:noProof/>
        </w:rPr>
        <w:t>123</w:t>
      </w:r>
      <w:r w:rsidR="005C2642">
        <w:rPr>
          <w:noProof/>
        </w:rPr>
        <w:fldChar w:fldCharType="end"/>
      </w:r>
      <w:r w:rsidRPr="00570679">
        <w:t xml:space="preserve">. </w:t>
      </w:r>
      <w:r w:rsidRPr="00A230B1">
        <w:t>Zapobieganie i zarządzanie ograniczeniami dostaw energii elektrycznej</w:t>
      </w:r>
      <w:r>
        <w:t>.</w:t>
      </w:r>
      <w:bookmarkEnd w:id="417"/>
    </w:p>
    <w:p w14:paraId="3CCB58DA" w14:textId="382B34B6" w:rsidR="00A230B1" w:rsidRPr="00A230B1" w:rsidRDefault="00A230B1" w:rsidP="00A230B1">
      <w:r w:rsidRPr="00A230B1">
        <w:t>Działanie polega na opracowaniu i aktualizacji krajowych aktów prawnych lub stosowaniu aktów UE odnoszących się do zakłóceń dostaw energii elektrycznej, poprzez przygotowanie przepisów prawnych, dokumentów, planów i procedur zapobiegających, mitygujących lub pozwalających na sprawne zarządzanie w wypadku wystąpienia sytuacji skutkującej ograniczeniami dostaw energii elektrycznej do odbiorców lub sytuacji zaistnienia kryzysu elektroenergetycznego. Dodatkowo działania te będą wsparte poprzez opracowywanie sprawozdania z wyników monitorowania bezpieczeństwa dostaw energii elektrycznej</w:t>
      </w:r>
      <w:r>
        <w:t>.</w:t>
      </w:r>
    </w:p>
    <w:p w14:paraId="515D6388" w14:textId="77777777" w:rsidR="00A230B1" w:rsidRPr="00A230B1" w:rsidRDefault="00A230B1" w:rsidP="00A230B1"/>
    <w:p w14:paraId="5EB5D475" w14:textId="77777777" w:rsidR="00FC190C" w:rsidRDefault="00FC190C"/>
    <w:p w14:paraId="005E1B66" w14:textId="77777777" w:rsidR="00FC190C" w:rsidRDefault="00FC190C">
      <w:pPr>
        <w:sectPr w:rsidR="00FC190C" w:rsidSect="00CE5AEF">
          <w:headerReference w:type="even" r:id="rId91"/>
          <w:headerReference w:type="default" r:id="rId92"/>
          <w:headerReference w:type="first" r:id="rId93"/>
          <w:type w:val="continuous"/>
          <w:pgSz w:w="11906" w:h="16838"/>
          <w:pgMar w:top="1417" w:right="1417" w:bottom="1417" w:left="1417" w:header="708" w:footer="708" w:gutter="0"/>
          <w:cols w:space="708"/>
          <w:titlePg/>
          <w:docGrid w:linePitch="360"/>
        </w:sectPr>
      </w:pPr>
    </w:p>
    <w:p w14:paraId="3E3EEC68" w14:textId="761E16AE" w:rsidR="00FC190C" w:rsidRPr="000029E7" w:rsidRDefault="000029E7" w:rsidP="00DB14D0">
      <w:pPr>
        <w:pStyle w:val="Nagwek2"/>
        <w:rPr>
          <w:color w:val="FFFFFF" w:themeColor="background1"/>
        </w:rPr>
      </w:pPr>
      <w:bookmarkStart w:id="418" w:name="_Hlk159937002"/>
      <w:bookmarkStart w:id="419" w:name="_Toc159598358"/>
      <w:bookmarkStart w:id="420" w:name="_Toc179537011"/>
      <w:r>
        <w:rPr>
          <w:noProof/>
        </w:rPr>
        <mc:AlternateContent>
          <mc:Choice Requires="wps">
            <w:drawing>
              <wp:anchor distT="0" distB="0" distL="114300" distR="114300" simplePos="0" relativeHeight="251626496" behindDoc="0" locked="0" layoutInCell="1" allowOverlap="1" wp14:anchorId="2C94CF08" wp14:editId="4073EA07">
                <wp:simplePos x="0" y="0"/>
                <wp:positionH relativeFrom="margin">
                  <wp:align>center</wp:align>
                </wp:positionH>
                <wp:positionV relativeFrom="paragraph">
                  <wp:posOffset>-604520</wp:posOffset>
                </wp:positionV>
                <wp:extent cx="7019925" cy="2576830"/>
                <wp:effectExtent l="0" t="0" r="9525" b="0"/>
                <wp:wrapNone/>
                <wp:docPr id="622610497" name="Prostokąt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019925" cy="2576830"/>
                        </a:xfrm>
                        <a:prstGeom prst="rect">
                          <a:avLst/>
                        </a:prstGeom>
                        <a:solidFill>
                          <a:srgbClr val="FFC000">
                            <a:alpha val="80000"/>
                          </a:srgbClr>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2EB840FC" w14:textId="52E32F37" w:rsidR="00FC190C" w:rsidRPr="00B6117F" w:rsidRDefault="00FC190C" w:rsidP="00FC190C">
                            <w:pPr>
                              <w:spacing w:after="0"/>
                              <w:ind w:left="851"/>
                              <w:jc w:val="left"/>
                              <w:rPr>
                                <w:rFonts w:ascii="Bahnschrift" w:hAnsi="Bahnschrift"/>
                                <w:color w:val="FFFFFF" w:themeColor="light1"/>
                                <w:kern w:val="24"/>
                                <w:sz w:val="64"/>
                                <w:szCs w:val="64"/>
                              </w:rPr>
                            </w:pPr>
                            <w:r>
                              <w:rPr>
                                <w:rFonts w:ascii="Bahnschrift" w:hAnsi="Bahnschrift"/>
                                <w:color w:val="FFFFFF" w:themeColor="light1"/>
                                <w:kern w:val="24"/>
                                <w:sz w:val="56"/>
                                <w:szCs w:val="56"/>
                              </w:rPr>
                              <w:t xml:space="preserve">Wymiar 4. </w:t>
                            </w:r>
                            <w:r>
                              <w:rPr>
                                <w:rFonts w:ascii="Bahnschrift" w:hAnsi="Bahnschrift"/>
                                <w:color w:val="FFFFFF" w:themeColor="light1"/>
                                <w:kern w:val="24"/>
                                <w:sz w:val="72"/>
                                <w:szCs w:val="72"/>
                              </w:rPr>
                              <w:br/>
                            </w:r>
                            <w:r w:rsidRPr="009F667D">
                              <w:rPr>
                                <w:rFonts w:ascii="Bahnschrift" w:hAnsi="Bahnschrift"/>
                                <w:b/>
                                <w:bCs/>
                                <w:color w:val="FFFFFF" w:themeColor="light1"/>
                                <w:kern w:val="24"/>
                                <w:sz w:val="64"/>
                                <w:szCs w:val="64"/>
                              </w:rPr>
                              <w:t>Wewn</w:t>
                            </w:r>
                            <w:r w:rsidR="00E94579">
                              <w:rPr>
                                <w:rFonts w:ascii="Bahnschrift" w:hAnsi="Bahnschrift"/>
                                <w:b/>
                                <w:bCs/>
                                <w:color w:val="FFFFFF" w:themeColor="light1"/>
                                <w:kern w:val="24"/>
                                <w:sz w:val="64"/>
                                <w:szCs w:val="64"/>
                              </w:rPr>
                              <w:t>ą</w:t>
                            </w:r>
                            <w:r w:rsidRPr="009F667D">
                              <w:rPr>
                                <w:rFonts w:ascii="Bahnschrift" w:hAnsi="Bahnschrift"/>
                                <w:b/>
                                <w:bCs/>
                                <w:color w:val="FFFFFF" w:themeColor="light1"/>
                                <w:kern w:val="24"/>
                                <w:sz w:val="64"/>
                                <w:szCs w:val="64"/>
                              </w:rPr>
                              <w:t>trz</w:t>
                            </w:r>
                            <w:r w:rsidR="009F667D" w:rsidRPr="009F667D">
                              <w:rPr>
                                <w:rFonts w:ascii="Bahnschrift" w:hAnsi="Bahnschrift"/>
                                <w:b/>
                                <w:bCs/>
                                <w:color w:val="FFFFFF" w:themeColor="light1"/>
                                <w:kern w:val="24"/>
                                <w:sz w:val="64"/>
                                <w:szCs w:val="64"/>
                              </w:rPr>
                              <w:t xml:space="preserve">unijny </w:t>
                            </w:r>
                            <w:r w:rsidRPr="009F667D">
                              <w:rPr>
                                <w:rFonts w:ascii="Bahnschrift" w:hAnsi="Bahnschrift"/>
                                <w:b/>
                                <w:bCs/>
                                <w:color w:val="FFFFFF" w:themeColor="light1"/>
                                <w:kern w:val="24"/>
                                <w:sz w:val="64"/>
                                <w:szCs w:val="64"/>
                              </w:rPr>
                              <w:t>rynek energii</w:t>
                            </w:r>
                            <w:r w:rsidR="009F667D" w:rsidRPr="009F667D">
                              <w:rPr>
                                <w:rFonts w:ascii="Bahnschrift" w:hAnsi="Bahnschrift"/>
                                <w:b/>
                                <w:bCs/>
                                <w:color w:val="FFFFFF" w:themeColor="light1"/>
                                <w:kern w:val="24"/>
                                <w:sz w:val="64"/>
                                <w:szCs w:val="64"/>
                              </w:rPr>
                              <w:t xml:space="preserve"> i społeczne aspekty transformacji</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2C94CF08" id="Prostokąt 2" o:spid="_x0000_s1116" style="position:absolute;left:0;text-align:left;margin-left:0;margin-top:-47.6pt;width:552.75pt;height:202.9pt;z-index:25162649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" fillcolor="#ffc000" stroked="f" strokeweight="1pt">
                <v:fill opacity="52428f"/>
                <v:textbox>
                  <w:txbxContent>
                    <w:p w14:paraId="2EB840FC" w14:textId="52E32F37" w:rsidR="00FC190C" w:rsidRPr="00B6117F" w:rsidRDefault="00FC190C" w:rsidP="00FC190C">
                      <w:pPr>
                        <w:spacing w:after="0"/>
                        <w:ind w:left="851"/>
                        <w:jc w:val="left"/>
                        <w:rPr>
                          <w:rFonts w:ascii="Bahnschrift" w:hAnsi="Bahnschrift"/>
                          <w:color w:val="FFFFFF" w:themeColor="light1"/>
                          <w:kern w:val="24"/>
                          <w:sz w:val="64"/>
                          <w:szCs w:val="64"/>
                        </w:rPr>
                      </w:pPr>
                      <w:r>
                        <w:rPr>
                          <w:rFonts w:ascii="Bahnschrift" w:hAnsi="Bahnschrift"/>
                          <w:color w:val="FFFFFF" w:themeColor="light1"/>
                          <w:kern w:val="24"/>
                          <w:sz w:val="56"/>
                          <w:szCs w:val="56"/>
                        </w:rPr>
                        <w:t xml:space="preserve">Wymiar 4. </w:t>
                      </w:r>
                      <w:r>
                        <w:rPr>
                          <w:rFonts w:ascii="Bahnschrift" w:hAnsi="Bahnschrift"/>
                          <w:color w:val="FFFFFF" w:themeColor="light1"/>
                          <w:kern w:val="24"/>
                          <w:sz w:val="72"/>
                          <w:szCs w:val="72"/>
                        </w:rPr>
                        <w:br/>
                      </w:r>
                      <w:r w:rsidRPr="009F667D">
                        <w:rPr>
                          <w:rFonts w:ascii="Bahnschrift" w:hAnsi="Bahnschrift"/>
                          <w:b/>
                          <w:bCs/>
                          <w:color w:val="FFFFFF" w:themeColor="light1"/>
                          <w:kern w:val="24"/>
                          <w:sz w:val="64"/>
                          <w:szCs w:val="64"/>
                        </w:rPr>
                        <w:t>Wewn</w:t>
                      </w:r>
                      <w:r w:rsidR="00E94579">
                        <w:rPr>
                          <w:rFonts w:ascii="Bahnschrift" w:hAnsi="Bahnschrift"/>
                          <w:b/>
                          <w:bCs/>
                          <w:color w:val="FFFFFF" w:themeColor="light1"/>
                          <w:kern w:val="24"/>
                          <w:sz w:val="64"/>
                          <w:szCs w:val="64"/>
                        </w:rPr>
                        <w:t>ą</w:t>
                      </w:r>
                      <w:r w:rsidRPr="009F667D">
                        <w:rPr>
                          <w:rFonts w:ascii="Bahnschrift" w:hAnsi="Bahnschrift"/>
                          <w:b/>
                          <w:bCs/>
                          <w:color w:val="FFFFFF" w:themeColor="light1"/>
                          <w:kern w:val="24"/>
                          <w:sz w:val="64"/>
                          <w:szCs w:val="64"/>
                        </w:rPr>
                        <w:t>trz</w:t>
                      </w:r>
                      <w:r w:rsidR="009F667D" w:rsidRPr="009F667D">
                        <w:rPr>
                          <w:rFonts w:ascii="Bahnschrift" w:hAnsi="Bahnschrift"/>
                          <w:b/>
                          <w:bCs/>
                          <w:color w:val="FFFFFF" w:themeColor="light1"/>
                          <w:kern w:val="24"/>
                          <w:sz w:val="64"/>
                          <w:szCs w:val="64"/>
                        </w:rPr>
                        <w:t xml:space="preserve">unijny </w:t>
                      </w:r>
                      <w:r w:rsidRPr="009F667D">
                        <w:rPr>
                          <w:rFonts w:ascii="Bahnschrift" w:hAnsi="Bahnschrift"/>
                          <w:b/>
                          <w:bCs/>
                          <w:color w:val="FFFFFF" w:themeColor="light1"/>
                          <w:kern w:val="24"/>
                          <w:sz w:val="64"/>
                          <w:szCs w:val="64"/>
                        </w:rPr>
                        <w:t>rynek energii</w:t>
                      </w:r>
                      <w:r w:rsidR="009F667D" w:rsidRPr="009F667D">
                        <w:rPr>
                          <w:rFonts w:ascii="Bahnschrift" w:hAnsi="Bahnschrift"/>
                          <w:b/>
                          <w:bCs/>
                          <w:color w:val="FFFFFF" w:themeColor="light1"/>
                          <w:kern w:val="24"/>
                          <w:sz w:val="64"/>
                          <w:szCs w:val="64"/>
                        </w:rPr>
                        <w:t xml:space="preserve"> i społeczne aspekty transformacji</w:t>
                      </w:r>
                    </w:p>
                  </w:txbxContent>
                </v:textbox>
                <w10:wrap anchorx="margin"/>
              </v:rect>
            </w:pict>
          </mc:Fallback>
        </mc:AlternateContent>
      </w:r>
      <w:r w:rsidR="0057223B" w:rsidRPr="000029E7">
        <w:rPr>
          <w:color w:val="FFFFFF" w:themeColor="background1"/>
        </w:rPr>
        <w:t>We</w:t>
      </w:r>
      <w:r w:rsidR="009F667D" w:rsidRPr="000029E7">
        <w:rPr>
          <w:color w:val="FFFFFF" w:themeColor="background1"/>
        </w:rPr>
        <w:t xml:space="preserve">wnątrzunijny rynek energii i społeczne aspekty </w:t>
      </w:r>
      <w:bookmarkEnd w:id="418"/>
      <w:r w:rsidR="009F667D" w:rsidRPr="000029E7">
        <w:rPr>
          <w:color w:val="FFFFFF" w:themeColor="background1"/>
        </w:rPr>
        <w:t>transformacji</w:t>
      </w:r>
      <w:bookmarkEnd w:id="419"/>
      <w:bookmarkEnd w:id="420"/>
    </w:p>
    <w:p w14:paraId="060FC05E" w14:textId="1FD8673D" w:rsidR="00FC190C" w:rsidRDefault="00FC190C"/>
    <w:p w14:paraId="0A2EC48A" w14:textId="36BAF9D2" w:rsidR="00FC190C" w:rsidRDefault="00FC190C"/>
    <w:p w14:paraId="2B475CA8" w14:textId="4009F7FF" w:rsidR="00FC190C" w:rsidRDefault="00FC190C"/>
    <w:p w14:paraId="693D790C" w14:textId="24BBEBE7" w:rsidR="00FC190C" w:rsidRDefault="00FC190C"/>
    <w:p w14:paraId="599652E6" w14:textId="5B6441A5" w:rsidR="00A230B1" w:rsidRDefault="00A230B1" w:rsidP="00E94579">
      <w:pPr>
        <w:pStyle w:val="Nagwek6"/>
      </w:pPr>
      <w:bookmarkStart w:id="421" w:name="_Ref159941620"/>
      <w:bookmarkStart w:id="422" w:name="_Ref157435394"/>
      <w:r>
        <w:t xml:space="preserve">Działanie </w:t>
      </w:r>
      <w:r w:rsidR="005C2642">
        <w:fldChar w:fldCharType="begin"/>
      </w:r>
      <w:r w:rsidR="005C2642">
        <w:instrText xml:space="preserve"> SEQ Działanie \* ARABIC </w:instrText>
      </w:r>
      <w:r w:rsidR="005C2642">
        <w:fldChar w:fldCharType="separate"/>
      </w:r>
      <w:r w:rsidR="00DD3929">
        <w:rPr>
          <w:noProof/>
        </w:rPr>
        <w:t>124</w:t>
      </w:r>
      <w:r w:rsidR="005C2642">
        <w:rPr>
          <w:noProof/>
        </w:rPr>
        <w:fldChar w:fldCharType="end"/>
      </w:r>
      <w:r>
        <w:t xml:space="preserve">. </w:t>
      </w:r>
      <w:r w:rsidRPr="00A230B1">
        <w:t>Optymalizacja sposobu alokowania dostępnych transgranicznych zdolności przesyłowych.</w:t>
      </w:r>
      <w:bookmarkEnd w:id="421"/>
    </w:p>
    <w:p w14:paraId="0042EF69" w14:textId="2E71FD4F" w:rsidR="00A230B1" w:rsidRPr="00A230B1" w:rsidRDefault="00A230B1" w:rsidP="00E94579">
      <w:pPr>
        <w:spacing w:after="120"/>
      </w:pPr>
      <w:r w:rsidRPr="00A230B1">
        <w:t>Działania związane ze zwiększeniem dostępności obecnych połączeń transgranicznych z wykorzystaniem optymalizacji alokowania dostępnych transgranicznych zdolności przesyłowych, m.in. dzięki wdrożeniu metody FBA (</w:t>
      </w:r>
      <w:r w:rsidR="00D37832">
        <w:t xml:space="preserve">ang. </w:t>
      </w:r>
      <w:r w:rsidRPr="00D37832">
        <w:rPr>
          <w:i/>
          <w:iCs/>
        </w:rPr>
        <w:t>flow–based approach</w:t>
      </w:r>
      <w:r w:rsidRPr="00A230B1">
        <w:t>) – monitorowanie stosowania metody na rynku dnia następnego oraz działania na rzecz wprowadzenia na rynku dnia bieżącego</w:t>
      </w:r>
      <w:r>
        <w:t>.</w:t>
      </w:r>
    </w:p>
    <w:p w14:paraId="0B204FAE" w14:textId="410C89E2" w:rsidR="00681CF4" w:rsidRPr="00570679" w:rsidRDefault="00681CF4" w:rsidP="00E94579">
      <w:pPr>
        <w:pStyle w:val="Nagwek6"/>
      </w:pPr>
      <w:bookmarkStart w:id="423" w:name="_Ref159500964"/>
      <w:r w:rsidRPr="00570679">
        <w:t xml:space="preserve">Działanie </w:t>
      </w:r>
      <w:r w:rsidR="005C2642">
        <w:fldChar w:fldCharType="begin"/>
      </w:r>
      <w:r w:rsidR="005C2642">
        <w:instrText xml:space="preserve"> SEQ Działanie \* ARABIC </w:instrText>
      </w:r>
      <w:r w:rsidR="005C2642">
        <w:fldChar w:fldCharType="separate"/>
      </w:r>
      <w:r w:rsidR="00DD3929">
        <w:rPr>
          <w:noProof/>
        </w:rPr>
        <w:t>125</w:t>
      </w:r>
      <w:r w:rsidR="005C2642">
        <w:rPr>
          <w:noProof/>
        </w:rPr>
        <w:fldChar w:fldCharType="end"/>
      </w:r>
      <w:r w:rsidRPr="00570679">
        <w:t>. Modernizacja i rozbudowa</w:t>
      </w:r>
      <w:r w:rsidR="00A230B1">
        <w:t xml:space="preserve"> </w:t>
      </w:r>
      <w:r w:rsidR="00A230B1" w:rsidRPr="00A230B1">
        <w:t>linii przesyłowych wewnątrz KSE w celu umożliwienia zwiększania przepływów transgranicznyc</w:t>
      </w:r>
      <w:r w:rsidR="00A230B1">
        <w:t>h</w:t>
      </w:r>
      <w:r w:rsidRPr="00570679">
        <w:t>.</w:t>
      </w:r>
      <w:bookmarkEnd w:id="422"/>
      <w:bookmarkEnd w:id="423"/>
    </w:p>
    <w:p w14:paraId="12992669" w14:textId="712EE852" w:rsidR="00FC190C" w:rsidRDefault="00681CF4" w:rsidP="00E94579">
      <w:pPr>
        <w:spacing w:after="120"/>
      </w:pPr>
      <w:r w:rsidRPr="009F0F44">
        <w:t xml:space="preserve">Obejmuje działania na rzecz modernizacji i rozbudowy sieci wspierającej zwiększanie przepływów transgranicznych w ramach realizacji inwestycji zawartych w planie działania opracowanym na podstawie </w:t>
      </w:r>
      <w:r w:rsidR="00A230B1">
        <w:t>r</w:t>
      </w:r>
      <w:r w:rsidRPr="009F0F44">
        <w:t>ozporządzenia UE 2019/943, a także bieżące zwiększanie zdolności przesyłowych przez OSP</w:t>
      </w:r>
      <w:r w:rsidR="00A230B1">
        <w:t>e</w:t>
      </w:r>
      <w:r w:rsidRPr="009F0F44">
        <w:t xml:space="preserve"> w</w:t>
      </w:r>
      <w:r w:rsidR="00A230B1">
        <w:t> </w:t>
      </w:r>
      <w:r w:rsidRPr="009F0F44">
        <w:t>ramach realizacji trajektorii liniowych zawartych w tymże planie. Związane jest z tym między innymi ulepszanie aktualnej infrastruktury przesyłowej, wdrażanie zaawansowanych technologii monitorowania i</w:t>
      </w:r>
      <w:r w:rsidR="006E7D5E">
        <w:t> </w:t>
      </w:r>
      <w:r w:rsidRPr="009F0F44">
        <w:t>zarządzania siecią oraz tworzenie nowych połączeń międzynarodowych.</w:t>
      </w:r>
    </w:p>
    <w:p w14:paraId="1DCD6CFD" w14:textId="1FBE318A" w:rsidR="002A6DFA" w:rsidRPr="002A6DFA" w:rsidRDefault="002A6DFA" w:rsidP="00E94579">
      <w:pPr>
        <w:pStyle w:val="Nagwek6"/>
        <w:rPr>
          <w:sz w:val="24"/>
        </w:rPr>
      </w:pPr>
      <w:bookmarkStart w:id="424" w:name="_Ref157437844"/>
      <w:r w:rsidRPr="00570679">
        <w:t xml:space="preserve">Działanie </w:t>
      </w:r>
      <w:r w:rsidR="005C2642">
        <w:fldChar w:fldCharType="begin"/>
      </w:r>
      <w:r w:rsidR="005C2642">
        <w:instrText xml:space="preserve"> SEQ Działanie \* ARABIC </w:instrText>
      </w:r>
      <w:r w:rsidR="005C2642">
        <w:fldChar w:fldCharType="separate"/>
      </w:r>
      <w:r w:rsidR="00DD3929">
        <w:rPr>
          <w:noProof/>
        </w:rPr>
        <w:t>126</w:t>
      </w:r>
      <w:r w:rsidR="005C2642">
        <w:rPr>
          <w:noProof/>
        </w:rPr>
        <w:fldChar w:fldCharType="end"/>
      </w:r>
      <w:r w:rsidRPr="00570679">
        <w:t xml:space="preserve">. Działania </w:t>
      </w:r>
      <w:r w:rsidR="00A230B1" w:rsidRPr="00A230B1">
        <w:t xml:space="preserve">w ramach współpracy regionalnej </w:t>
      </w:r>
      <w:r w:rsidR="000F2F7E">
        <w:t xml:space="preserve">grupy </w:t>
      </w:r>
      <w:r w:rsidR="00A230B1" w:rsidRPr="00A230B1">
        <w:t xml:space="preserve">BEMIP dotyczącej wdrożenia projektów związanych z synchronizacją systemów </w:t>
      </w:r>
      <w:r w:rsidR="00492BDC">
        <w:t xml:space="preserve">elektroenergetycznych </w:t>
      </w:r>
      <w:r w:rsidR="00266F38">
        <w:t>krajów</w:t>
      </w:r>
      <w:r w:rsidR="00492BDC" w:rsidRPr="00A230B1">
        <w:t xml:space="preserve"> </w:t>
      </w:r>
      <w:r w:rsidR="00492BDC">
        <w:t>b</w:t>
      </w:r>
      <w:r w:rsidR="00492BDC" w:rsidRPr="00A230B1">
        <w:t xml:space="preserve">ałtyckich </w:t>
      </w:r>
      <w:r w:rsidR="00A230B1" w:rsidRPr="00A230B1">
        <w:t>z systemem Europy kontynentalnej</w:t>
      </w:r>
      <w:r w:rsidRPr="00BA3E0C">
        <w:t>.</w:t>
      </w:r>
      <w:bookmarkEnd w:id="424"/>
    </w:p>
    <w:p w14:paraId="6CDAE8F8" w14:textId="5FC0B913" w:rsidR="002A6DFA" w:rsidRPr="009F0F44" w:rsidRDefault="00A230B1" w:rsidP="00E94579">
      <w:pPr>
        <w:spacing w:after="120"/>
      </w:pPr>
      <w:r>
        <w:t xml:space="preserve">Obejmuje aktywny udział </w:t>
      </w:r>
      <w:r w:rsidR="00D37832">
        <w:t xml:space="preserve">Polski </w:t>
      </w:r>
      <w:r>
        <w:t xml:space="preserve">we współpracy </w:t>
      </w:r>
      <w:r w:rsidR="00D37832">
        <w:t xml:space="preserve">regionalnej </w:t>
      </w:r>
      <w:r w:rsidR="00C766EF">
        <w:t xml:space="preserve">w ramach grupy </w:t>
      </w:r>
      <w:r>
        <w:t>BEMIP</w:t>
      </w:r>
      <w:r w:rsidR="00D37832">
        <w:t xml:space="preserve"> (ang. </w:t>
      </w:r>
      <w:r w:rsidR="00D37832" w:rsidRPr="00D37832">
        <w:rPr>
          <w:i/>
          <w:iCs/>
        </w:rPr>
        <w:t>Baltic Energy Market Interconnection Plan</w:t>
      </w:r>
      <w:r w:rsidR="00C766EF">
        <w:t xml:space="preserve">, obejmuje </w:t>
      </w:r>
      <w:r w:rsidR="00266F38">
        <w:t>kraje</w:t>
      </w:r>
      <w:r w:rsidR="000F2F7E">
        <w:t xml:space="preserve"> bałtyckie i nadbałtyckie, bez Rosji</w:t>
      </w:r>
      <w:r w:rsidR="00D37832">
        <w:t>)</w:t>
      </w:r>
      <w:r>
        <w:t>, na różnych szczeblach, w celu przygotowywania decyzji politycznych dotyczących projektu</w:t>
      </w:r>
      <w:r w:rsidR="009B0EB8">
        <w:t xml:space="preserve"> synchronizacji </w:t>
      </w:r>
      <w:r w:rsidR="009B0EB8" w:rsidRPr="00A230B1">
        <w:t xml:space="preserve">systemów </w:t>
      </w:r>
      <w:r w:rsidR="009B0EB8">
        <w:t>elektroenergetycznych oraz monitorowanie i wspieranie procesów inwestycyjnych prowadzonych przez OSPe</w:t>
      </w:r>
      <w:r>
        <w:t>.</w:t>
      </w:r>
      <w:r w:rsidRPr="003125D2">
        <w:t xml:space="preserve"> </w:t>
      </w:r>
    </w:p>
    <w:p w14:paraId="193A5C04" w14:textId="730E71E0" w:rsidR="002A6DFA" w:rsidRPr="00570679" w:rsidRDefault="002A6DFA" w:rsidP="00E94579">
      <w:pPr>
        <w:pStyle w:val="Nagwek6"/>
      </w:pPr>
      <w:bookmarkStart w:id="425" w:name="_Ref157437853"/>
      <w:r w:rsidRPr="00570679">
        <w:t xml:space="preserve">Działanie </w:t>
      </w:r>
      <w:r w:rsidR="005C2642">
        <w:fldChar w:fldCharType="begin"/>
      </w:r>
      <w:r w:rsidR="005C2642">
        <w:instrText xml:space="preserve"> SEQ Działanie \* ARABIC </w:instrText>
      </w:r>
      <w:r w:rsidR="005C2642">
        <w:fldChar w:fldCharType="separate"/>
      </w:r>
      <w:r w:rsidR="00DD3929">
        <w:rPr>
          <w:noProof/>
        </w:rPr>
        <w:t>127</w:t>
      </w:r>
      <w:r w:rsidR="005C2642">
        <w:rPr>
          <w:noProof/>
        </w:rPr>
        <w:fldChar w:fldCharType="end"/>
      </w:r>
      <w:r w:rsidRPr="00570679">
        <w:t xml:space="preserve">. </w:t>
      </w:r>
      <w:r w:rsidR="00A230B1" w:rsidRPr="00A230B1">
        <w:t>Działania w zakresie integracji rynku</w:t>
      </w:r>
      <w:r w:rsidR="000F2F7E">
        <w:t xml:space="preserve"> energii elektrycznej</w:t>
      </w:r>
      <w:r w:rsidR="00A230B1" w:rsidRPr="00A230B1">
        <w:t xml:space="preserve"> i</w:t>
      </w:r>
      <w:r w:rsidR="00295FC8">
        <w:t> </w:t>
      </w:r>
      <w:r w:rsidR="000F2F7E">
        <w:t xml:space="preserve">elektroenergetycznego </w:t>
      </w:r>
      <w:r w:rsidR="00A230B1" w:rsidRPr="00A230B1">
        <w:t>systemu przesyłowego Ukrainy</w:t>
      </w:r>
      <w:r w:rsidR="000F2F7E">
        <w:t xml:space="preserve"> z rynkiem energii UE</w:t>
      </w:r>
      <w:r w:rsidRPr="00570679">
        <w:t>.</w:t>
      </w:r>
      <w:bookmarkEnd w:id="425"/>
    </w:p>
    <w:p w14:paraId="6EE8BC73" w14:textId="393AFED3" w:rsidR="002A6DFA" w:rsidRPr="009F0F44" w:rsidRDefault="00A230B1" w:rsidP="00E94579">
      <w:pPr>
        <w:spacing w:after="120"/>
      </w:pPr>
      <w:r w:rsidRPr="00A230B1">
        <w:t xml:space="preserve">Obejmuje wspieranie procesu politycznego dialogu z Ukrainą oraz wsparcie na poziomie administracji i </w:t>
      </w:r>
      <w:r w:rsidR="000F2F7E" w:rsidRPr="00A230B1">
        <w:t xml:space="preserve"> </w:t>
      </w:r>
      <w:r w:rsidRPr="00A230B1">
        <w:t>OSP</w:t>
      </w:r>
      <w:r w:rsidR="000F2F7E">
        <w:t>e w cel</w:t>
      </w:r>
      <w:r w:rsidR="00492BDC">
        <w:t>u</w:t>
      </w:r>
      <w:r w:rsidR="000F2F7E">
        <w:t xml:space="preserve"> dalszej</w:t>
      </w:r>
      <w:r w:rsidRPr="00A230B1">
        <w:t xml:space="preserve"> integracji systemu i rynku energii energetycznej Ukrainy z UE</w:t>
      </w:r>
      <w:r w:rsidR="002A6DFA" w:rsidRPr="009F0F44">
        <w:t>.</w:t>
      </w:r>
    </w:p>
    <w:p w14:paraId="1994E6AE" w14:textId="15144AAD" w:rsidR="002A6DFA" w:rsidRPr="00570679" w:rsidRDefault="002A6DFA" w:rsidP="00FD06FE">
      <w:pPr>
        <w:pStyle w:val="Nagwek6"/>
      </w:pPr>
      <w:bookmarkStart w:id="426" w:name="_Ref157437877"/>
      <w:r w:rsidRPr="00570679">
        <w:t xml:space="preserve">Działanie </w:t>
      </w:r>
      <w:r w:rsidR="005C2642">
        <w:fldChar w:fldCharType="begin"/>
      </w:r>
      <w:r w:rsidR="005C2642">
        <w:instrText xml:space="preserve"> SEQ Działanie \* ARABIC </w:instrText>
      </w:r>
      <w:r w:rsidR="005C2642">
        <w:fldChar w:fldCharType="separate"/>
      </w:r>
      <w:r w:rsidR="00DD3929">
        <w:rPr>
          <w:noProof/>
        </w:rPr>
        <w:t>128</w:t>
      </w:r>
      <w:r w:rsidR="005C2642">
        <w:rPr>
          <w:noProof/>
        </w:rPr>
        <w:fldChar w:fldCharType="end"/>
      </w:r>
      <w:r w:rsidRPr="00570679">
        <w:t xml:space="preserve">. </w:t>
      </w:r>
      <w:r w:rsidR="00A230B1">
        <w:t xml:space="preserve">Monitorowanie </w:t>
      </w:r>
      <w:r w:rsidR="00A230B1" w:rsidRPr="00FD06FE">
        <w:t>wykorzystania</w:t>
      </w:r>
      <w:r w:rsidR="00A230B1">
        <w:t xml:space="preserve"> przez OSPe </w:t>
      </w:r>
      <w:r w:rsidRPr="00570679">
        <w:t xml:space="preserve">przychodów wynikających z alokacji </w:t>
      </w:r>
      <w:r w:rsidR="000F2F7E">
        <w:t xml:space="preserve">zdolności przesyłowych </w:t>
      </w:r>
      <w:r w:rsidRPr="00570679">
        <w:t>połączeń wzajemnych.</w:t>
      </w:r>
      <w:bookmarkEnd w:id="426"/>
    </w:p>
    <w:p w14:paraId="006261BA" w14:textId="77777777" w:rsidR="002A6DFA" w:rsidRPr="009F0F44" w:rsidRDefault="002A6DFA" w:rsidP="00453D77">
      <w:pPr>
        <w:spacing w:before="240" w:after="120"/>
      </w:pPr>
      <w:r w:rsidRPr="009F0F44">
        <w:t>Działania obejmujące publikacje danych dot. sposobu wykorzystania przychodów z ograniczeń sieciowych i z alokacji zdolności przesyłowych, w tym wykorzystania congestion rent. Przychody te są przeznaczone na finansowanie zagwarantowania rzeczywistej dostępności przydzielonych zdolności przesyłowych oraz inwestycji sieciowych w utrzymanie lub zwiększania zdolności przesyłowych połączeń wzajemnych.</w:t>
      </w:r>
    </w:p>
    <w:p w14:paraId="4EBAF40A" w14:textId="2EEBE7C4" w:rsidR="002A6DFA" w:rsidRPr="00570679" w:rsidRDefault="002A6DFA" w:rsidP="00FD06FE">
      <w:pPr>
        <w:pStyle w:val="Nagwek6"/>
      </w:pPr>
      <w:bookmarkStart w:id="427" w:name="_Hlk157422051"/>
      <w:bookmarkStart w:id="428" w:name="_Ref157435485"/>
      <w:r w:rsidRPr="00570679">
        <w:t xml:space="preserve">Działanie </w:t>
      </w:r>
      <w:r w:rsidR="005C2642">
        <w:fldChar w:fldCharType="begin"/>
      </w:r>
      <w:r w:rsidR="005C2642">
        <w:instrText xml:space="preserve"> SEQ Działanie \* ARABIC </w:instrText>
      </w:r>
      <w:r w:rsidR="005C2642">
        <w:fldChar w:fldCharType="separate"/>
      </w:r>
      <w:r w:rsidR="00DD3929">
        <w:rPr>
          <w:noProof/>
        </w:rPr>
        <w:t>129</w:t>
      </w:r>
      <w:r w:rsidR="005C2642">
        <w:rPr>
          <w:noProof/>
        </w:rPr>
        <w:fldChar w:fldCharType="end"/>
      </w:r>
      <w:r w:rsidRPr="00570679">
        <w:t xml:space="preserve">. </w:t>
      </w:r>
      <w:bookmarkEnd w:id="427"/>
      <w:r w:rsidR="00744E81" w:rsidRPr="00744E81">
        <w:t>Monitorowanie realizacji projektów PCI</w:t>
      </w:r>
      <w:r w:rsidR="00744E81">
        <w:t xml:space="preserve"> w obszarze </w:t>
      </w:r>
      <w:r w:rsidR="00512881">
        <w:t>elektroenergetycznym</w:t>
      </w:r>
      <w:r w:rsidR="003757BF">
        <w:t xml:space="preserve"> i pozyskanie</w:t>
      </w:r>
      <w:r w:rsidR="003757BF" w:rsidRPr="003757BF">
        <w:t xml:space="preserve"> </w:t>
      </w:r>
      <w:r w:rsidR="003757BF">
        <w:t>wsparcia</w:t>
      </w:r>
      <w:r w:rsidR="003757BF" w:rsidRPr="00513535">
        <w:t xml:space="preserve"> </w:t>
      </w:r>
      <w:r w:rsidR="003757BF" w:rsidRPr="00744E81">
        <w:t>dla strategicznych projektów przez wprowadzanie ich na kolejne listy PCI</w:t>
      </w:r>
      <w:r w:rsidRPr="00570679">
        <w:t>.</w:t>
      </w:r>
      <w:bookmarkEnd w:id="428"/>
    </w:p>
    <w:p w14:paraId="7B05EF2F" w14:textId="4C7C0071" w:rsidR="002A6DFA" w:rsidRPr="009F0F44" w:rsidRDefault="00744E81" w:rsidP="00453D77">
      <w:pPr>
        <w:spacing w:before="240" w:after="120"/>
      </w:pPr>
      <w:r w:rsidRPr="00744E81">
        <w:t>Działanie dotyczy monitorowania na poziomie krajowym realizacji projektów znajdujących się na liście PCI</w:t>
      </w:r>
      <w:r w:rsidR="003757BF" w:rsidRPr="003757BF">
        <w:t xml:space="preserve"> </w:t>
      </w:r>
      <w:r w:rsidR="003757BF">
        <w:t xml:space="preserve">oraz </w:t>
      </w:r>
      <w:r w:rsidR="003757BF" w:rsidRPr="009F0F44">
        <w:t xml:space="preserve">wsparcia projektów kandydujących na kolejne listy PCI </w:t>
      </w:r>
      <w:r w:rsidR="003757BF">
        <w:t>mających znaczenie strategiczne i zgodnych z polityką państwa. P</w:t>
      </w:r>
      <w:r w:rsidR="003757BF" w:rsidRPr="003757BF">
        <w:t>rojekty PCI to kluczowe projekty dotyczące infrastruktury, które mają na celu dokończenie budowy europejskiego wewnętrznego rynku energii i pomoc w osiągnięciu unijnych celów polityki energetycznej i klimatycznej</w:t>
      </w:r>
      <w:r w:rsidR="003757BF">
        <w:t xml:space="preserve"> poprzez możliwość skorzystania z udogodnień prawnych i wsparcia finan</w:t>
      </w:r>
      <w:r w:rsidR="00B71AB5">
        <w:t>s</w:t>
      </w:r>
      <w:r w:rsidR="003757BF">
        <w:t>owego</w:t>
      </w:r>
      <w:r w:rsidR="002A6DFA" w:rsidRPr="009F0F44">
        <w:t>.</w:t>
      </w:r>
    </w:p>
    <w:p w14:paraId="239D7639" w14:textId="25F5F99C" w:rsidR="002A6DFA" w:rsidRPr="00570679" w:rsidRDefault="002A6DFA" w:rsidP="00B31627">
      <w:pPr>
        <w:pStyle w:val="Nagwek6"/>
      </w:pPr>
      <w:bookmarkStart w:id="429" w:name="_Ref157437684"/>
      <w:r w:rsidRPr="00570679">
        <w:t xml:space="preserve">Działanie </w:t>
      </w:r>
      <w:r w:rsidR="005C2642">
        <w:fldChar w:fldCharType="begin"/>
      </w:r>
      <w:r w:rsidR="005C2642">
        <w:instrText xml:space="preserve"> SEQ Działanie \* ARABIC </w:instrText>
      </w:r>
      <w:r w:rsidR="005C2642">
        <w:fldChar w:fldCharType="separate"/>
      </w:r>
      <w:r w:rsidR="00DD3929">
        <w:rPr>
          <w:noProof/>
        </w:rPr>
        <w:t>130</w:t>
      </w:r>
      <w:r w:rsidR="005C2642">
        <w:rPr>
          <w:noProof/>
        </w:rPr>
        <w:fldChar w:fldCharType="end"/>
      </w:r>
      <w:r w:rsidRPr="00570679">
        <w:t xml:space="preserve">. </w:t>
      </w:r>
      <w:r w:rsidRPr="00FD06FE">
        <w:t>Działania</w:t>
      </w:r>
      <w:r w:rsidRPr="00570679">
        <w:t xml:space="preserve"> w </w:t>
      </w:r>
      <w:r w:rsidRPr="00B31627">
        <w:t>zakresie</w:t>
      </w:r>
      <w:r w:rsidRPr="00570679">
        <w:t xml:space="preserve"> integracji oraz poprawy funkcjonowania rynku</w:t>
      </w:r>
      <w:r w:rsidR="00512881">
        <w:t xml:space="preserve"> energii elektrycznej</w:t>
      </w:r>
      <w:r w:rsidRPr="00570679">
        <w:t>.</w:t>
      </w:r>
      <w:bookmarkEnd w:id="429"/>
    </w:p>
    <w:p w14:paraId="6ACD23D3" w14:textId="3E6024DA" w:rsidR="002A6DFA" w:rsidRDefault="00512881" w:rsidP="00453D77">
      <w:pPr>
        <w:spacing w:before="240" w:after="120"/>
      </w:pPr>
      <w:r w:rsidRPr="009F0F44">
        <w:t xml:space="preserve">Działania związane z skoordynowanym </w:t>
      </w:r>
      <w:r>
        <w:t>wdrażaniem przez operatorów systemów wytycznych, zasad i metodologii jako aktów prawa UE dotyczących technicznych aspektów integracji systemów energetycznych oraz ich bezpiecznego funkcjonowania. Wprowadzenia na poziomie prawodawstwa krajowego rozwiązań służących tym celom</w:t>
      </w:r>
      <w:r w:rsidR="002A6DFA" w:rsidRPr="009F0F44">
        <w:t xml:space="preserve">. </w:t>
      </w:r>
    </w:p>
    <w:p w14:paraId="731B7CDB" w14:textId="2275848D" w:rsidR="00512881" w:rsidRPr="00570679" w:rsidRDefault="00512881" w:rsidP="00B31627">
      <w:pPr>
        <w:pStyle w:val="Nagwek6"/>
      </w:pPr>
      <w:bookmarkStart w:id="430" w:name="_Ref159500534"/>
      <w:r w:rsidRPr="00570679">
        <w:t xml:space="preserve">Działanie </w:t>
      </w:r>
      <w:r w:rsidR="005C2642">
        <w:fldChar w:fldCharType="begin"/>
      </w:r>
      <w:r w:rsidR="005C2642">
        <w:instrText xml:space="preserve"> SEQ Działanie \* ARABIC </w:instrText>
      </w:r>
      <w:r w:rsidR="005C2642">
        <w:fldChar w:fldCharType="separate"/>
      </w:r>
      <w:r w:rsidR="00DD3929">
        <w:rPr>
          <w:noProof/>
        </w:rPr>
        <w:t>131</w:t>
      </w:r>
      <w:r w:rsidR="005C2642">
        <w:rPr>
          <w:noProof/>
        </w:rPr>
        <w:fldChar w:fldCharType="end"/>
      </w:r>
      <w:r w:rsidRPr="00570679">
        <w:t xml:space="preserve">. </w:t>
      </w:r>
      <w:r>
        <w:t xml:space="preserve">Rozwój i </w:t>
      </w:r>
      <w:r w:rsidRPr="00B31627">
        <w:t>modernizacja</w:t>
      </w:r>
      <w:r>
        <w:t xml:space="preserve"> </w:t>
      </w:r>
      <w:r w:rsidR="003A08B5">
        <w:t xml:space="preserve">elektroenergetycznych </w:t>
      </w:r>
      <w:r>
        <w:t>sieci przesyłowych</w:t>
      </w:r>
      <w:r w:rsidR="003A08B5">
        <w:t xml:space="preserve"> i dystrybucyjnych</w:t>
      </w:r>
      <w:r w:rsidRPr="00570679">
        <w:t>.</w:t>
      </w:r>
      <w:bookmarkEnd w:id="430"/>
    </w:p>
    <w:p w14:paraId="7070D232" w14:textId="460976A1" w:rsidR="00512881" w:rsidRDefault="003A08B5" w:rsidP="00453D77">
      <w:pPr>
        <w:spacing w:before="240" w:after="120"/>
      </w:pPr>
      <w:r w:rsidRPr="00512881">
        <w:t>Działani</w:t>
      </w:r>
      <w:r>
        <w:t>e</w:t>
      </w:r>
      <w:r w:rsidRPr="00512881">
        <w:t xml:space="preserve"> </w:t>
      </w:r>
      <w:r>
        <w:t>obejmuje</w:t>
      </w:r>
      <w:r w:rsidRPr="00512881">
        <w:t xml:space="preserve"> wsparcia </w:t>
      </w:r>
      <w:r>
        <w:t xml:space="preserve">na poziomie krajowym </w:t>
      </w:r>
      <w:r w:rsidRPr="00512881">
        <w:t xml:space="preserve">w przygotowaniu i realizacji inwestycji w zakresie rozbudowy i modernizacji </w:t>
      </w:r>
      <w:r>
        <w:t>elektroenergetycznych</w:t>
      </w:r>
      <w:r w:rsidR="00512881" w:rsidRPr="00512881">
        <w:t>. Inwestycje sieciowe wspierane są zarówno poprzez wsparcie finansowe (np. polityka spójności, KPO, Fundusz Modernizacyjny, CEF), jak i rozwiązania regulacyjne</w:t>
      </w:r>
      <w:r w:rsidR="00B31627">
        <w:t>.</w:t>
      </w:r>
    </w:p>
    <w:p w14:paraId="4A8E9982" w14:textId="70954C00" w:rsidR="000647DB" w:rsidRPr="00570679" w:rsidRDefault="000647DB" w:rsidP="00B31627">
      <w:pPr>
        <w:pStyle w:val="Nagwek6"/>
      </w:pPr>
      <w:r w:rsidRPr="00570679">
        <w:t xml:space="preserve">Działanie </w:t>
      </w:r>
      <w:r w:rsidR="005C2642">
        <w:fldChar w:fldCharType="begin"/>
      </w:r>
      <w:r w:rsidR="005C2642">
        <w:instrText xml:space="preserve"> SEQ Działanie \* ARABIC </w:instrText>
      </w:r>
      <w:r w:rsidR="005C2642">
        <w:fldChar w:fldCharType="separate"/>
      </w:r>
      <w:r w:rsidR="00DD3929">
        <w:rPr>
          <w:noProof/>
        </w:rPr>
        <w:t>132</w:t>
      </w:r>
      <w:r w:rsidR="005C2642">
        <w:rPr>
          <w:noProof/>
        </w:rPr>
        <w:fldChar w:fldCharType="end"/>
      </w:r>
      <w:r w:rsidRPr="00570679">
        <w:t xml:space="preserve">. System </w:t>
      </w:r>
      <w:r w:rsidRPr="00B31627">
        <w:t>wsparcia</w:t>
      </w:r>
      <w:r w:rsidRPr="00570679">
        <w:t xml:space="preserve"> dla klastrów energii i spółdzielni energetycznych.</w:t>
      </w:r>
    </w:p>
    <w:p w14:paraId="6F9E73FF" w14:textId="7E09859F" w:rsidR="000647DB" w:rsidRPr="009F0F44" w:rsidRDefault="000647DB" w:rsidP="00453D77">
      <w:pPr>
        <w:spacing w:before="240" w:after="120"/>
      </w:pPr>
      <w:r>
        <w:t xml:space="preserve">Działanie będzie polegać na wdrożeniu – przewidzianego w ustawie o odnawialnych źródłach energii –przejrzystych zasad współpracy w ramach klastrów energii, obejmujących usprawnienia administracyjno-prawne i </w:t>
      </w:r>
      <w:r w:rsidR="00D171B9">
        <w:t>specjalny</w:t>
      </w:r>
      <w:r>
        <w:t xml:space="preserve"> system wsparcia, a także stymulowanie rozwoju spółdzielni energetycznych, co wpłynie na zwiększenie udziału odnawialnych źródeł energii w krajowym miksie energetycznym.</w:t>
      </w:r>
    </w:p>
    <w:p w14:paraId="4DA24470" w14:textId="2D6B1F37" w:rsidR="002A6DFA" w:rsidRPr="00570679" w:rsidRDefault="002A6DFA" w:rsidP="00B31627">
      <w:pPr>
        <w:pStyle w:val="Nagwek6"/>
      </w:pPr>
      <w:bookmarkStart w:id="431" w:name="_Ref157435553"/>
      <w:r w:rsidRPr="00570679">
        <w:t xml:space="preserve">Działanie </w:t>
      </w:r>
      <w:r w:rsidR="005C2642">
        <w:fldChar w:fldCharType="begin"/>
      </w:r>
      <w:r w:rsidR="005C2642">
        <w:instrText xml:space="preserve"> SEQ Działanie \* ARABIC </w:instrText>
      </w:r>
      <w:r w:rsidR="005C2642">
        <w:fldChar w:fldCharType="separate"/>
      </w:r>
      <w:r w:rsidR="00DD3929">
        <w:rPr>
          <w:noProof/>
        </w:rPr>
        <w:t>133</w:t>
      </w:r>
      <w:r w:rsidR="005C2642">
        <w:rPr>
          <w:noProof/>
        </w:rPr>
        <w:fldChar w:fldCharType="end"/>
      </w:r>
      <w:r w:rsidRPr="00570679">
        <w:t xml:space="preserve">. Zapewnienie </w:t>
      </w:r>
      <w:r w:rsidRPr="00B31627">
        <w:t>wsparcia</w:t>
      </w:r>
      <w:r w:rsidRPr="00570679">
        <w:t xml:space="preserve"> dla regionów węglowych.</w:t>
      </w:r>
      <w:bookmarkEnd w:id="431"/>
    </w:p>
    <w:p w14:paraId="652854CD" w14:textId="4250195F" w:rsidR="002A6DFA" w:rsidRDefault="002A6DFA" w:rsidP="00F943F2">
      <w:pPr>
        <w:spacing w:before="240" w:after="120"/>
      </w:pPr>
      <w:r w:rsidRPr="009F0F44">
        <w:t xml:space="preserve">Działania dotyczą wsparcia </w:t>
      </w:r>
      <w:r w:rsidR="00B31627">
        <w:t xml:space="preserve">m.in. </w:t>
      </w:r>
      <w:r w:rsidRPr="009F0F44">
        <w:t xml:space="preserve">przez programy szkoleniowe i </w:t>
      </w:r>
      <w:r w:rsidR="00921639">
        <w:t>umożliwiające przekwalifikowanie</w:t>
      </w:r>
      <w:r w:rsidRPr="009F0F44">
        <w:t xml:space="preserve">, programy rozwoju lokalnego, partnerstwa i współprace. </w:t>
      </w:r>
      <w:r w:rsidR="00CF1B24" w:rsidRPr="00CF1B24">
        <w:t>Działanie będzie realizowane</w:t>
      </w:r>
      <w:r w:rsidR="00CF1B24">
        <w:t xml:space="preserve"> m.in.</w:t>
      </w:r>
      <w:r w:rsidR="00CF1B24" w:rsidRPr="00CF1B24">
        <w:t xml:space="preserve"> z</w:t>
      </w:r>
      <w:r w:rsidR="00DC5106">
        <w:t> </w:t>
      </w:r>
      <w:r w:rsidR="00CF1B24" w:rsidRPr="00CF1B24">
        <w:t xml:space="preserve">wykorzystaniem środków z Funduszu na rzecz Sprawiedliwej Transformacji (FST), wspierającego transformację w pięciu regionach kraju (województwa dolnośląskie, łódzkie, małopolskie, śląskie, wielkopolskie). </w:t>
      </w:r>
      <w:r w:rsidR="00F943F2">
        <w:t>Wydatkowane w ramach FST środki przeznaczone będą m.in. na działania związane z</w:t>
      </w:r>
      <w:r w:rsidR="00DC5106">
        <w:t> </w:t>
      </w:r>
      <w:r w:rsidR="00F943F2">
        <w:t>łagodzeniem skutków transformacji branży paliw kopalnych i energetyki konwencjonalnej, w tym: zmiany profilu gospodarczego, wzrostu innowacyjności i rozwój MŚP; zmiany kwalifikacji i aktywnego przeciwdziałania bezrobociu; rekultywacji terenów pogórniczych dla poprawy atrakcyjności inwestycyjnej; wdrażania działań związanych z efektywnością energetyczną, zieloną gospodarką i</w:t>
      </w:r>
      <w:r w:rsidR="00DC5106">
        <w:t> </w:t>
      </w:r>
      <w:r w:rsidR="00F943F2">
        <w:t>gospodarką obiegu zamkniętego.</w:t>
      </w:r>
    </w:p>
    <w:p w14:paraId="58A53738" w14:textId="4C282247" w:rsidR="00AA7033" w:rsidRDefault="00F525EC" w:rsidP="00BE71C9">
      <w:pPr>
        <w:spacing w:before="240" w:after="60"/>
      </w:pPr>
      <w:r>
        <w:t>Szczególnymi elementami działania będą:</w:t>
      </w:r>
    </w:p>
    <w:p w14:paraId="219D40AF" w14:textId="6378ACBE" w:rsidR="00F525EC" w:rsidRPr="00F525EC" w:rsidRDefault="00F525EC" w:rsidP="00BE71C9">
      <w:pPr>
        <w:pStyle w:val="Akapitzlist"/>
        <w:numPr>
          <w:ilvl w:val="0"/>
          <w:numId w:val="65"/>
        </w:numPr>
        <w:spacing w:before="120" w:after="120"/>
      </w:pPr>
      <w:r w:rsidRPr="00F525EC">
        <w:t>Stworzenie systemu zachęt inwestycyjnych w regionach wydobywczych i wysokoemisyjnych</w:t>
      </w:r>
      <w:r>
        <w:t>;</w:t>
      </w:r>
    </w:p>
    <w:p w14:paraId="28C7464D" w14:textId="42E3E078" w:rsidR="00F525EC" w:rsidRPr="00F525EC" w:rsidRDefault="00F525EC" w:rsidP="00F525EC">
      <w:pPr>
        <w:pStyle w:val="Akapitzlist"/>
        <w:numPr>
          <w:ilvl w:val="0"/>
          <w:numId w:val="65"/>
        </w:numPr>
        <w:spacing w:before="240" w:after="120"/>
      </w:pPr>
      <w:r w:rsidRPr="00F525EC">
        <w:t>Mapowanie potrzeb regionów w zakresie dostępności i kwalifikacji kadr w sektorach energetycznych i okołobranżowych w kontekście projektów inwestycyjno-transformacyjnych</w:t>
      </w:r>
      <w:r>
        <w:t>;</w:t>
      </w:r>
    </w:p>
    <w:p w14:paraId="7FE0D1CF" w14:textId="2DF5D4FB" w:rsidR="00F525EC" w:rsidRPr="00F525EC" w:rsidRDefault="00F525EC" w:rsidP="00F525EC">
      <w:pPr>
        <w:pStyle w:val="Akapitzlist"/>
        <w:numPr>
          <w:ilvl w:val="0"/>
          <w:numId w:val="65"/>
        </w:numPr>
        <w:spacing w:before="240" w:after="120"/>
      </w:pPr>
      <w:r w:rsidRPr="00F525EC">
        <w:t>Mapowanie potrzeb kształcenia i przekwalifikowania zawodowego</w:t>
      </w:r>
      <w:r>
        <w:t>;</w:t>
      </w:r>
    </w:p>
    <w:p w14:paraId="6EDDEA3B" w14:textId="3FB6805F" w:rsidR="00F525EC" w:rsidRPr="00F525EC" w:rsidRDefault="00F525EC" w:rsidP="00F525EC">
      <w:pPr>
        <w:pStyle w:val="Akapitzlist"/>
        <w:numPr>
          <w:ilvl w:val="0"/>
          <w:numId w:val="65"/>
        </w:numPr>
        <w:spacing w:before="240" w:after="120"/>
      </w:pPr>
      <w:r w:rsidRPr="00F525EC">
        <w:t>Projektowanie i programowanie kierunków kształcenia i doskonalenia zawodowego</w:t>
      </w:r>
      <w:r>
        <w:t>;</w:t>
      </w:r>
    </w:p>
    <w:p w14:paraId="526FD956" w14:textId="5F4F4DCA" w:rsidR="00F525EC" w:rsidRPr="00F525EC" w:rsidRDefault="00F525EC" w:rsidP="00F525EC">
      <w:pPr>
        <w:pStyle w:val="Akapitzlist"/>
        <w:numPr>
          <w:ilvl w:val="0"/>
          <w:numId w:val="65"/>
        </w:numPr>
        <w:spacing w:before="240" w:after="120"/>
      </w:pPr>
      <w:r w:rsidRPr="00F525EC">
        <w:t>Zintegrowanie działań szkoleniowo-rekrutacyjnych pomiędzy instytucjami publicznymi i</w:t>
      </w:r>
      <w:r w:rsidR="00BE71C9">
        <w:t> </w:t>
      </w:r>
      <w:r w:rsidRPr="00F525EC">
        <w:t>podmiotami gospodarczymi</w:t>
      </w:r>
      <w:r>
        <w:t>;</w:t>
      </w:r>
    </w:p>
    <w:p w14:paraId="27F1947B" w14:textId="39419429" w:rsidR="00F525EC" w:rsidRPr="00F525EC" w:rsidRDefault="00F525EC" w:rsidP="00F525EC">
      <w:pPr>
        <w:pStyle w:val="Akapitzlist"/>
        <w:numPr>
          <w:ilvl w:val="0"/>
          <w:numId w:val="65"/>
        </w:numPr>
        <w:spacing w:before="240" w:after="120"/>
      </w:pPr>
      <w:r w:rsidRPr="00F525EC">
        <w:t xml:space="preserve">Doradztwo i kampanie edukacyjno-informacyjne </w:t>
      </w:r>
      <w:r>
        <w:t>oraz</w:t>
      </w:r>
      <w:r w:rsidRPr="00F525EC">
        <w:t xml:space="preserve"> ośrodki wsparcia pracowników w</w:t>
      </w:r>
      <w:r w:rsidR="00BE71C9">
        <w:t> </w:t>
      </w:r>
      <w:r w:rsidRPr="00F525EC">
        <w:t>transformacji i ich rodzin</w:t>
      </w:r>
      <w:r>
        <w:t>;</w:t>
      </w:r>
    </w:p>
    <w:p w14:paraId="750ACF89" w14:textId="1CF839E3" w:rsidR="00F525EC" w:rsidRDefault="00F525EC" w:rsidP="00F525EC">
      <w:pPr>
        <w:pStyle w:val="Akapitzlist"/>
        <w:numPr>
          <w:ilvl w:val="0"/>
          <w:numId w:val="65"/>
        </w:numPr>
        <w:spacing w:before="240" w:after="120"/>
      </w:pPr>
      <w:r w:rsidRPr="00F525EC">
        <w:t>Zachowanie tradycji i dziedzictwa kulturowego regionów wydobywczo-przemysłowych</w:t>
      </w:r>
      <w:r>
        <w:t>;</w:t>
      </w:r>
    </w:p>
    <w:p w14:paraId="7CDB1FFB" w14:textId="044A4FDF" w:rsidR="00F525EC" w:rsidRPr="009F0F44" w:rsidRDefault="00EE6E4B" w:rsidP="00F525EC">
      <w:pPr>
        <w:pStyle w:val="Akapitzlist"/>
        <w:numPr>
          <w:ilvl w:val="0"/>
          <w:numId w:val="65"/>
        </w:numPr>
      </w:pPr>
      <w:r>
        <w:t>Kampania edukacyjno-informacyjna dotycząca planów i praktycznych wymiarów transformacji oraz wielopoziomowe konsultacje publiczne aKPEiK 2030 i dokumentów strategicznych dotyczących transformacji energetycznej</w:t>
      </w:r>
      <w:r w:rsidR="00F525EC">
        <w:t>.</w:t>
      </w:r>
    </w:p>
    <w:p w14:paraId="557F7099" w14:textId="0CD80E1E" w:rsidR="002A6DFA" w:rsidRPr="00570679" w:rsidRDefault="002A6DFA" w:rsidP="00B31627">
      <w:pPr>
        <w:pStyle w:val="Nagwek6"/>
      </w:pPr>
      <w:bookmarkStart w:id="432" w:name="_Ref157435580"/>
      <w:r w:rsidRPr="00570679">
        <w:t xml:space="preserve">Działanie </w:t>
      </w:r>
      <w:r w:rsidR="005C2642">
        <w:fldChar w:fldCharType="begin"/>
      </w:r>
      <w:r w:rsidR="005C2642">
        <w:instrText xml:space="preserve"> SEQ Działanie \* ARABIC </w:instrText>
      </w:r>
      <w:r w:rsidR="005C2642">
        <w:fldChar w:fldCharType="separate"/>
      </w:r>
      <w:r w:rsidR="00DD3929">
        <w:rPr>
          <w:noProof/>
        </w:rPr>
        <w:t>134</w:t>
      </w:r>
      <w:r w:rsidR="005C2642">
        <w:rPr>
          <w:noProof/>
        </w:rPr>
        <w:fldChar w:fldCharType="end"/>
      </w:r>
      <w:r w:rsidRPr="00570679">
        <w:t xml:space="preserve">. Redukowanie ubóstwa </w:t>
      </w:r>
      <w:r w:rsidRPr="00B31627">
        <w:t>energetycznego</w:t>
      </w:r>
      <w:r w:rsidR="00512881">
        <w:t xml:space="preserve"> oraz ochrona odbiorcy wrażliwego</w:t>
      </w:r>
      <w:r w:rsidR="00A2613E">
        <w:t xml:space="preserve"> </w:t>
      </w:r>
      <w:r w:rsidR="00A2613E" w:rsidRPr="00A2613E">
        <w:t>poprzez bezzwrotne programy dofinansowania działań termomodernizacyjnych oraz instalacji zeroemisyjnych źródeł energii i ciepła zintegrowanych z magazynami energii i</w:t>
      </w:r>
      <w:r w:rsidR="00BE71C9">
        <w:t> </w:t>
      </w:r>
      <w:r w:rsidR="00A2613E" w:rsidRPr="00A2613E">
        <w:t>ciepła</w:t>
      </w:r>
      <w:r w:rsidRPr="00570679">
        <w:t>.</w:t>
      </w:r>
      <w:bookmarkEnd w:id="432"/>
    </w:p>
    <w:p w14:paraId="240F3F5B" w14:textId="713BDE81" w:rsidR="00FC190C" w:rsidRDefault="00512881" w:rsidP="00453D77">
      <w:pPr>
        <w:spacing w:before="240" w:after="120"/>
        <w:sectPr w:rsidR="00FC190C" w:rsidSect="005209BA">
          <w:headerReference w:type="even" r:id="rId94"/>
          <w:headerReference w:type="default" r:id="rId95"/>
          <w:headerReference w:type="first" r:id="rId96"/>
          <w:pgSz w:w="11906" w:h="16838"/>
          <w:pgMar w:top="1417" w:right="1417" w:bottom="1417" w:left="1417" w:header="708" w:footer="708" w:gutter="0"/>
          <w:cols w:space="708"/>
          <w:titlePg/>
          <w:docGrid w:linePitch="360"/>
        </w:sectPr>
      </w:pPr>
      <w:r>
        <w:rPr>
          <w:kern w:val="0"/>
          <w14:ligatures w14:val="none"/>
        </w:rPr>
        <w:t>Działania związane z modyfikacją istniejących bądź wprowadzaniem nowych form wsparcia, w obszarze polityki socjalnej, zwiększania efektywności energetycznej budynków, a także w sferze działań edukacyjnych, mających na celu wsparcie najbardziej potrzebujących odbiorców i redukcję zjawiska ubóstwa energetycznego</w:t>
      </w:r>
      <w:r w:rsidR="00526DC5">
        <w:rPr>
          <w:kern w:val="0"/>
          <w14:ligatures w14:val="none"/>
        </w:rPr>
        <w:t>.</w:t>
      </w:r>
    </w:p>
    <w:p w14:paraId="01CC47B3" w14:textId="7F194211" w:rsidR="0057223B" w:rsidRPr="005622DF" w:rsidRDefault="00DE0CED" w:rsidP="0057223B">
      <w:pPr>
        <w:pStyle w:val="Nagwek2"/>
        <w:rPr>
          <w:color w:val="FFFFFF" w:themeColor="background1"/>
        </w:rPr>
      </w:pPr>
      <w:bookmarkStart w:id="433" w:name="_Toc159598359"/>
      <w:bookmarkStart w:id="434" w:name="_Toc179537012"/>
      <w:r>
        <w:rPr>
          <w:noProof/>
        </w:rPr>
        <mc:AlternateContent>
          <mc:Choice Requires="wps">
            <w:drawing>
              <wp:anchor distT="0" distB="0" distL="114300" distR="114300" simplePos="0" relativeHeight="251609088" behindDoc="0" locked="0" layoutInCell="1" allowOverlap="1" wp14:anchorId="583BB2BA" wp14:editId="00DAB9D5">
                <wp:simplePos x="0" y="0"/>
                <wp:positionH relativeFrom="margin">
                  <wp:posOffset>-626745</wp:posOffset>
                </wp:positionH>
                <wp:positionV relativeFrom="paragraph">
                  <wp:posOffset>-462915</wp:posOffset>
                </wp:positionV>
                <wp:extent cx="7019925" cy="2254250"/>
                <wp:effectExtent l="0" t="0" r="0" b="0"/>
                <wp:wrapNone/>
                <wp:docPr id="1142389358" name="Prostokąt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019925" cy="2254250"/>
                        </a:xfrm>
                        <a:prstGeom prst="rect">
                          <a:avLst/>
                        </a:prstGeom>
                        <a:solidFill>
                          <a:schemeClr val="tx2">
                            <a:lumMod val="40000"/>
                            <a:lumOff val="60000"/>
                            <a:alpha val="60000"/>
                          </a:schemeClr>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2D6F1A81" w14:textId="36EBE6C2" w:rsidR="00FC190C" w:rsidRPr="00BE10C2" w:rsidRDefault="00FC190C" w:rsidP="00FC190C">
                            <w:pPr>
                              <w:spacing w:after="0"/>
                              <w:ind w:left="851"/>
                              <w:jc w:val="left"/>
                              <w:rPr>
                                <w:rFonts w:ascii="Bahnschrift" w:hAnsi="Bahnschrift"/>
                                <w:color w:val="000000" w:themeColor="text1"/>
                                <w:kern w:val="24"/>
                                <w:sz w:val="64"/>
                                <w:szCs w:val="64"/>
                              </w:rPr>
                            </w:pPr>
                            <w:r w:rsidRPr="00BE10C2">
                              <w:rPr>
                                <w:rFonts w:ascii="Bahnschrift" w:hAnsi="Bahnschrift"/>
                                <w:color w:val="000000" w:themeColor="text1"/>
                                <w:kern w:val="24"/>
                                <w:sz w:val="56"/>
                                <w:szCs w:val="56"/>
                              </w:rPr>
                              <w:t>Wymiar 5</w:t>
                            </w:r>
                            <w:r w:rsidR="005622DF">
                              <w:rPr>
                                <w:rFonts w:ascii="Bahnschrift" w:hAnsi="Bahnschrift"/>
                                <w:color w:val="000000" w:themeColor="text1"/>
                                <w:kern w:val="24"/>
                                <w:sz w:val="56"/>
                                <w:szCs w:val="56"/>
                              </w:rPr>
                              <w:t>.</w:t>
                            </w:r>
                            <w:r w:rsidRPr="00BE10C2">
                              <w:rPr>
                                <w:rFonts w:ascii="Bahnschrift" w:hAnsi="Bahnschrift"/>
                                <w:color w:val="000000" w:themeColor="text1"/>
                                <w:kern w:val="24"/>
                                <w:sz w:val="72"/>
                                <w:szCs w:val="72"/>
                              </w:rPr>
                              <w:br/>
                            </w:r>
                            <w:r w:rsidRPr="009F667D">
                              <w:rPr>
                                <w:rFonts w:ascii="Bahnschrift" w:hAnsi="Bahnschrift"/>
                                <w:b/>
                                <w:bCs/>
                                <w:color w:val="000000" w:themeColor="text1"/>
                                <w:kern w:val="24"/>
                                <w:sz w:val="64"/>
                                <w:szCs w:val="64"/>
                              </w:rPr>
                              <w:t>Badania naukowe, innowacje i konkurencyjność</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583BB2BA" id="Prostokąt 1" o:spid="_x0000_s1117" style="position:absolute;left:0;text-align:left;margin-left:-49.35pt;margin-top:-36.45pt;width:552.75pt;height:177.5pt;z-index:2516090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" fillcolor="#acb9ca [1311]" stroked="f" strokeweight="1pt">
                <v:fill opacity="39321f"/>
                <v:textbox>
                  <w:txbxContent>
                    <w:p w14:paraId="2D6F1A81" w14:textId="36EBE6C2" w:rsidR="00FC190C" w:rsidRPr="00BE10C2" w:rsidRDefault="00FC190C" w:rsidP="00FC190C">
                      <w:pPr>
                        <w:spacing w:after="0"/>
                        <w:ind w:left="851"/>
                        <w:jc w:val="left"/>
                        <w:rPr>
                          <w:rFonts w:ascii="Bahnschrift" w:hAnsi="Bahnschrift"/>
                          <w:color w:val="000000" w:themeColor="text1"/>
                          <w:kern w:val="24"/>
                          <w:sz w:val="64"/>
                          <w:szCs w:val="64"/>
                        </w:rPr>
                      </w:pPr>
                      <w:r w:rsidRPr="00BE10C2">
                        <w:rPr>
                          <w:rFonts w:ascii="Bahnschrift" w:hAnsi="Bahnschrift"/>
                          <w:color w:val="000000" w:themeColor="text1"/>
                          <w:kern w:val="24"/>
                          <w:sz w:val="56"/>
                          <w:szCs w:val="56"/>
                        </w:rPr>
                        <w:t>Wymiar 5</w:t>
                      </w:r>
                      <w:r w:rsidR="005622DF">
                        <w:rPr>
                          <w:rFonts w:ascii="Bahnschrift" w:hAnsi="Bahnschrift"/>
                          <w:color w:val="000000" w:themeColor="text1"/>
                          <w:kern w:val="24"/>
                          <w:sz w:val="56"/>
                          <w:szCs w:val="56"/>
                        </w:rPr>
                        <w:t>.</w:t>
                      </w:r>
                      <w:r w:rsidRPr="00BE10C2">
                        <w:rPr>
                          <w:rFonts w:ascii="Bahnschrift" w:hAnsi="Bahnschrift"/>
                          <w:color w:val="000000" w:themeColor="text1"/>
                          <w:kern w:val="24"/>
                          <w:sz w:val="72"/>
                          <w:szCs w:val="72"/>
                        </w:rPr>
                        <w:br/>
                      </w:r>
                      <w:r w:rsidRPr="009F667D">
                        <w:rPr>
                          <w:rFonts w:ascii="Bahnschrift" w:hAnsi="Bahnschrift"/>
                          <w:b/>
                          <w:bCs/>
                          <w:color w:val="000000" w:themeColor="text1"/>
                          <w:kern w:val="24"/>
                          <w:sz w:val="64"/>
                          <w:szCs w:val="64"/>
                        </w:rPr>
                        <w:t>Badania naukowe, innowacje i konkurencyjność</w:t>
                      </w:r>
                    </w:p>
                  </w:txbxContent>
                </v:textbox>
                <w10:wrap anchorx="margin"/>
              </v:rect>
            </w:pict>
          </mc:Fallback>
        </mc:AlternateContent>
      </w:r>
      <w:r w:rsidR="0057223B" w:rsidRPr="005622DF">
        <w:rPr>
          <w:color w:val="FFFFFF" w:themeColor="background1"/>
        </w:rPr>
        <w:t>Badania naukowe, innowacje i konkurencyjność</w:t>
      </w:r>
      <w:bookmarkEnd w:id="433"/>
      <w:bookmarkEnd w:id="434"/>
    </w:p>
    <w:p w14:paraId="2FA97D03" w14:textId="08B03C6E" w:rsidR="00FC190C" w:rsidRDefault="00FC190C"/>
    <w:p w14:paraId="72C92236" w14:textId="06E0062A" w:rsidR="00FC190C" w:rsidRDefault="00FC190C"/>
    <w:p w14:paraId="30F9A0BB" w14:textId="77777777" w:rsidR="00FC190C" w:rsidRDefault="00FC190C"/>
    <w:p w14:paraId="289E07B7" w14:textId="77777777" w:rsidR="00FC190C" w:rsidRDefault="00FC190C"/>
    <w:p w14:paraId="14D117A9" w14:textId="2E952740" w:rsidR="00FC190C" w:rsidRDefault="008B62ED" w:rsidP="0066371E">
      <w:pPr>
        <w:pStyle w:val="Nagwek6"/>
      </w:pPr>
      <w:bookmarkStart w:id="435" w:name="_Ref159858128"/>
      <w:r w:rsidRPr="008B62ED">
        <w:t xml:space="preserve">Działanie </w:t>
      </w:r>
      <w:r w:rsidR="005C2642">
        <w:fldChar w:fldCharType="begin"/>
      </w:r>
      <w:r w:rsidR="005C2642">
        <w:instrText xml:space="preserve"> SEQ Działanie \* ARABIC </w:instrText>
      </w:r>
      <w:r w:rsidR="005C2642">
        <w:fldChar w:fldCharType="separate"/>
      </w:r>
      <w:r w:rsidR="00DD3929">
        <w:rPr>
          <w:noProof/>
        </w:rPr>
        <w:t>135</w:t>
      </w:r>
      <w:r w:rsidR="005C2642">
        <w:rPr>
          <w:noProof/>
        </w:rPr>
        <w:fldChar w:fldCharType="end"/>
      </w:r>
      <w:r w:rsidRPr="008B62ED">
        <w:t>.</w:t>
      </w:r>
      <w:r>
        <w:t xml:space="preserve"> </w:t>
      </w:r>
      <w:r w:rsidRPr="008B62ED">
        <w:t>Stopniowy wzrost nakładów budżetowych na B+R (badania i rozwój), w tym w</w:t>
      </w:r>
      <w:r w:rsidR="00492BDC">
        <w:t> </w:t>
      </w:r>
      <w:r w:rsidRPr="008B62ED">
        <w:t>obszarach sprzyjających transformacji do gospodarki neutralnej klimatycznie.</w:t>
      </w:r>
      <w:bookmarkEnd w:id="435"/>
    </w:p>
    <w:p w14:paraId="4D4192C6" w14:textId="5A4B593E" w:rsidR="008B62ED" w:rsidRPr="008B62ED" w:rsidRDefault="008B62ED" w:rsidP="008B62ED">
      <w:r w:rsidRPr="008B62ED">
        <w:t xml:space="preserve">Działanie ma na celu dalsze zwiększanie nakładów na (B+R) z budżetu państwa, w tym na obszary związane z Europejskim Zielonym Ładem (m.in. czyste technologie energetyczne, technologie środowiskowe, energetyka jądrowa nowej generacji, materiały i surowce, technologie wodorowe, adaptacja </w:t>
      </w:r>
      <w:r w:rsidR="004766AA">
        <w:t xml:space="preserve">do </w:t>
      </w:r>
      <w:r w:rsidRPr="008B62ED">
        <w:t>zmian klimatu).</w:t>
      </w:r>
    </w:p>
    <w:p w14:paraId="02465031" w14:textId="3DFF3962" w:rsidR="008B62ED" w:rsidRDefault="008B62ED" w:rsidP="00485767">
      <w:pPr>
        <w:pStyle w:val="Nagwek6"/>
      </w:pPr>
      <w:bookmarkStart w:id="436" w:name="_Ref159858129"/>
      <w:r w:rsidRPr="008B62ED">
        <w:t xml:space="preserve">Działanie </w:t>
      </w:r>
      <w:r w:rsidR="005C2642">
        <w:fldChar w:fldCharType="begin"/>
      </w:r>
      <w:r w:rsidR="005C2642">
        <w:instrText xml:space="preserve"> SEQ Działanie \* ARABIC </w:instrText>
      </w:r>
      <w:r w:rsidR="005C2642">
        <w:fldChar w:fldCharType="separate"/>
      </w:r>
      <w:r w:rsidR="00DD3929">
        <w:rPr>
          <w:noProof/>
        </w:rPr>
        <w:t>136</w:t>
      </w:r>
      <w:r w:rsidR="005C2642">
        <w:rPr>
          <w:noProof/>
        </w:rPr>
        <w:fldChar w:fldCharType="end"/>
      </w:r>
      <w:r w:rsidRPr="008B62ED">
        <w:t>.</w:t>
      </w:r>
      <w:r>
        <w:t xml:space="preserve"> </w:t>
      </w:r>
      <w:r w:rsidRPr="008B62ED">
        <w:t>Realizacja strategicznych programów badań naukowych i prac rozwojowych o</w:t>
      </w:r>
      <w:r w:rsidR="00492BDC">
        <w:t> </w:t>
      </w:r>
      <w:r w:rsidRPr="008B62ED">
        <w:t>tematyce sprzyjającej transformacji do gospodarki neutralnej klimatycznie.</w:t>
      </w:r>
      <w:bookmarkEnd w:id="436"/>
    </w:p>
    <w:p w14:paraId="542868FE" w14:textId="533D70FD" w:rsidR="008B62ED" w:rsidRDefault="008B62ED" w:rsidP="008B62ED">
      <w:pPr>
        <w:pStyle w:val="Legenda"/>
        <w:rPr>
          <w:i w:val="0"/>
          <w:iCs w:val="0"/>
          <w:color w:val="auto"/>
          <w:sz w:val="20"/>
          <w:szCs w:val="22"/>
        </w:rPr>
      </w:pPr>
      <w:r w:rsidRPr="008B62ED">
        <w:rPr>
          <w:i w:val="0"/>
          <w:iCs w:val="0"/>
          <w:color w:val="auto"/>
          <w:sz w:val="20"/>
          <w:szCs w:val="22"/>
        </w:rPr>
        <w:t>Działanie ma na celu wsparcie prac i projektów badawczo-rozwojowych w obszarach związanych z</w:t>
      </w:r>
      <w:r w:rsidR="00DC5106">
        <w:rPr>
          <w:i w:val="0"/>
          <w:iCs w:val="0"/>
          <w:color w:val="auto"/>
          <w:sz w:val="20"/>
          <w:szCs w:val="22"/>
        </w:rPr>
        <w:t> </w:t>
      </w:r>
      <w:r w:rsidRPr="008B62ED">
        <w:rPr>
          <w:i w:val="0"/>
          <w:iCs w:val="0"/>
          <w:color w:val="auto"/>
          <w:sz w:val="20"/>
          <w:szCs w:val="22"/>
        </w:rPr>
        <w:t xml:space="preserve">energetyką, ochroną środowiska i klimatem w ramach strategicznych programów badawczych koordynowanych i finansowanych przez rządowe agencje finansujące B+R (NCBR, NFOŚiGW).  </w:t>
      </w:r>
    </w:p>
    <w:p w14:paraId="247F1C72" w14:textId="052B29C0" w:rsidR="008B62ED" w:rsidRDefault="008B62ED" w:rsidP="00485767">
      <w:pPr>
        <w:pStyle w:val="Nagwek6"/>
      </w:pPr>
      <w:bookmarkStart w:id="437" w:name="_Ref159858133"/>
      <w:r w:rsidRPr="008B62ED">
        <w:t xml:space="preserve">Działanie </w:t>
      </w:r>
      <w:r w:rsidR="005C2642">
        <w:fldChar w:fldCharType="begin"/>
      </w:r>
      <w:r w:rsidR="005C2642">
        <w:instrText xml:space="preserve"> SEQ Działanie \* ARABIC </w:instrText>
      </w:r>
      <w:r w:rsidR="005C2642">
        <w:fldChar w:fldCharType="separate"/>
      </w:r>
      <w:r w:rsidR="00DD3929">
        <w:rPr>
          <w:noProof/>
        </w:rPr>
        <w:t>137</w:t>
      </w:r>
      <w:r w:rsidR="005C2642">
        <w:rPr>
          <w:noProof/>
        </w:rPr>
        <w:fldChar w:fldCharType="end"/>
      </w:r>
      <w:r w:rsidRPr="008B62ED">
        <w:t>.</w:t>
      </w:r>
      <w:r>
        <w:t xml:space="preserve"> A</w:t>
      </w:r>
      <w:r w:rsidRPr="008B62ED">
        <w:t>ktualizacja Polityki Naukowej Państwa</w:t>
      </w:r>
      <w:r>
        <w:t>.</w:t>
      </w:r>
      <w:bookmarkEnd w:id="437"/>
    </w:p>
    <w:p w14:paraId="64D11AE8" w14:textId="18227B4B" w:rsidR="008B62ED" w:rsidRPr="008B62ED" w:rsidRDefault="008B62ED" w:rsidP="008B62ED">
      <w:r w:rsidRPr="008B62ED">
        <w:t>W ramach ewaluacji polityki naukowej państwa zaktualizowane zostaną priorytety badawcze w obszarze energii i klimatu biorąc pod uwagę aktualne cele i potrzeby związane z transformacj</w:t>
      </w:r>
      <w:r w:rsidR="00ED75E8">
        <w:t>ą</w:t>
      </w:r>
      <w:r w:rsidRPr="008B62ED">
        <w:t xml:space="preserve"> do gospodarki neutralnej klimatycznie zdefiniowane zarówno w dokumentach krajowych (w tym polityka energetyczna Polski), jak i strategiach europejskich.</w:t>
      </w:r>
    </w:p>
    <w:p w14:paraId="58E07CBC" w14:textId="0FB32078" w:rsidR="008B62ED" w:rsidRDefault="008B62ED" w:rsidP="00485767">
      <w:pPr>
        <w:pStyle w:val="Nagwek6"/>
        <w:rPr>
          <w:i/>
          <w:iCs/>
        </w:rPr>
      </w:pPr>
      <w:bookmarkStart w:id="438" w:name="_Ref159856575"/>
      <w:r w:rsidRPr="00485767">
        <w:t xml:space="preserve">Działanie </w:t>
      </w:r>
      <w:r w:rsidR="005C2642">
        <w:fldChar w:fldCharType="begin"/>
      </w:r>
      <w:r w:rsidR="005C2642">
        <w:instrText xml:space="preserve"> SEQ Działanie \* ARABIC </w:instrText>
      </w:r>
      <w:r w:rsidR="005C2642">
        <w:fldChar w:fldCharType="separate"/>
      </w:r>
      <w:r w:rsidR="00DD3929">
        <w:rPr>
          <w:noProof/>
        </w:rPr>
        <w:t>138</w:t>
      </w:r>
      <w:r w:rsidR="005C2642">
        <w:rPr>
          <w:noProof/>
        </w:rPr>
        <w:fldChar w:fldCharType="end"/>
      </w:r>
      <w:r w:rsidRPr="00485767">
        <w:t>.</w:t>
      </w:r>
      <w:r>
        <w:rPr>
          <w:i/>
          <w:iCs/>
        </w:rPr>
        <w:t xml:space="preserve"> </w:t>
      </w:r>
      <w:r w:rsidRPr="008B62ED">
        <w:t>Projekt koncepcyjny i podstawowy badawczego wysokotemperaturowego reaktora jądrowego chłodzonego gazem (</w:t>
      </w:r>
      <w:r w:rsidR="008D41BC">
        <w:t xml:space="preserve">ang. </w:t>
      </w:r>
      <w:r w:rsidRPr="008D41BC">
        <w:rPr>
          <w:i/>
          <w:iCs/>
        </w:rPr>
        <w:t>High Temperature Gas cooled Reactor</w:t>
      </w:r>
      <w:r w:rsidRPr="008B62ED">
        <w:t>, HTGR)</w:t>
      </w:r>
      <w:r>
        <w:rPr>
          <w:i/>
          <w:iCs/>
        </w:rPr>
        <w:t>.</w:t>
      </w:r>
      <w:bookmarkEnd w:id="438"/>
    </w:p>
    <w:p w14:paraId="73FBBA64" w14:textId="5272EB39" w:rsidR="002A6176" w:rsidRPr="002A6176" w:rsidRDefault="002A6176" w:rsidP="002A6176">
      <w:r w:rsidRPr="002A6176">
        <w:t>Efektem przedsięwzięcia będzie opis techniczny reaktora HTGR będący podstawą do podjęcia ewentualnych dalszych prac o charakterze wdrożeniowym. Wykorzystanie zaawansowanych technologii jądrowych po osiągnięciu przez nie etapu komercjalizacji</w:t>
      </w:r>
      <w:r>
        <w:t>,</w:t>
      </w:r>
      <w:r w:rsidRPr="002A6176">
        <w:t> jako źródeł wytwórczych w polskim miksie energetycznym może przyczynić się do ograniczenia emisji gazów cieplarnianych, szczególnie w</w:t>
      </w:r>
      <w:r>
        <w:t xml:space="preserve"> </w:t>
      </w:r>
      <w:r w:rsidRPr="002A6176">
        <w:t>obszarach trudnych do elektryfikacji, jak produkcja ciepła przemysłowego czy ciepłownictwo systemowe.</w:t>
      </w:r>
    </w:p>
    <w:p w14:paraId="01A57348" w14:textId="6E499A75" w:rsidR="003E673D" w:rsidRPr="00163CF0" w:rsidRDefault="003E673D" w:rsidP="00B4077C">
      <w:pPr>
        <w:pStyle w:val="Nagwek6"/>
      </w:pPr>
      <w:bookmarkStart w:id="439" w:name="_Ref157425238"/>
      <w:r w:rsidRPr="00163CF0">
        <w:t xml:space="preserve">Działanie </w:t>
      </w:r>
      <w:r w:rsidR="005C2642">
        <w:fldChar w:fldCharType="begin"/>
      </w:r>
      <w:r w:rsidR="005C2642">
        <w:instrText xml:space="preserve"> SEQ Działanie \* ARABIC </w:instrText>
      </w:r>
      <w:r w:rsidR="005C2642">
        <w:fldChar w:fldCharType="separate"/>
      </w:r>
      <w:r w:rsidR="00DD3929">
        <w:rPr>
          <w:noProof/>
        </w:rPr>
        <w:t>139</w:t>
      </w:r>
      <w:r w:rsidR="005C2642">
        <w:rPr>
          <w:noProof/>
        </w:rPr>
        <w:fldChar w:fldCharType="end"/>
      </w:r>
      <w:r w:rsidRPr="00163CF0">
        <w:t>. Redukowanie emisji metanu z procesów produkcji i dystrybucji paliw.</w:t>
      </w:r>
      <w:bookmarkEnd w:id="439"/>
    </w:p>
    <w:p w14:paraId="434432F3" w14:textId="4274721F" w:rsidR="003E673D" w:rsidRDefault="003E673D" w:rsidP="003E673D">
      <w:r w:rsidRPr="009F0F44">
        <w:t>Działanie opiera się na zapewnieniu regulacji w zakresie hermetycznego magazynowania, napełniania i</w:t>
      </w:r>
      <w:r w:rsidR="009E58AB">
        <w:t> </w:t>
      </w:r>
      <w:r w:rsidRPr="009F0F44">
        <w:t>opróżniania produktami naftowymi</w:t>
      </w:r>
      <w:r w:rsidR="009E58AB">
        <w:t>,</w:t>
      </w:r>
      <w:r w:rsidRPr="009F0F44">
        <w:t xml:space="preserve"> mając na celu redukcję emisji metanu z procesu. </w:t>
      </w:r>
      <w:r w:rsidR="009E58AB">
        <w:t>Celem jest</w:t>
      </w:r>
      <w:r w:rsidRPr="009F0F44">
        <w:t xml:space="preserve"> ograniczanie rocznych strat produktów naftowych w procesach magazynowania, napełniania i</w:t>
      </w:r>
      <w:r w:rsidR="009E58AB">
        <w:t> </w:t>
      </w:r>
      <w:r w:rsidRPr="009F0F44">
        <w:t xml:space="preserve">opróżniania poniżej 0,01% ich wydajności.  </w:t>
      </w:r>
    </w:p>
    <w:p w14:paraId="2A636B0C" w14:textId="12A93061" w:rsidR="003E673D" w:rsidRPr="00163CF0" w:rsidRDefault="003E673D" w:rsidP="00B4077C">
      <w:pPr>
        <w:pStyle w:val="Nagwek6"/>
      </w:pPr>
      <w:bookmarkStart w:id="440" w:name="_Ref157429580"/>
      <w:r w:rsidRPr="00163CF0">
        <w:t xml:space="preserve">Działanie </w:t>
      </w:r>
      <w:r w:rsidR="005C2642">
        <w:fldChar w:fldCharType="begin"/>
      </w:r>
      <w:r w:rsidR="005C2642">
        <w:instrText xml:space="preserve"> SEQ Działanie \* ARABIC </w:instrText>
      </w:r>
      <w:r w:rsidR="005C2642">
        <w:fldChar w:fldCharType="separate"/>
      </w:r>
      <w:r w:rsidR="00DD3929">
        <w:rPr>
          <w:noProof/>
        </w:rPr>
        <w:t>140</w:t>
      </w:r>
      <w:r w:rsidR="005C2642">
        <w:rPr>
          <w:noProof/>
        </w:rPr>
        <w:fldChar w:fldCharType="end"/>
      </w:r>
      <w:r w:rsidRPr="00163CF0">
        <w:t>. Projekt badawczy – odmetanowanie z zastosowaniem technologii podziemnych wierceń kierunkowych.</w:t>
      </w:r>
      <w:bookmarkEnd w:id="440"/>
    </w:p>
    <w:p w14:paraId="65DB699A" w14:textId="084AEFB3" w:rsidR="00FC190C" w:rsidRDefault="003E673D">
      <w:r w:rsidRPr="009F0F44">
        <w:t xml:space="preserve">Projekt zakłada opracowanie opłacalnej i przyjaznej dla środowiska technologii odmetanowania podczas eksploatacji pokładów węgla z wykorzystaniem kierunkowych odwiertów w kopalniach, zastępując bardzo drogie galerie odmetanowania zbudowane nad pokładami węgla kamiennego, a także inne pomocnicze metody odmetanowania. </w:t>
      </w:r>
    </w:p>
    <w:p w14:paraId="7F105470" w14:textId="3B89577A" w:rsidR="002A6DFA" w:rsidRPr="00163CF0" w:rsidRDefault="002A6DFA" w:rsidP="00B4077C">
      <w:pPr>
        <w:pStyle w:val="Nagwek6"/>
      </w:pPr>
      <w:bookmarkStart w:id="441" w:name="_Ref157428874"/>
      <w:r w:rsidRPr="00163CF0">
        <w:t xml:space="preserve">Działanie </w:t>
      </w:r>
      <w:r w:rsidR="005C2642">
        <w:fldChar w:fldCharType="begin"/>
      </w:r>
      <w:r w:rsidR="005C2642">
        <w:instrText xml:space="preserve"> SEQ Działanie \* ARABIC </w:instrText>
      </w:r>
      <w:r w:rsidR="005C2642">
        <w:fldChar w:fldCharType="separate"/>
      </w:r>
      <w:r w:rsidR="00DD3929">
        <w:rPr>
          <w:noProof/>
        </w:rPr>
        <w:t>141</w:t>
      </w:r>
      <w:r w:rsidR="005C2642">
        <w:rPr>
          <w:noProof/>
        </w:rPr>
        <w:fldChar w:fldCharType="end"/>
      </w:r>
      <w:r w:rsidRPr="00163CF0">
        <w:t xml:space="preserve">. Budowanie </w:t>
      </w:r>
      <w:r w:rsidR="0074645C" w:rsidRPr="00163CF0">
        <w:t xml:space="preserve">kompetencji i kreowanie </w:t>
      </w:r>
      <w:r w:rsidRPr="00163CF0">
        <w:t>świadomości – zeroemisyjny transport.</w:t>
      </w:r>
      <w:bookmarkEnd w:id="441"/>
    </w:p>
    <w:p w14:paraId="6DD17F50" w14:textId="70FEAD70" w:rsidR="0074645C" w:rsidRDefault="002A6DFA" w:rsidP="0074645C">
      <w:r w:rsidRPr="009F0F44">
        <w:t xml:space="preserve">Działanie obejmuje </w:t>
      </w:r>
      <w:r w:rsidR="0074645C">
        <w:t>uruchomienie kierunku kształcenia ,,technik elektromobilności” w szkołach branżowych, Zapewnienie wykfalifikowanych kadr w sektorze elektromobilności. Planuje się także powstawanie kwalifikacji zawodowych w obszarze zeroemisyjnego transportu w ramach Zintegrowanego Systemu Kwalifikacji. Branża motoryzacyjna zostanie także uwzględniona w ramach szkoleń finansowanych ze środków Krajowego Fundusz Szkoleniowego.</w:t>
      </w:r>
    </w:p>
    <w:p w14:paraId="30844300" w14:textId="27BE7C19" w:rsidR="002A6DFA" w:rsidRPr="009F0F44" w:rsidRDefault="0074645C" w:rsidP="002A6DFA">
      <w:r w:rsidRPr="0074645C">
        <w:t>Planuje się podejmowanie działań na rzecz podnoszenia świadomości w zakresie szkodliwych skutków braku zmian w sektorze transportu oraz promocję przejścia na alternatywne formy transportu tj. m.in. transport zbiorowy, ruch rowerowy i pieszy. W tym celu będą organizowane konferencje, webinary, szkolenia, projekty konkursy czy inne działania promocyjne</w:t>
      </w:r>
    </w:p>
    <w:p w14:paraId="10498632" w14:textId="7D02DDFF" w:rsidR="002A6DFA" w:rsidRPr="00163CF0" w:rsidRDefault="002A6DFA" w:rsidP="00B4077C">
      <w:pPr>
        <w:pStyle w:val="Nagwek6"/>
      </w:pPr>
      <w:bookmarkStart w:id="442" w:name="_Ref157428847"/>
      <w:r w:rsidRPr="00163CF0">
        <w:t xml:space="preserve">Działanie </w:t>
      </w:r>
      <w:r w:rsidR="005C2642">
        <w:fldChar w:fldCharType="begin"/>
      </w:r>
      <w:r w:rsidR="005C2642">
        <w:instrText xml:space="preserve"> SEQ Działanie \* ARABIC </w:instrText>
      </w:r>
      <w:r w:rsidR="005C2642">
        <w:fldChar w:fldCharType="separate"/>
      </w:r>
      <w:r w:rsidR="00DD3929">
        <w:rPr>
          <w:noProof/>
        </w:rPr>
        <w:t>142</w:t>
      </w:r>
      <w:r w:rsidR="005C2642">
        <w:rPr>
          <w:noProof/>
        </w:rPr>
        <w:fldChar w:fldCharType="end"/>
      </w:r>
      <w:r w:rsidRPr="00163CF0">
        <w:t>. Badania i projekty naukowe oraz edukacyjne w zakresie racjonalnej i</w:t>
      </w:r>
      <w:r w:rsidR="00163CF0" w:rsidRPr="00163CF0">
        <w:t> </w:t>
      </w:r>
      <w:r w:rsidRPr="00163CF0">
        <w:t>niskoemisyjnej produkcji rolnej.</w:t>
      </w:r>
      <w:bookmarkEnd w:id="442"/>
    </w:p>
    <w:p w14:paraId="6FADEB2D" w14:textId="3DDA50BD" w:rsidR="002A6DFA" w:rsidRPr="009F0F44" w:rsidRDefault="002A6DFA" w:rsidP="002A6DFA">
      <w:r w:rsidRPr="009F0F44">
        <w:t xml:space="preserve">Działanie to obejmuje projekty mające na celu </w:t>
      </w:r>
      <w:r w:rsidR="001D2611">
        <w:t>m.in.</w:t>
      </w:r>
      <w:r w:rsidRPr="009F0F44">
        <w:t xml:space="preserve"> zmniejszenie ilości stosowanych nawozów/obornika na gruntach uprawnych, wspieranie innych rodzajów działalności korzystnie wpływających na gospodarkę gruntami uprawnymi, pastwiskami lub użytkami zielonym</w:t>
      </w:r>
      <w:r w:rsidR="009E58AB">
        <w:t>i</w:t>
      </w:r>
      <w:r w:rsidRPr="009F0F44">
        <w:t xml:space="preserve"> oraz poprawę gospodarki hodowlanej, poprawę gospodarki odpadami zwierzęcymi czy poprawę gospodarki glebami organicznymi.</w:t>
      </w:r>
    </w:p>
    <w:p w14:paraId="492CEBCD" w14:textId="39948BDE" w:rsidR="002A6DFA" w:rsidRPr="00163CF0" w:rsidRDefault="002A6DFA" w:rsidP="00B4077C">
      <w:pPr>
        <w:pStyle w:val="Nagwek6"/>
      </w:pPr>
      <w:bookmarkStart w:id="443" w:name="_Ref157430436"/>
      <w:r w:rsidRPr="00163CF0">
        <w:t xml:space="preserve">Działanie </w:t>
      </w:r>
      <w:r w:rsidR="005C2642">
        <w:fldChar w:fldCharType="begin"/>
      </w:r>
      <w:r w:rsidR="005C2642">
        <w:instrText xml:space="preserve"> SEQ Działanie \* ARABIC </w:instrText>
      </w:r>
      <w:r w:rsidR="005C2642">
        <w:fldChar w:fldCharType="separate"/>
      </w:r>
      <w:r w:rsidR="00DD3929">
        <w:rPr>
          <w:noProof/>
        </w:rPr>
        <w:t>143</w:t>
      </w:r>
      <w:r w:rsidR="005C2642">
        <w:rPr>
          <w:noProof/>
        </w:rPr>
        <w:fldChar w:fldCharType="end"/>
      </w:r>
      <w:r w:rsidRPr="00163CF0">
        <w:t>. Budowanie świadomości – działania związane z adaptacją do zmian klimatu.</w:t>
      </w:r>
      <w:bookmarkEnd w:id="443"/>
    </w:p>
    <w:p w14:paraId="5B5EF91A" w14:textId="77777777" w:rsidR="002A6DFA" w:rsidRPr="009F0F44" w:rsidRDefault="002A6DFA" w:rsidP="002A6DFA">
      <w:r w:rsidRPr="009F0F44">
        <w:t>Działanie obejmuje promocję zmiany zachowań społecznych oraz poszerzenie wiedzy w zakresie działań związanych z adaptacją do zmian klimatu. Obejmuje organizowanie konferencji, webinariów, szkoleń, projektów, konkursów czy innych działań promocyjnych.</w:t>
      </w:r>
    </w:p>
    <w:p w14:paraId="12D31952" w14:textId="47A90515" w:rsidR="002A6DFA" w:rsidRPr="00163CF0" w:rsidRDefault="002A6DFA" w:rsidP="00B4077C">
      <w:pPr>
        <w:pStyle w:val="Nagwek6"/>
      </w:pPr>
      <w:bookmarkStart w:id="444" w:name="_Ref157421395"/>
      <w:r w:rsidRPr="00163CF0">
        <w:t xml:space="preserve">Działanie </w:t>
      </w:r>
      <w:r w:rsidR="005C2642">
        <w:fldChar w:fldCharType="begin"/>
      </w:r>
      <w:r w:rsidR="005C2642">
        <w:instrText xml:space="preserve"> SEQ Działanie \* ARABIC </w:instrText>
      </w:r>
      <w:r w:rsidR="005C2642">
        <w:fldChar w:fldCharType="separate"/>
      </w:r>
      <w:r w:rsidR="00DD3929">
        <w:rPr>
          <w:noProof/>
        </w:rPr>
        <w:t>144</w:t>
      </w:r>
      <w:r w:rsidR="005C2642">
        <w:rPr>
          <w:noProof/>
        </w:rPr>
        <w:fldChar w:fldCharType="end"/>
      </w:r>
      <w:r w:rsidRPr="00163CF0">
        <w:t>. Budowanie świadomości – energetyka jądrowa.</w:t>
      </w:r>
      <w:bookmarkEnd w:id="444"/>
    </w:p>
    <w:p w14:paraId="477F0740" w14:textId="190A5A05" w:rsidR="002A6DFA" w:rsidRPr="009F0F44" w:rsidRDefault="002A6DFA" w:rsidP="002A6DFA">
      <w:r w:rsidRPr="009F0F44">
        <w:t>Działanie</w:t>
      </w:r>
      <w:r w:rsidR="00163CF0">
        <w:t xml:space="preserve"> </w:t>
      </w:r>
      <w:r w:rsidR="00163CF0" w:rsidRPr="00163CF0">
        <w:t>obejmuje poszerzenie wiedzy w zakresie działań związanych z energetyką i energią jądrową oraz kształtowanie pozytywnych zachowań społecznych względem energii jądrowej. Obejmuje organizowanie konferencji, webinariów, szkoleń, konkursów oraz innych działań edukacyjno-informacyjnych</w:t>
      </w:r>
      <w:r w:rsidRPr="009F0F44">
        <w:t>.</w:t>
      </w:r>
    </w:p>
    <w:p w14:paraId="6B634A56" w14:textId="2BD953FA" w:rsidR="002A6DFA" w:rsidRPr="00163CF0" w:rsidRDefault="002A6DFA" w:rsidP="00B4077C">
      <w:pPr>
        <w:pStyle w:val="Nagwek6"/>
      </w:pPr>
      <w:bookmarkStart w:id="445" w:name="_Ref157430266"/>
      <w:r w:rsidRPr="00163CF0">
        <w:t xml:space="preserve">Działanie </w:t>
      </w:r>
      <w:r w:rsidR="005C2642">
        <w:fldChar w:fldCharType="begin"/>
      </w:r>
      <w:r w:rsidR="005C2642">
        <w:instrText xml:space="preserve"> SEQ Działanie \* ARABIC </w:instrText>
      </w:r>
      <w:r w:rsidR="005C2642">
        <w:fldChar w:fldCharType="separate"/>
      </w:r>
      <w:r w:rsidR="00DD3929">
        <w:rPr>
          <w:noProof/>
        </w:rPr>
        <w:t>145</w:t>
      </w:r>
      <w:r w:rsidR="005C2642">
        <w:rPr>
          <w:noProof/>
        </w:rPr>
        <w:fldChar w:fldCharType="end"/>
      </w:r>
      <w:r w:rsidRPr="00163CF0">
        <w:t>. Budowanie świadomości – gospodarka o obiegu zamkniętym.</w:t>
      </w:r>
      <w:bookmarkEnd w:id="445"/>
    </w:p>
    <w:p w14:paraId="5B27A945" w14:textId="77777777" w:rsidR="002A6DFA" w:rsidRPr="009F0F44" w:rsidRDefault="002A6DFA" w:rsidP="002A6DFA">
      <w:r w:rsidRPr="009F0F44">
        <w:t>Działanie obejmuje poprawę zachowań społecznych oraz poszerzenie wiedzy w zakresie działań związanych z gospodarką o obiegu zamkniętym. Obejmuje organizowanie konferencji, webinariów, szkoleń, projektów, konkursów czy innych działań promocyjnych.</w:t>
      </w:r>
    </w:p>
    <w:p w14:paraId="5779165D" w14:textId="51B3695F" w:rsidR="002A6DFA" w:rsidRPr="00163CF0" w:rsidRDefault="002A6DFA" w:rsidP="00B4077C">
      <w:pPr>
        <w:pStyle w:val="Nagwek6"/>
      </w:pPr>
      <w:bookmarkStart w:id="446" w:name="_Ref157422348"/>
      <w:r w:rsidRPr="00163CF0">
        <w:t xml:space="preserve">Działanie </w:t>
      </w:r>
      <w:r w:rsidR="005C2642">
        <w:fldChar w:fldCharType="begin"/>
      </w:r>
      <w:r w:rsidR="005C2642">
        <w:instrText xml:space="preserve"> SEQ Działanie \* ARABIC </w:instrText>
      </w:r>
      <w:r w:rsidR="005C2642">
        <w:fldChar w:fldCharType="separate"/>
      </w:r>
      <w:r w:rsidR="00DD3929">
        <w:rPr>
          <w:noProof/>
        </w:rPr>
        <w:t>146</w:t>
      </w:r>
      <w:r w:rsidR="005C2642">
        <w:rPr>
          <w:noProof/>
        </w:rPr>
        <w:fldChar w:fldCharType="end"/>
      </w:r>
      <w:r w:rsidRPr="00163CF0">
        <w:t>. Budowanie świadomości – odnawialne źródła energii.</w:t>
      </w:r>
      <w:bookmarkEnd w:id="446"/>
    </w:p>
    <w:p w14:paraId="5B5BC47A" w14:textId="77777777" w:rsidR="002A6DFA" w:rsidRPr="009F0F44" w:rsidRDefault="002A6DFA" w:rsidP="002A6DFA">
      <w:r w:rsidRPr="009F0F44">
        <w:t>Działanie obejmuje poprawę zachowań społecznych oraz poszerzenie wiedzy w zakresie działań związanych z odnawialnymi źródłami energii. Obejmuje organizowanie konferencji, webinariów, szkoleń, projektów, konkursów czy innych działań promocyjnych.</w:t>
      </w:r>
    </w:p>
    <w:p w14:paraId="4C180A17" w14:textId="52D66211" w:rsidR="002A6DFA" w:rsidRPr="0074645C" w:rsidRDefault="002A6DFA" w:rsidP="0074645C">
      <w:pPr>
        <w:pStyle w:val="Nagwek6"/>
        <w:rPr>
          <w:rStyle w:val="Nagwek6Znak"/>
          <w:b/>
          <w:bCs/>
        </w:rPr>
      </w:pPr>
      <w:bookmarkStart w:id="447" w:name="_Ref157435866"/>
      <w:r w:rsidRPr="0074645C">
        <w:rPr>
          <w:rStyle w:val="Nagwek6Znak"/>
          <w:b/>
          <w:bCs/>
        </w:rPr>
        <w:t xml:space="preserve">Działanie </w:t>
      </w:r>
      <w:r w:rsidRPr="0074645C">
        <w:rPr>
          <w:rStyle w:val="Nagwek6Znak"/>
          <w:b/>
          <w:bCs/>
        </w:rPr>
        <w:fldChar w:fldCharType="begin"/>
      </w:r>
      <w:r w:rsidRPr="0074645C">
        <w:rPr>
          <w:rStyle w:val="Nagwek6Znak"/>
          <w:b/>
          <w:bCs/>
        </w:rPr>
        <w:instrText xml:space="preserve"> SEQ Działanie \* ARABIC </w:instrText>
      </w:r>
      <w:r w:rsidRPr="0074645C">
        <w:rPr>
          <w:rStyle w:val="Nagwek6Znak"/>
          <w:b/>
          <w:bCs/>
        </w:rPr>
        <w:fldChar w:fldCharType="separate"/>
      </w:r>
      <w:r w:rsidR="00DD3929">
        <w:rPr>
          <w:rStyle w:val="Nagwek6Znak"/>
          <w:b/>
          <w:bCs/>
          <w:noProof/>
        </w:rPr>
        <w:t>147</w:t>
      </w:r>
      <w:r w:rsidRPr="0074645C">
        <w:rPr>
          <w:rStyle w:val="Nagwek6Znak"/>
          <w:b/>
          <w:bCs/>
        </w:rPr>
        <w:fldChar w:fldCharType="end"/>
      </w:r>
      <w:r w:rsidRPr="0074645C">
        <w:rPr>
          <w:rStyle w:val="Nagwek6Znak"/>
          <w:b/>
          <w:bCs/>
        </w:rPr>
        <w:t>. Kształcenie i doskonalenie zawodowe kadr dla gospodarki w zakresie</w:t>
      </w:r>
      <w:r w:rsidRPr="0074645C">
        <w:rPr>
          <w:b w:val="0"/>
          <w:bCs/>
          <w:szCs w:val="24"/>
        </w:rPr>
        <w:t xml:space="preserve"> </w:t>
      </w:r>
      <w:r w:rsidRPr="0074645C">
        <w:rPr>
          <w:rStyle w:val="Nagwek6Znak"/>
          <w:b/>
          <w:bCs/>
        </w:rPr>
        <w:t>transformacji klimatyczn</w:t>
      </w:r>
      <w:r w:rsidR="00163CF0">
        <w:rPr>
          <w:rStyle w:val="Nagwek6Znak"/>
          <w:b/>
          <w:bCs/>
        </w:rPr>
        <w:t>o-energetycznej</w:t>
      </w:r>
      <w:r w:rsidRPr="0074645C">
        <w:rPr>
          <w:rStyle w:val="Nagwek6Znak"/>
          <w:b/>
          <w:bCs/>
        </w:rPr>
        <w:t>.</w:t>
      </w:r>
      <w:bookmarkEnd w:id="447"/>
    </w:p>
    <w:p w14:paraId="5147F935" w14:textId="029A8D0A" w:rsidR="002A6DFA" w:rsidRDefault="002A6DFA" w:rsidP="002A6DFA">
      <w:r w:rsidRPr="009F0F44">
        <w:t>Działanie polega na dostosowaniu sektorowych ram kwalifikacji uwzględniających włączenie do nich kompetencji związanych z osiągnięciem celów Europejskiego Zielonego Ładu (</w:t>
      </w:r>
      <w:r w:rsidR="00163CF0">
        <w:t xml:space="preserve">ang. </w:t>
      </w:r>
      <w:r w:rsidRPr="00163CF0">
        <w:rPr>
          <w:i/>
          <w:iCs/>
        </w:rPr>
        <w:t>green skills</w:t>
      </w:r>
      <w:r w:rsidRPr="009F0F44">
        <w:t>). W</w:t>
      </w:r>
      <w:r w:rsidR="00163CF0">
        <w:t> </w:t>
      </w:r>
      <w:r w:rsidRPr="009F0F44">
        <w:t xml:space="preserve">Zintegrowanym Systemie Kwalifikacji mogą być włączane sektorowe ramy kwalifikacji uwzględniające specyfikę danej branży lub sektora i stanowiące rozwinięcie Polskiej Ramy Kwalifikacji (PRK). </w:t>
      </w:r>
    </w:p>
    <w:p w14:paraId="1E4C89CF" w14:textId="5DAD5685" w:rsidR="003103B4" w:rsidRDefault="003103B4" w:rsidP="003103B4">
      <w:pPr>
        <w:pStyle w:val="Nagwek6"/>
      </w:pPr>
      <w:bookmarkStart w:id="448" w:name="_Ref159310701"/>
      <w:r>
        <w:t xml:space="preserve">Działanie </w:t>
      </w:r>
      <w:r w:rsidR="005C2642">
        <w:fldChar w:fldCharType="begin"/>
      </w:r>
      <w:r w:rsidR="005C2642">
        <w:instrText xml:space="preserve"> SEQ Działanie \* ARABIC </w:instrText>
      </w:r>
      <w:r w:rsidR="005C2642">
        <w:fldChar w:fldCharType="separate"/>
      </w:r>
      <w:r w:rsidR="00DD3929">
        <w:rPr>
          <w:noProof/>
        </w:rPr>
        <w:t>148</w:t>
      </w:r>
      <w:r w:rsidR="005C2642">
        <w:rPr>
          <w:noProof/>
        </w:rPr>
        <w:fldChar w:fldCharType="end"/>
      </w:r>
      <w:r>
        <w:t>. Wstępne rozpoznanie wielkości potencjalnych</w:t>
      </w:r>
      <w:r w:rsidR="007F4F00">
        <w:t xml:space="preserve"> niekonwencjonalnych</w:t>
      </w:r>
      <w:r>
        <w:t xml:space="preserve"> złóż uranu.</w:t>
      </w:r>
      <w:bookmarkEnd w:id="448"/>
    </w:p>
    <w:p w14:paraId="649FC755" w14:textId="5F4D78D8" w:rsidR="003103B4" w:rsidRPr="003103B4" w:rsidRDefault="003103B4" w:rsidP="003103B4">
      <w:r>
        <w:t>Działanie ma na celu wsparcie prac z zakresu możliwości pozyskania uranu ze złóż niekonwencjonalnych w Polsce.</w:t>
      </w:r>
    </w:p>
    <w:p w14:paraId="1A949C8B" w14:textId="5A8813CE" w:rsidR="002A6DFA" w:rsidRPr="002A6DFA" w:rsidRDefault="002A6DFA" w:rsidP="00B4077C">
      <w:pPr>
        <w:pStyle w:val="Nagwek6"/>
      </w:pPr>
      <w:bookmarkStart w:id="449" w:name="_Ref157435890"/>
      <w:r w:rsidRPr="00BA3E0C">
        <w:t xml:space="preserve">Działanie </w:t>
      </w:r>
      <w:r w:rsidR="005C2642">
        <w:fldChar w:fldCharType="begin"/>
      </w:r>
      <w:r w:rsidR="005C2642">
        <w:instrText xml:space="preserve"> SEQ Działanie \* ARABIC </w:instrText>
      </w:r>
      <w:r w:rsidR="005C2642">
        <w:fldChar w:fldCharType="separate"/>
      </w:r>
      <w:r w:rsidR="00DD3929">
        <w:rPr>
          <w:noProof/>
        </w:rPr>
        <w:t>149</w:t>
      </w:r>
      <w:r w:rsidR="005C2642">
        <w:rPr>
          <w:noProof/>
        </w:rPr>
        <w:fldChar w:fldCharType="end"/>
      </w:r>
      <w:r w:rsidRPr="00BA3E0C">
        <w:t>.</w:t>
      </w:r>
      <w:r>
        <w:t xml:space="preserve"> </w:t>
      </w:r>
      <w:r w:rsidRPr="00BA3E0C">
        <w:t>Instrument finansowy – Horyzont Europa.</w:t>
      </w:r>
      <w:bookmarkEnd w:id="449"/>
    </w:p>
    <w:p w14:paraId="524641D5" w14:textId="2DA56F05" w:rsidR="002A6DFA" w:rsidRDefault="002A6DFA" w:rsidP="002A6DFA">
      <w:r w:rsidRPr="009F0F44">
        <w:t xml:space="preserve">Działanie ma na celu zwiększenie udziału polskich projektów w pozyskaniu środków z programu Horyzont Europa. Program ten obejmuje finansowanie badań naukowych oraz innowacji między innymi w zakresie </w:t>
      </w:r>
      <w:r w:rsidR="003C7268" w:rsidRPr="009F0F44">
        <w:t>inteligentnych</w:t>
      </w:r>
      <w:r w:rsidRPr="009F0F44">
        <w:t xml:space="preserve"> miast czy czystego wodoru.</w:t>
      </w:r>
    </w:p>
    <w:p w14:paraId="286F4EFE" w14:textId="3098115C" w:rsidR="002A6DFA" w:rsidRDefault="002A6DFA" w:rsidP="002A6DFA"/>
    <w:p w14:paraId="7B2B81AF" w14:textId="77777777" w:rsidR="008C7926" w:rsidRDefault="008C7926" w:rsidP="008C7926">
      <w:pPr>
        <w:sectPr w:rsidR="008C7926" w:rsidSect="00492BDC">
          <w:headerReference w:type="even" r:id="rId97"/>
          <w:headerReference w:type="default" r:id="rId98"/>
          <w:headerReference w:type="first" r:id="rId99"/>
          <w:pgSz w:w="11906" w:h="16838"/>
          <w:pgMar w:top="1417" w:right="1417" w:bottom="1417" w:left="1417" w:header="708" w:footer="708" w:gutter="0"/>
          <w:cols w:space="708"/>
          <w:titlePg/>
          <w:docGrid w:linePitch="360"/>
        </w:sectPr>
      </w:pPr>
    </w:p>
    <w:p w14:paraId="55FAF96C" w14:textId="1D39DA6F" w:rsidR="006C6123" w:rsidRPr="0085601A" w:rsidRDefault="006C6123" w:rsidP="006C6123">
      <w:pPr>
        <w:pStyle w:val="Nagwek1"/>
        <w:numPr>
          <w:ilvl w:val="0"/>
          <w:numId w:val="0"/>
        </w:numPr>
        <w:ind w:left="432" w:hanging="432"/>
      </w:pPr>
      <w:bookmarkStart w:id="450" w:name="_Toc159598368"/>
      <w:bookmarkStart w:id="451" w:name="_Toc179537013"/>
      <w:bookmarkStart w:id="452" w:name="_Hlk177557181"/>
      <w:r w:rsidRPr="0085601A">
        <w:t>Wykaz regulacji UE</w:t>
      </w:r>
      <w:r w:rsidR="00517CE9" w:rsidRPr="0085601A">
        <w:t xml:space="preserve"> (i nazwy </w:t>
      </w:r>
      <w:r w:rsidR="00D84AAA" w:rsidRPr="0085601A">
        <w:t>zwyczajowe</w:t>
      </w:r>
      <w:r w:rsidR="00517CE9" w:rsidRPr="0085601A">
        <w:t>)</w:t>
      </w:r>
      <w:bookmarkEnd w:id="450"/>
      <w:bookmarkEnd w:id="451"/>
    </w:p>
    <w:p w14:paraId="1AD96DB4" w14:textId="2D64BC9C" w:rsidR="00917DCD" w:rsidRPr="0085601A" w:rsidRDefault="00917DCD" w:rsidP="00917DCD">
      <w:r w:rsidRPr="0085601A">
        <w:rPr>
          <w:b/>
          <w:bCs/>
        </w:rPr>
        <w:t>dyrektywa 94/62/WE</w:t>
      </w:r>
      <w:r w:rsidRPr="0085601A">
        <w:t xml:space="preserve"> w sprawie opakowań i odpadów opakowaniowych – dyrektywa 94/62/WE PE i Rady z dnia 20 grudnia 1994 r. w sprawie opakowań i odpadów opakowaniowych, </w:t>
      </w:r>
      <w:hyperlink r:id="rId100" w:history="1">
        <w:r w:rsidRPr="0085601A">
          <w:rPr>
            <w:rStyle w:val="Hipercze"/>
          </w:rPr>
          <w:t>link</w:t>
        </w:r>
      </w:hyperlink>
    </w:p>
    <w:p w14:paraId="17B01464" w14:textId="1CB55930" w:rsidR="00DA6E66" w:rsidRDefault="00DA6E66" w:rsidP="00DA6E66">
      <w:r w:rsidRPr="0085601A">
        <w:rPr>
          <w:b/>
          <w:bCs/>
        </w:rPr>
        <w:t>dyrektywa 1999/31/WE</w:t>
      </w:r>
      <w:r w:rsidRPr="0085601A">
        <w:t xml:space="preserve"> w sprawie składowania odpadów – dyrektywa 1999/31/WE Rady z dnia 26 kwietnia 1999 r. w sprawie składowania</w:t>
      </w:r>
      <w:r>
        <w:t xml:space="preserve"> odpadów, </w:t>
      </w:r>
      <w:hyperlink r:id="rId101" w:history="1">
        <w:r w:rsidRPr="003A6111">
          <w:rPr>
            <w:rStyle w:val="Hipercze"/>
          </w:rPr>
          <w:t>link</w:t>
        </w:r>
      </w:hyperlink>
      <w:r>
        <w:t xml:space="preserve"> </w:t>
      </w:r>
    </w:p>
    <w:p w14:paraId="4D997EE2" w14:textId="3E4D3EA6" w:rsidR="00DA6E66" w:rsidRPr="00282168" w:rsidRDefault="00DA6E66" w:rsidP="00DA6E66">
      <w:r w:rsidRPr="00A87EED">
        <w:rPr>
          <w:b/>
          <w:bCs/>
        </w:rPr>
        <w:t>dyrektywa 2000/53/WE</w:t>
      </w:r>
      <w:r>
        <w:t xml:space="preserve"> w sprawie pojazdów wycofanych z eksploatacji – dyr</w:t>
      </w:r>
      <w:r w:rsidRPr="003A6111">
        <w:t xml:space="preserve">ektywa </w:t>
      </w:r>
      <w:r>
        <w:t>2000/53/WE PE</w:t>
      </w:r>
      <w:r w:rsidR="00917DCD">
        <w:t> </w:t>
      </w:r>
      <w:r>
        <w:t xml:space="preserve">i Rady z dnia 18 września 2000 r. w sprawie pojazdów wycofanych z eksploatacji, </w:t>
      </w:r>
      <w:hyperlink r:id="rId102" w:history="1">
        <w:r w:rsidRPr="00282168">
          <w:rPr>
            <w:rStyle w:val="Hipercze"/>
          </w:rPr>
          <w:t>link</w:t>
        </w:r>
      </w:hyperlink>
    </w:p>
    <w:p w14:paraId="7AF815E9" w14:textId="429B3676" w:rsidR="007D7C94" w:rsidRDefault="007D7C94" w:rsidP="00CB6433">
      <w:r w:rsidRPr="007D7C94">
        <w:rPr>
          <w:b/>
          <w:bCs/>
        </w:rPr>
        <w:t>ramowa dyrektywa wodna</w:t>
      </w:r>
      <w:r>
        <w:t xml:space="preserve"> – dyrektywa 2000/60/WE </w:t>
      </w:r>
      <w:r w:rsidR="00917DCD">
        <w:t>PE</w:t>
      </w:r>
      <w:r>
        <w:t xml:space="preserve"> i</w:t>
      </w:r>
      <w:r w:rsidR="00917DCD">
        <w:t xml:space="preserve"> </w:t>
      </w:r>
      <w:r>
        <w:t xml:space="preserve">Rady z dnia 23 października 2000 r. </w:t>
      </w:r>
      <w:r w:rsidRPr="006E2A5E">
        <w:t>ustanawiająca ramy wspólnotowego działania w dziedzinie polityki wodnej</w:t>
      </w:r>
      <w:r>
        <w:t xml:space="preserve">, </w:t>
      </w:r>
      <w:hyperlink r:id="rId103" w:history="1">
        <w:r w:rsidRPr="007D7C94">
          <w:rPr>
            <w:rStyle w:val="Hipercze"/>
          </w:rPr>
          <w:t>link</w:t>
        </w:r>
      </w:hyperlink>
    </w:p>
    <w:p w14:paraId="2660B673" w14:textId="2A69FC95" w:rsidR="00917DCD" w:rsidRDefault="00917DCD" w:rsidP="00CB6433">
      <w:pPr>
        <w:rPr>
          <w:rStyle w:val="Hipercze"/>
        </w:rPr>
      </w:pPr>
      <w:r w:rsidRPr="00A87EED">
        <w:rPr>
          <w:b/>
          <w:bCs/>
        </w:rPr>
        <w:t>dyrektywa 2006/66/UE</w:t>
      </w:r>
      <w:r>
        <w:t xml:space="preserve"> w sprawie baterii i akumulatorów oraz zużytych baterii – dyrektywa </w:t>
      </w:r>
      <w:r w:rsidRPr="003A6111">
        <w:t xml:space="preserve">2006/66/UE </w:t>
      </w:r>
      <w:r>
        <w:t xml:space="preserve">PE i Rady </w:t>
      </w:r>
      <w:r w:rsidRPr="003A6111">
        <w:t>z dnia 6 września 2006 r. w sprawie baterii i akumulatorów oraz zużytych baterii i akumulatorów oraz uchylająca dyrektywę 91/157/EWG</w:t>
      </w:r>
      <w:r>
        <w:t>,</w:t>
      </w:r>
      <w:r w:rsidR="00A034EC">
        <w:t xml:space="preserve"> </w:t>
      </w:r>
      <w:r w:rsidR="00DB230A">
        <w:t xml:space="preserve">częściowo straci moc z dniem 18 sierpnia 2025 r. w związku z obowiązywaniem </w:t>
      </w:r>
      <w:r w:rsidR="00DB230A" w:rsidRPr="000B5801">
        <w:t>rozporządzeni</w:t>
      </w:r>
      <w:r w:rsidR="00DB230A">
        <w:t xml:space="preserve">a </w:t>
      </w:r>
      <w:r w:rsidR="00DB230A" w:rsidRPr="000B5801">
        <w:t xml:space="preserve"> </w:t>
      </w:r>
      <w:r w:rsidR="00DB230A">
        <w:t xml:space="preserve">2023/1542 </w:t>
      </w:r>
      <w:r w:rsidR="00DB230A" w:rsidRPr="003A6111">
        <w:t xml:space="preserve"> </w:t>
      </w:r>
      <w:r w:rsidR="00DB230A">
        <w:t xml:space="preserve">PE i Rady (UE) </w:t>
      </w:r>
      <w:r w:rsidR="00DB230A" w:rsidRPr="003A6111">
        <w:t>z dnia 12 lipca 2023 r. w sprawie baterii i zużytych baterii, zmieniające dyrektywę 2008/98/WE i rozporządzenie (UE) 2019/1020 oraz uchylające dyrektywę 2006/66/WE</w:t>
      </w:r>
      <w:r w:rsidR="00A034EC">
        <w:t>,</w:t>
      </w:r>
      <w:r>
        <w:t xml:space="preserve"> </w:t>
      </w:r>
      <w:hyperlink r:id="rId104" w:history="1">
        <w:r w:rsidRPr="003A6111">
          <w:rPr>
            <w:rStyle w:val="Hipercze"/>
          </w:rPr>
          <w:t>link</w:t>
        </w:r>
      </w:hyperlink>
    </w:p>
    <w:p w14:paraId="7DC5767C" w14:textId="3DC24999" w:rsidR="00CB6433" w:rsidRDefault="006A7033" w:rsidP="00CB6433">
      <w:r w:rsidRPr="006A7033">
        <w:rPr>
          <w:b/>
          <w:bCs/>
        </w:rPr>
        <w:t>dyrektywa odpadowa</w:t>
      </w:r>
      <w:r w:rsidR="00D3701E">
        <w:rPr>
          <w:b/>
          <w:bCs/>
        </w:rPr>
        <w:t>, RDW</w:t>
      </w:r>
      <w:r>
        <w:t xml:space="preserve"> – </w:t>
      </w:r>
      <w:r w:rsidR="00CB6433">
        <w:t>dyrektywa PE i Rady (UE) 2008/98/WE z dnia 19 listopada 2008 r. w</w:t>
      </w:r>
      <w:r w:rsidR="008D6531">
        <w:t> </w:t>
      </w:r>
      <w:r w:rsidR="00CB6433">
        <w:t>sprawie odpadów oraz uchylającą niektóre dyrektywy</w:t>
      </w:r>
      <w:r w:rsidR="00917DCD">
        <w:t>,</w:t>
      </w:r>
      <w:r w:rsidR="00917DCD" w:rsidRPr="00917DCD">
        <w:t xml:space="preserve"> </w:t>
      </w:r>
      <w:hyperlink r:id="rId105" w:history="1">
        <w:r w:rsidR="00CB6433" w:rsidRPr="00DA6E66">
          <w:rPr>
            <w:rStyle w:val="Hipercze"/>
          </w:rPr>
          <w:t>link</w:t>
        </w:r>
      </w:hyperlink>
    </w:p>
    <w:p w14:paraId="5C9E25FC" w14:textId="2153F361" w:rsidR="008D6531" w:rsidRPr="00A64AE3" w:rsidRDefault="00752614" w:rsidP="008D6531">
      <w:r w:rsidRPr="00752614">
        <w:rPr>
          <w:b/>
          <w:bCs/>
        </w:rPr>
        <w:t>dyrektywa dotycząca ekoprojektu</w:t>
      </w:r>
      <w:r>
        <w:t xml:space="preserve"> – </w:t>
      </w:r>
      <w:r w:rsidR="008D6531">
        <w:t>dyrektywa PE i Rady (UE) 2009/125/WE z dnia 21 października 2009 r. ustanawiająca ogólne zasady ustalania wymogów dotyczących ekoprojektu dla produktów związanych z energią</w:t>
      </w:r>
    </w:p>
    <w:p w14:paraId="2BC70F0D" w14:textId="28DD7684" w:rsidR="006A7033" w:rsidRDefault="006A7033" w:rsidP="006A7033">
      <w:r w:rsidRPr="006A7033">
        <w:rPr>
          <w:b/>
          <w:bCs/>
        </w:rPr>
        <w:t>dyrektywa WEEE</w:t>
      </w:r>
      <w:r>
        <w:t xml:space="preserve"> – dyrektywa PE i Rady (UE) 2012/19/UE z dnia 4 lipca 2012 r. w sprawie zużytego sprzętu elektrycznego i elektronicznego, </w:t>
      </w:r>
      <w:hyperlink r:id="rId106" w:history="1">
        <w:r w:rsidRPr="006A7033">
          <w:rPr>
            <w:rStyle w:val="Hipercze"/>
          </w:rPr>
          <w:t>link</w:t>
        </w:r>
      </w:hyperlink>
    </w:p>
    <w:p w14:paraId="79DA59A5" w14:textId="69A7118F" w:rsidR="00A64AE3" w:rsidRPr="00246AF5" w:rsidRDefault="00A64AE3" w:rsidP="00A64AE3">
      <w:r w:rsidRPr="00212281">
        <w:rPr>
          <w:b/>
          <w:bCs/>
        </w:rPr>
        <w:t>dyrektywa NEC</w:t>
      </w:r>
      <w:r>
        <w:t xml:space="preserve"> – dyrektywa PE i Rady (UE) 2016/2284 z dnia 14 grudnia 2016 r. w sprawie redukcji krajowych emisji niektórych rodzajów zanieczyszczeń atmosferycznych, zmiany dyrektywy 2003/35/WE o</w:t>
      </w:r>
      <w:r w:rsidRPr="00246AF5">
        <w:t xml:space="preserve">raz uchylenia dyrektywy 2001/81/WE, </w:t>
      </w:r>
      <w:hyperlink r:id="rId107" w:history="1">
        <w:r w:rsidRPr="00F14F6A">
          <w:rPr>
            <w:rStyle w:val="Hipercze"/>
          </w:rPr>
          <w:t>link</w:t>
        </w:r>
      </w:hyperlink>
    </w:p>
    <w:p w14:paraId="37D37014" w14:textId="0C884584" w:rsidR="004B160D" w:rsidRPr="00246AF5" w:rsidRDefault="004B160D" w:rsidP="004B160D">
      <w:r w:rsidRPr="00246AF5">
        <w:rPr>
          <w:b/>
          <w:bCs/>
        </w:rPr>
        <w:t>dyrektywa RED II</w:t>
      </w:r>
      <w:r w:rsidRPr="00246AF5">
        <w:t xml:space="preserve"> – dyrektywa PE i Rady (UE) 2018/2001 z dnia 11 grudnia 2018 r. w sprawie promowania stosowania energii ze źródeł odnawialnych, </w:t>
      </w:r>
      <w:hyperlink r:id="rId108" w:history="1">
        <w:r w:rsidRPr="00246AF5">
          <w:rPr>
            <w:rStyle w:val="Hipercze"/>
            <w:color w:val="auto"/>
          </w:rPr>
          <w:t>link</w:t>
        </w:r>
      </w:hyperlink>
    </w:p>
    <w:p w14:paraId="462AEC26" w14:textId="3812077E" w:rsidR="00CB6433" w:rsidRDefault="00960D12" w:rsidP="00CB6433">
      <w:r w:rsidRPr="00960D12">
        <w:rPr>
          <w:b/>
          <w:bCs/>
        </w:rPr>
        <w:t>dyrektywa rynkowa</w:t>
      </w:r>
      <w:r>
        <w:t xml:space="preserve"> </w:t>
      </w:r>
      <w:r w:rsidR="00AC3BAF">
        <w:t>–</w:t>
      </w:r>
      <w:r>
        <w:t xml:space="preserve"> </w:t>
      </w:r>
      <w:r w:rsidR="00CB6433">
        <w:t xml:space="preserve">dyrektywa PE i Rady (UE) 2019/944 z dnia 5 czerwca 2019 r. </w:t>
      </w:r>
      <w:bookmarkStart w:id="453" w:name="_Hlk159087356"/>
      <w:r w:rsidR="00CB6433">
        <w:t xml:space="preserve">w sprawie wspólnych zasad rynku wewnętrznego energii elektrycznej </w:t>
      </w:r>
      <w:bookmarkEnd w:id="453"/>
      <w:r w:rsidR="00CB6433">
        <w:t xml:space="preserve">oraz zmieniającą dyrektywę 2012/27/UE, </w:t>
      </w:r>
      <w:hyperlink r:id="rId109" w:history="1">
        <w:r w:rsidR="00CB6433" w:rsidRPr="00960D12">
          <w:rPr>
            <w:rStyle w:val="Hipercze"/>
          </w:rPr>
          <w:t>link</w:t>
        </w:r>
      </w:hyperlink>
    </w:p>
    <w:p w14:paraId="1743E3BF" w14:textId="379D9F48" w:rsidR="007D7C94" w:rsidRDefault="007D7C94" w:rsidP="006C6123">
      <w:pPr>
        <w:rPr>
          <w:b/>
          <w:bCs/>
        </w:rPr>
      </w:pPr>
      <w:r w:rsidRPr="007D7C94">
        <w:rPr>
          <w:b/>
          <w:bCs/>
        </w:rPr>
        <w:t>dyrektywa CVD</w:t>
      </w:r>
      <w:r>
        <w:t xml:space="preserve"> – dyrektywa PE i Rady (UE) 2019/1161 z dnia 20 czerwca 2019 r. zmieniająca dyrektywę 2009/33/WE w sprawie promowania ekologicznie czystych i energooszczędnych pojazdów transportu drogowego, </w:t>
      </w:r>
      <w:hyperlink r:id="rId110" w:history="1">
        <w:r w:rsidRPr="007D7C94">
          <w:rPr>
            <w:rStyle w:val="Hipercze"/>
          </w:rPr>
          <w:t>link</w:t>
        </w:r>
      </w:hyperlink>
    </w:p>
    <w:p w14:paraId="6ACEEBDB" w14:textId="1BAABE25" w:rsidR="006C6123" w:rsidRDefault="00212281" w:rsidP="006C6123">
      <w:r w:rsidRPr="00212281">
        <w:rPr>
          <w:b/>
          <w:bCs/>
        </w:rPr>
        <w:t>dyrektywa EU ETS</w:t>
      </w:r>
      <w:r>
        <w:t xml:space="preserve"> – d</w:t>
      </w:r>
      <w:r w:rsidR="006C6123">
        <w:t xml:space="preserve">yrektywa PE i Rady </w:t>
      </w:r>
      <w:r w:rsidR="00246140">
        <w:t>(</w:t>
      </w:r>
      <w:r w:rsidR="006C6123">
        <w:t>UE</w:t>
      </w:r>
      <w:r w:rsidR="00246140">
        <w:t>)</w:t>
      </w:r>
      <w:r w:rsidR="006C6123">
        <w:t xml:space="preserve"> 2023/959</w:t>
      </w:r>
      <w:r w:rsidR="00246140">
        <w:t xml:space="preserve"> </w:t>
      </w:r>
      <w:r w:rsidR="00246140" w:rsidRPr="00246140">
        <w:t>z dnia 10 maja 2023 r. zmieniająca dyrektywę 2003/87/WE ustanawiającą system handlu przydziałami emisji gazów cieplarnianych w Unii oraz decyzję (UE) 2015/1814 w sprawie ustanowienia i funkcjonowania rezerwy stabilności rynkowej dla unijnego systemu handlu uprawnieniami do emisji gazów cieplarnianych</w:t>
      </w:r>
      <w:r w:rsidR="00246140">
        <w:t xml:space="preserve">, </w:t>
      </w:r>
      <w:hyperlink r:id="rId111" w:history="1">
        <w:r w:rsidR="00246140" w:rsidRPr="00136584">
          <w:rPr>
            <w:rStyle w:val="Hipercze"/>
          </w:rPr>
          <w:t>link</w:t>
        </w:r>
      </w:hyperlink>
    </w:p>
    <w:p w14:paraId="3A3F4541" w14:textId="2FC6F821" w:rsidR="003F21E8" w:rsidRDefault="003F21E8" w:rsidP="003F21E8">
      <w:pPr>
        <w:rPr>
          <w:rStyle w:val="Hipercze"/>
        </w:rPr>
      </w:pPr>
      <w:r w:rsidRPr="00817D26">
        <w:rPr>
          <w:b/>
          <w:bCs/>
        </w:rPr>
        <w:t>dyrektywa EED</w:t>
      </w:r>
      <w:r>
        <w:t xml:space="preserve"> – dyrektywa PE i Rady (UE) 2023/1791 dnia 13 września 2023 r. w sprawie efektywności energetycznej oraz zmieniająca rozporządzenie (UE) 2023/955, </w:t>
      </w:r>
      <w:hyperlink r:id="rId112" w:history="1">
        <w:r w:rsidRPr="00817D26">
          <w:rPr>
            <w:rStyle w:val="Hipercze"/>
          </w:rPr>
          <w:t>link</w:t>
        </w:r>
      </w:hyperlink>
    </w:p>
    <w:p w14:paraId="197A68CB" w14:textId="048C2249" w:rsidR="00282168" w:rsidRDefault="00212281" w:rsidP="00246140">
      <w:pPr>
        <w:rPr>
          <w:rStyle w:val="Hipercze"/>
        </w:rPr>
      </w:pPr>
      <w:r w:rsidRPr="00212281">
        <w:rPr>
          <w:b/>
          <w:bCs/>
        </w:rPr>
        <w:t>dyrektywa RED III</w:t>
      </w:r>
      <w:r>
        <w:t xml:space="preserve"> – d</w:t>
      </w:r>
      <w:r w:rsidR="00517CE9">
        <w:t>yrektywa</w:t>
      </w:r>
      <w:r w:rsidR="00246140">
        <w:t xml:space="preserve"> PE i Rady (UE) 2023/2413 z dnia 18 października 2023 r. zmieniająca dyrektywę (UE) 2018/2001, rozporządzenie (UE) 2018/1999 i dyrektywę 98/70/WE w odniesieniu do promowania energii ze źródeł odnawialnych oraz uchylająca dyrektywę Rady (UE) 2015/652, </w:t>
      </w:r>
      <w:hyperlink r:id="rId113" w:history="1">
        <w:r w:rsidR="00246140" w:rsidRPr="00246140">
          <w:rPr>
            <w:rStyle w:val="Hipercze"/>
          </w:rPr>
          <w:t>link</w:t>
        </w:r>
      </w:hyperlink>
    </w:p>
    <w:p w14:paraId="3F938087" w14:textId="5A3E6FC1" w:rsidR="006B0ECE" w:rsidRPr="006B0ECE" w:rsidRDefault="006B0ECE" w:rsidP="008D6531">
      <w:pPr>
        <w:rPr>
          <w:rStyle w:val="Hipercze"/>
          <w:color w:val="auto"/>
          <w:u w:val="none"/>
        </w:rPr>
      </w:pPr>
      <w:r w:rsidRPr="00473F79">
        <w:rPr>
          <w:rStyle w:val="Hipercze"/>
          <w:b/>
          <w:bCs/>
          <w:color w:val="auto"/>
          <w:u w:val="none"/>
        </w:rPr>
        <w:t>dyrektywa</w:t>
      </w:r>
      <w:r w:rsidR="008D6531" w:rsidRPr="00473F79">
        <w:rPr>
          <w:rStyle w:val="Hipercze"/>
          <w:b/>
          <w:bCs/>
          <w:color w:val="auto"/>
          <w:u w:val="none"/>
        </w:rPr>
        <w:t xml:space="preserve"> budynkowa,</w:t>
      </w:r>
      <w:r w:rsidRPr="00473F79">
        <w:rPr>
          <w:rStyle w:val="Hipercze"/>
          <w:b/>
          <w:bCs/>
          <w:color w:val="auto"/>
          <w:u w:val="none"/>
        </w:rPr>
        <w:t xml:space="preserve"> EPBD</w:t>
      </w:r>
      <w:r w:rsidRPr="00473F79">
        <w:rPr>
          <w:rStyle w:val="Hipercze"/>
          <w:color w:val="auto"/>
          <w:u w:val="none"/>
        </w:rPr>
        <w:t xml:space="preserve"> – </w:t>
      </w:r>
      <w:r w:rsidRPr="00473F79">
        <w:t>dyrektywa PE i Rady (UE) 2024/</w:t>
      </w:r>
      <w:r w:rsidR="008D6531" w:rsidRPr="00473F79">
        <w:t>1275 z dnia 24 kwietnia 2024 r. w sprawie charakterystyki energetycznej</w:t>
      </w:r>
      <w:r w:rsidR="008D6531">
        <w:t xml:space="preserve"> budynków, </w:t>
      </w:r>
      <w:hyperlink r:id="rId114" w:history="1">
        <w:r w:rsidR="008D6531" w:rsidRPr="008D6531">
          <w:rPr>
            <w:rStyle w:val="Hipercze"/>
          </w:rPr>
          <w:t>link</w:t>
        </w:r>
      </w:hyperlink>
      <w:r>
        <w:t xml:space="preserve"> </w:t>
      </w:r>
    </w:p>
    <w:p w14:paraId="1FA1ECF9" w14:textId="7F4AD65A" w:rsidR="00752614" w:rsidRPr="00A64AE3" w:rsidRDefault="00752614" w:rsidP="00752614">
      <w:pPr>
        <w:spacing w:before="480"/>
      </w:pPr>
      <w:r w:rsidRPr="00752614">
        <w:rPr>
          <w:b/>
          <w:bCs/>
        </w:rPr>
        <w:t>rozporządzenie dot</w:t>
      </w:r>
      <w:r>
        <w:rPr>
          <w:b/>
          <w:bCs/>
        </w:rPr>
        <w:t>yczące</w:t>
      </w:r>
      <w:r w:rsidRPr="00752614">
        <w:rPr>
          <w:b/>
          <w:bCs/>
        </w:rPr>
        <w:t xml:space="preserve"> etykietowania</w:t>
      </w:r>
      <w:r>
        <w:t xml:space="preserve"> – </w:t>
      </w:r>
      <w:r w:rsidRPr="00A64AE3">
        <w:t>rozporządzenie PE i Rady (UE) 2017/1369 z dnia 4 lipca 2017</w:t>
      </w:r>
      <w:r>
        <w:t> </w:t>
      </w:r>
      <w:r w:rsidRPr="00A64AE3">
        <w:t>r. ustanawiające ramy etykietowania energetycznego i uchylające dyrektywę 2010/30/UE</w:t>
      </w:r>
    </w:p>
    <w:p w14:paraId="56F2A21A" w14:textId="74992C03" w:rsidR="006E6AC8" w:rsidRDefault="006E6AC8" w:rsidP="00A2100A">
      <w:pPr>
        <w:rPr>
          <w:rStyle w:val="Hipercze"/>
        </w:rPr>
      </w:pPr>
      <w:r w:rsidRPr="00A2100A">
        <w:rPr>
          <w:b/>
          <w:bCs/>
        </w:rPr>
        <w:t>rozporządzenie LULUCF</w:t>
      </w:r>
      <w:r>
        <w:t xml:space="preserve"> </w:t>
      </w:r>
      <w:r w:rsidR="00A24E12">
        <w:t xml:space="preserve">– </w:t>
      </w:r>
      <w:r>
        <w:t xml:space="preserve">rozporządzenie PE i Rady (UE) 2018/841 z dnia 30 maja 2018 r. w sprawie włączenia emisji i pochłaniania gazów cieplarnianych w wyniku działalności związanej z użytkowaniem gruntów, zmianą użytkowania gruntów i leśnictwem do ram polityki klimatyczno-energetycznej do roku 2030 i zmieniające rozporządzenie (UE) nr 525/2013 oraz decyzję nr 529/2013/UE, </w:t>
      </w:r>
      <w:hyperlink r:id="rId115" w:history="1">
        <w:r w:rsidRPr="006E6AC8">
          <w:rPr>
            <w:rStyle w:val="Hipercze"/>
          </w:rPr>
          <w:t>link</w:t>
        </w:r>
      </w:hyperlink>
    </w:p>
    <w:p w14:paraId="5A6FF833" w14:textId="611A8108" w:rsidR="005A55CD" w:rsidRDefault="005A55CD" w:rsidP="003F21E8">
      <w:pPr>
        <w:rPr>
          <w:b/>
          <w:bCs/>
        </w:rPr>
      </w:pPr>
      <w:r>
        <w:rPr>
          <w:b/>
          <w:bCs/>
        </w:rPr>
        <w:t xml:space="preserve">rozporządzenie governance </w:t>
      </w:r>
      <w:r w:rsidRPr="005A55CD">
        <w:t xml:space="preserve">– </w:t>
      </w:r>
      <w:r>
        <w:t>r</w:t>
      </w:r>
      <w:r w:rsidRPr="005A55CD">
        <w:t xml:space="preserve">ozporządzenie </w:t>
      </w:r>
      <w:r>
        <w:t>PE</w:t>
      </w:r>
      <w:r w:rsidRPr="005A55CD">
        <w:t xml:space="preserve"> i Rady (UE) 2018/1999 z dnia 11 grudnia 2018 r. w</w:t>
      </w:r>
      <w:r>
        <w:t> </w:t>
      </w:r>
      <w:r w:rsidRPr="005A55CD">
        <w:t xml:space="preserve">sprawie zarządzania unią energetyczną i działaniami w dziedzinie klimatu, zmiany rozporządzeń </w:t>
      </w:r>
      <w:r w:rsidR="00DD5F88">
        <w:t>PE i</w:t>
      </w:r>
      <w:r w:rsidRPr="005A55CD">
        <w:t xml:space="preserve"> Rady (WE) nr 663/2009 i (WE) nr 715/2009, dyrektyw </w:t>
      </w:r>
      <w:r w:rsidR="00DD5F88">
        <w:t>PE i</w:t>
      </w:r>
      <w:r w:rsidRPr="005A55CD">
        <w:t xml:space="preserve"> Rady 94/22/WE, 98/70/WE, 2009/31/WE, 2009/73/WE, 2010/31/UE, 2012/27/UE i</w:t>
      </w:r>
      <w:r w:rsidR="007274ED">
        <w:t> </w:t>
      </w:r>
      <w:r w:rsidRPr="005A55CD">
        <w:t xml:space="preserve">2013/30/UE, dyrektyw Rady 2009/119/WE i (EU) 2015/652 oraz uchylenia rozporządzenia </w:t>
      </w:r>
      <w:r w:rsidR="00DD5F88">
        <w:t>PE i</w:t>
      </w:r>
      <w:r w:rsidRPr="005A55CD">
        <w:t xml:space="preserve"> Rady (UE) nr 525/2013</w:t>
      </w:r>
      <w:r>
        <w:t xml:space="preserve">, </w:t>
      </w:r>
      <w:hyperlink r:id="rId116" w:history="1">
        <w:r w:rsidRPr="005A55CD">
          <w:rPr>
            <w:rStyle w:val="Hipercze"/>
          </w:rPr>
          <w:t>link</w:t>
        </w:r>
      </w:hyperlink>
    </w:p>
    <w:p w14:paraId="262790CB" w14:textId="693968A2" w:rsidR="003F21E8" w:rsidRDefault="003F21E8" w:rsidP="003F21E8">
      <w:r w:rsidRPr="004B160D">
        <w:rPr>
          <w:b/>
          <w:bCs/>
        </w:rPr>
        <w:t>Europejskie prawo o klimacie</w:t>
      </w:r>
      <w:r>
        <w:t xml:space="preserve"> – rozporządzenie PE i Rady (UE) 2021/1119 z dnia 30 czerwca 2021 r. w sprawie ustanowienia ram na potrzeby osiągnięcia neutralności klimatycznej i zmiany rozporządzeń (WE) nr 401/2009 i (UE) 2018/1999, link </w:t>
      </w:r>
    </w:p>
    <w:p w14:paraId="4846ADDC" w14:textId="12D0394B" w:rsidR="004B160D" w:rsidRDefault="004B160D" w:rsidP="004B160D">
      <w:r w:rsidRPr="00A2100A">
        <w:rPr>
          <w:b/>
          <w:bCs/>
        </w:rPr>
        <w:t>rozporządzenie LULUCF</w:t>
      </w:r>
      <w:r>
        <w:t xml:space="preserve"> </w:t>
      </w:r>
      <w:r w:rsidRPr="00CA5D28">
        <w:rPr>
          <w:b/>
          <w:bCs/>
        </w:rPr>
        <w:t xml:space="preserve">II </w:t>
      </w:r>
      <w:r>
        <w:t xml:space="preserve">– rozporządzenie PE i Rady (UE) 2023/839 z dnia 19 kwietnia 2023 r. w sprawie zmiany rozporządzenia (UE) 2018/841 w odniesieniu do zakresu stosowania, uproszczenia przepisów dotyczących sprawozdawczości i zgodności oraz określenia celów państw członkowskich na 2030 r., a także zmiany rozporządzenia (UE) 2018/1999 w odniesieniu do poprawy monitorowania, sprawozdawczości, śledzenia postępów i przeglądu, </w:t>
      </w:r>
      <w:hyperlink r:id="rId117" w:history="1">
        <w:r w:rsidRPr="00A2100A">
          <w:rPr>
            <w:rStyle w:val="Hipercze"/>
          </w:rPr>
          <w:t>link</w:t>
        </w:r>
      </w:hyperlink>
    </w:p>
    <w:p w14:paraId="78A9C1DA" w14:textId="0AEC2F44" w:rsidR="002279C6" w:rsidRDefault="003F21E8" w:rsidP="003F21E8">
      <w:pPr>
        <w:rPr>
          <w:rStyle w:val="Hipercze"/>
        </w:rPr>
      </w:pPr>
      <w:r w:rsidRPr="00212281">
        <w:rPr>
          <w:b/>
          <w:bCs/>
        </w:rPr>
        <w:t>rozporządzenie ESR – wspólny wysiłek redukcyjny</w:t>
      </w:r>
      <w:r>
        <w:t xml:space="preserve"> – rozporządzenie PE i Rady (UE) 2023/857 z dnia 19 kwietnia 2023 r. zmieniające rozporządzenie (UE) 2018/842 w sprawie wiążących rocznych redukcji emisji gazów cieplarnianych przez państwa członkowskie od 2021 r. do 2030 r. przyczyniających się do działań na rzecz klimatu w celu wywiązania się z zobowiązań wynikających z porozumienia paryskiego oraz zmieniające rozporządzenie (UE) 2018/1999, </w:t>
      </w:r>
      <w:hyperlink r:id="rId118" w:history="1">
        <w:r w:rsidRPr="00D84AAA">
          <w:rPr>
            <w:rStyle w:val="Hipercze"/>
          </w:rPr>
          <w:t>link</w:t>
        </w:r>
      </w:hyperlink>
    </w:p>
    <w:p w14:paraId="6636EFDB" w14:textId="5AF6162B" w:rsidR="00FF5DB1" w:rsidRDefault="00FF5DB1" w:rsidP="00FF5DB1">
      <w:pPr>
        <w:rPr>
          <w:rStyle w:val="Hipercze"/>
        </w:rPr>
      </w:pPr>
      <w:r w:rsidRPr="00FF5DB1">
        <w:rPr>
          <w:b/>
          <w:bCs/>
        </w:rPr>
        <w:t>rozporządzenie AFIR</w:t>
      </w:r>
      <w:r>
        <w:t xml:space="preserve"> – r</w:t>
      </w:r>
      <w:r w:rsidRPr="00FF5DB1">
        <w:t xml:space="preserve">ozporządzenie </w:t>
      </w:r>
      <w:r>
        <w:t>PE i Rady (UE)</w:t>
      </w:r>
      <w:r w:rsidRPr="00FF5DB1">
        <w:t xml:space="preserve"> 2023/1804 z dnia 13 września 2023 r. w sprawie rozwoju infrastruktury paliw alternatywnych i uchylenia dyrektywy 2014/94/UE</w:t>
      </w:r>
      <w:r>
        <w:t xml:space="preserve">, </w:t>
      </w:r>
      <w:hyperlink r:id="rId119" w:history="1">
        <w:r w:rsidRPr="00FF5DB1">
          <w:rPr>
            <w:rStyle w:val="Hipercze"/>
          </w:rPr>
          <w:t>link</w:t>
        </w:r>
      </w:hyperlink>
    </w:p>
    <w:p w14:paraId="3B3E8338" w14:textId="518167FF" w:rsidR="00282168" w:rsidRDefault="00A87EED" w:rsidP="00282168">
      <w:r w:rsidRPr="003A6111">
        <w:rPr>
          <w:b/>
          <w:bCs/>
        </w:rPr>
        <w:t xml:space="preserve">rozporządzenie </w:t>
      </w:r>
      <w:r w:rsidRPr="008733FF">
        <w:rPr>
          <w:b/>
          <w:bCs/>
        </w:rPr>
        <w:t>w sprawie baterii i zużytych baterii</w:t>
      </w:r>
      <w:r w:rsidR="003A6111">
        <w:t xml:space="preserve"> – rozporządzenie 2023/1542 PE i Rady </w:t>
      </w:r>
      <w:r w:rsidR="008733FF">
        <w:t xml:space="preserve">(UE) </w:t>
      </w:r>
      <w:r w:rsidR="003A6111" w:rsidRPr="003A6111">
        <w:t>z dnia 12 lipca 2023 r. w sprawie baterii i zużytych baterii, zmieniające dyrektywę 2008/98/WE i rozporządzenie (UE) 2019/1020 oraz uchylające dyrektywę 2006/66/WE (Tekst mający znaczenie dla EOG)</w:t>
      </w:r>
      <w:r>
        <w:t>,</w:t>
      </w:r>
      <w:r w:rsidR="003A6111">
        <w:t xml:space="preserve"> </w:t>
      </w:r>
      <w:hyperlink r:id="rId120" w:history="1">
        <w:r w:rsidR="003A6111" w:rsidRPr="003A6111">
          <w:rPr>
            <w:rStyle w:val="Hipercze"/>
          </w:rPr>
          <w:t>link</w:t>
        </w:r>
      </w:hyperlink>
    </w:p>
    <w:p w14:paraId="6155DA14" w14:textId="71DBE70D" w:rsidR="009D48CB" w:rsidRDefault="008D6531" w:rsidP="00282168">
      <w:pPr>
        <w:rPr>
          <w:rStyle w:val="Hipercze"/>
          <w:rFonts w:cs="Calibri"/>
          <w:kern w:val="0"/>
          <w:szCs w:val="20"/>
          <w14:ligatures w14:val="none"/>
        </w:rPr>
      </w:pPr>
      <w:r>
        <w:rPr>
          <w:rFonts w:cs="Calibri"/>
          <w:b/>
          <w:bCs/>
          <w:kern w:val="0"/>
          <w:szCs w:val="20"/>
          <w14:ligatures w14:val="none"/>
        </w:rPr>
        <w:t xml:space="preserve">rozporządzenie </w:t>
      </w:r>
      <w:r w:rsidR="00282168" w:rsidRPr="000A6EB6">
        <w:rPr>
          <w:rFonts w:cs="Calibri"/>
          <w:b/>
          <w:bCs/>
          <w:kern w:val="0"/>
          <w:szCs w:val="20"/>
          <w14:ligatures w14:val="none"/>
        </w:rPr>
        <w:t>ReFuelEU Aviation</w:t>
      </w:r>
      <w:r w:rsidR="00282168" w:rsidRPr="009D61DE">
        <w:rPr>
          <w:rFonts w:cs="Calibri"/>
          <w:kern w:val="0"/>
          <w:szCs w:val="20"/>
          <w14:ligatures w14:val="none"/>
        </w:rPr>
        <w:t xml:space="preserve"> </w:t>
      </w:r>
      <w:r w:rsidR="00282168">
        <w:rPr>
          <w:rFonts w:cs="Calibri"/>
          <w:kern w:val="0"/>
          <w:szCs w:val="20"/>
          <w14:ligatures w14:val="none"/>
        </w:rPr>
        <w:t xml:space="preserve">– </w:t>
      </w:r>
      <w:r w:rsidR="00282168" w:rsidRPr="009D61DE">
        <w:rPr>
          <w:rFonts w:cs="Calibri"/>
          <w:kern w:val="0"/>
          <w:szCs w:val="20"/>
          <w14:ligatures w14:val="none"/>
        </w:rPr>
        <w:t>rozporządzeni</w:t>
      </w:r>
      <w:r w:rsidR="00282168">
        <w:rPr>
          <w:rFonts w:cs="Calibri"/>
          <w:kern w:val="0"/>
          <w:szCs w:val="20"/>
          <w14:ligatures w14:val="none"/>
        </w:rPr>
        <w:t>e</w:t>
      </w:r>
      <w:r w:rsidR="00282168" w:rsidRPr="009D61DE">
        <w:rPr>
          <w:rFonts w:cs="Calibri"/>
          <w:kern w:val="0"/>
          <w:szCs w:val="20"/>
          <w14:ligatures w14:val="none"/>
        </w:rPr>
        <w:t xml:space="preserve"> </w:t>
      </w:r>
      <w:r w:rsidR="00282168">
        <w:rPr>
          <w:rFonts w:cs="Calibri"/>
          <w:kern w:val="0"/>
          <w:szCs w:val="20"/>
          <w14:ligatures w14:val="none"/>
        </w:rPr>
        <w:t xml:space="preserve">PE </w:t>
      </w:r>
      <w:r w:rsidR="00282168" w:rsidRPr="009D61DE">
        <w:rPr>
          <w:rFonts w:cs="Calibri"/>
          <w:kern w:val="0"/>
          <w:szCs w:val="20"/>
          <w14:ligatures w14:val="none"/>
        </w:rPr>
        <w:t>i Rady (UE) 2023/2405 z dnia 18 października 2023 r. w sprawie zapewnienia równych warunków działania dla zrównoważonego transportu lotniczego</w:t>
      </w:r>
      <w:r w:rsidR="00282168">
        <w:rPr>
          <w:rFonts w:cs="Calibri"/>
          <w:kern w:val="0"/>
          <w:szCs w:val="20"/>
          <w14:ligatures w14:val="none"/>
        </w:rPr>
        <w:t xml:space="preserve">, </w:t>
      </w:r>
      <w:hyperlink r:id="rId121" w:history="1">
        <w:r w:rsidR="00282168" w:rsidRPr="000A6EB6">
          <w:rPr>
            <w:rStyle w:val="Hipercze"/>
            <w:rFonts w:cs="Calibri"/>
            <w:kern w:val="0"/>
            <w:szCs w:val="20"/>
            <w14:ligatures w14:val="none"/>
          </w:rPr>
          <w:t>link</w:t>
        </w:r>
      </w:hyperlink>
    </w:p>
    <w:p w14:paraId="36DC38F0" w14:textId="3C2B87F8" w:rsidR="009D48CB" w:rsidRPr="00465FA4" w:rsidRDefault="009D48CB" w:rsidP="009D48CB">
      <w:pPr>
        <w:rPr>
          <w:rFonts w:cs="Calibri"/>
          <w:color w:val="0563C1" w:themeColor="hyperlink"/>
          <w:kern w:val="0"/>
          <w:szCs w:val="20"/>
          <w:u w:val="single"/>
          <w14:ligatures w14:val="none"/>
        </w:rPr>
      </w:pPr>
      <w:r w:rsidRPr="009D48CB">
        <w:rPr>
          <w:rFonts w:cs="Calibri"/>
          <w:b/>
          <w:bCs/>
          <w:color w:val="000000" w:themeColor="text1"/>
          <w:kern w:val="0"/>
          <w:szCs w:val="20"/>
          <w14:ligatures w14:val="none"/>
        </w:rPr>
        <w:t>rozporządzenie FuelEU Maritime</w:t>
      </w:r>
      <w:r w:rsidRPr="009D48CB">
        <w:rPr>
          <w:rFonts w:cs="Calibri"/>
          <w:color w:val="000000" w:themeColor="text1"/>
          <w:kern w:val="0"/>
          <w:szCs w:val="20"/>
          <w14:ligatures w14:val="none"/>
        </w:rPr>
        <w:t xml:space="preserve"> – rozporządzenie PE i Rady (UE) 2023/1805 z dnia 13 września 2023 r. w sprawie stosowania paliw odnawialnych i niskoemisyjnych w transporcie morskim oraz zmiany dyrektywy 2009/16/WE,</w:t>
      </w:r>
      <w:r w:rsidRPr="009D48CB">
        <w:rPr>
          <w:rFonts w:cs="Calibri"/>
          <w:color w:val="000000" w:themeColor="text1"/>
          <w:kern w:val="0"/>
          <w:szCs w:val="20"/>
          <w:u w:val="single"/>
          <w14:ligatures w14:val="none"/>
        </w:rPr>
        <w:t xml:space="preserve"> </w:t>
      </w:r>
      <w:hyperlink r:id="rId122" w:history="1">
        <w:r w:rsidRPr="00465FA4">
          <w:rPr>
            <w:rStyle w:val="Hipercze"/>
            <w:rFonts w:cs="Calibri"/>
            <w:kern w:val="0"/>
            <w:szCs w:val="20"/>
            <w14:ligatures w14:val="none"/>
          </w:rPr>
          <w:t>link</w:t>
        </w:r>
      </w:hyperlink>
      <w:r w:rsidRPr="00465FA4">
        <w:rPr>
          <w:rFonts w:cs="Calibri"/>
          <w:color w:val="0563C1" w:themeColor="hyperlink"/>
          <w:kern w:val="0"/>
          <w:szCs w:val="20"/>
          <w:u w:val="single"/>
          <w14:ligatures w14:val="none"/>
        </w:rPr>
        <w:t xml:space="preserve">   </w:t>
      </w:r>
    </w:p>
    <w:p w14:paraId="39811699" w14:textId="048B82A5" w:rsidR="009D48CB" w:rsidRDefault="009D48CB" w:rsidP="009D48CB">
      <w:pPr>
        <w:rPr>
          <w:rStyle w:val="Hipercze"/>
          <w:rFonts w:cs="Calibri"/>
          <w:bCs/>
          <w:kern w:val="0"/>
          <w:szCs w:val="20"/>
          <w14:ligatures w14:val="none"/>
        </w:rPr>
      </w:pPr>
      <w:r w:rsidRPr="009D48CB">
        <w:rPr>
          <w:rFonts w:cs="Calibri"/>
          <w:b/>
          <w:bCs/>
          <w:color w:val="000000" w:themeColor="text1"/>
          <w:kern w:val="0"/>
          <w:szCs w:val="20"/>
          <w14:ligatures w14:val="none"/>
        </w:rPr>
        <w:t>rozporządzenie MRV</w:t>
      </w:r>
      <w:r w:rsidRPr="009D48CB">
        <w:rPr>
          <w:rFonts w:cs="Calibri"/>
          <w:color w:val="000000" w:themeColor="text1"/>
          <w:kern w:val="0"/>
          <w:szCs w:val="20"/>
          <w14:ligatures w14:val="none"/>
        </w:rPr>
        <w:t xml:space="preserve"> </w:t>
      </w:r>
      <w:r w:rsidR="00AC3BAF">
        <w:rPr>
          <w:rFonts w:cs="Calibri"/>
          <w:color w:val="000000" w:themeColor="text1"/>
          <w:kern w:val="0"/>
          <w:szCs w:val="20"/>
          <w14:ligatures w14:val="none"/>
        </w:rPr>
        <w:t>–</w:t>
      </w:r>
      <w:r w:rsidRPr="009D48CB">
        <w:rPr>
          <w:rFonts w:cs="Calibri"/>
          <w:color w:val="000000" w:themeColor="text1"/>
          <w:kern w:val="0"/>
          <w:szCs w:val="20"/>
          <w14:ligatures w14:val="none"/>
        </w:rPr>
        <w:t xml:space="preserve"> </w:t>
      </w:r>
      <w:r w:rsidRPr="009D48CB">
        <w:rPr>
          <w:rFonts w:cs="Calibri"/>
          <w:bCs/>
          <w:color w:val="000000" w:themeColor="text1"/>
          <w:kern w:val="0"/>
          <w:szCs w:val="20"/>
          <w14:ligatures w14:val="none"/>
        </w:rPr>
        <w:t>rozporządzenie PE i Rady (UE) 2023/957 z dnia 10 maja 2023 r. zm</w:t>
      </w:r>
      <w:r w:rsidR="00950CAE">
        <w:rPr>
          <w:rFonts w:cs="Calibri"/>
          <w:bCs/>
          <w:color w:val="000000" w:themeColor="text1"/>
          <w:kern w:val="0"/>
          <w:szCs w:val="20"/>
          <w14:ligatures w14:val="none"/>
        </w:rPr>
        <w:t>ieniające</w:t>
      </w:r>
      <w:r w:rsidRPr="009D48CB">
        <w:rPr>
          <w:rFonts w:cs="Calibri"/>
          <w:bCs/>
          <w:color w:val="000000" w:themeColor="text1"/>
          <w:kern w:val="0"/>
          <w:szCs w:val="20"/>
          <w14:ligatures w14:val="none"/>
        </w:rPr>
        <w:t xml:space="preserve"> rozporządzenie (UE) 2015/757 w celu włączenia transportu morskiego do unijnego systemu handlu uprawnieniami do emisji oraz monitorowania, raportowania i weryfikacji emisji dodatkowych gazów cieplarnianych i emisji z dodatkowych typów statków,</w:t>
      </w:r>
      <w:r w:rsidRPr="009D48CB">
        <w:rPr>
          <w:rFonts w:cs="Calibri"/>
          <w:bCs/>
          <w:color w:val="000000" w:themeColor="text1"/>
          <w:kern w:val="0"/>
          <w:szCs w:val="20"/>
          <w:u w:val="single"/>
          <w14:ligatures w14:val="none"/>
        </w:rPr>
        <w:t xml:space="preserve"> </w:t>
      </w:r>
      <w:hyperlink r:id="rId123" w:history="1">
        <w:r w:rsidRPr="00465FA4">
          <w:rPr>
            <w:rStyle w:val="Hipercze"/>
            <w:rFonts w:cs="Calibri"/>
            <w:bCs/>
            <w:kern w:val="0"/>
            <w:szCs w:val="20"/>
            <w14:ligatures w14:val="none"/>
          </w:rPr>
          <w:t>link</w:t>
        </w:r>
      </w:hyperlink>
    </w:p>
    <w:p w14:paraId="0E2CCDE5" w14:textId="13751069" w:rsidR="004F2F78" w:rsidRPr="00B7441F" w:rsidRDefault="008D6531" w:rsidP="009D48CB">
      <w:pPr>
        <w:rPr>
          <w:rFonts w:cs="Calibri"/>
          <w:bCs/>
          <w:color w:val="0563C1" w:themeColor="hyperlink"/>
          <w:kern w:val="0"/>
          <w:szCs w:val="20"/>
          <w14:ligatures w14:val="none"/>
        </w:rPr>
      </w:pPr>
      <w:r w:rsidRPr="00B7441F">
        <w:rPr>
          <w:rFonts w:cs="Calibri"/>
          <w:b/>
          <w:kern w:val="0"/>
          <w:szCs w:val="20"/>
          <w14:ligatures w14:val="none"/>
        </w:rPr>
        <w:t xml:space="preserve">rozporządzenie </w:t>
      </w:r>
      <w:r w:rsidR="004F2F78" w:rsidRPr="00B7441F">
        <w:rPr>
          <w:rFonts w:cs="Calibri"/>
          <w:b/>
          <w:kern w:val="0"/>
          <w:szCs w:val="20"/>
          <w14:ligatures w14:val="none"/>
        </w:rPr>
        <w:t>Net Zero Industry Act, NZIA</w:t>
      </w:r>
      <w:r w:rsidR="004F2F78" w:rsidRPr="00B7441F">
        <w:rPr>
          <w:rFonts w:cs="Calibri"/>
          <w:bCs/>
          <w:kern w:val="0"/>
          <w:szCs w:val="20"/>
          <w14:ligatures w14:val="none"/>
        </w:rPr>
        <w:t xml:space="preserve"> – rozporządzenie PE i Rady (UE) 2024/1735 z dnia</w:t>
      </w:r>
      <w:r w:rsidR="00882052" w:rsidRPr="00B7441F">
        <w:rPr>
          <w:rFonts w:cs="Calibri"/>
          <w:bCs/>
          <w:kern w:val="0"/>
          <w:szCs w:val="20"/>
          <w14:ligatures w14:val="none"/>
        </w:rPr>
        <w:br/>
      </w:r>
      <w:r w:rsidR="004F2F78" w:rsidRPr="00B7441F">
        <w:rPr>
          <w:rFonts w:cs="Calibri"/>
          <w:bCs/>
          <w:kern w:val="0"/>
          <w:szCs w:val="20"/>
          <w14:ligatures w14:val="none"/>
        </w:rPr>
        <w:t>13</w:t>
      </w:r>
      <w:r w:rsidR="00882052" w:rsidRPr="00B7441F">
        <w:rPr>
          <w:rFonts w:cs="Calibri"/>
          <w:bCs/>
          <w:kern w:val="0"/>
          <w:szCs w:val="20"/>
          <w14:ligatures w14:val="none"/>
        </w:rPr>
        <w:t> </w:t>
      </w:r>
      <w:r w:rsidR="004F2F78" w:rsidRPr="00B7441F">
        <w:rPr>
          <w:rFonts w:cs="Calibri"/>
          <w:bCs/>
          <w:kern w:val="0"/>
          <w:szCs w:val="20"/>
          <w14:ligatures w14:val="none"/>
        </w:rPr>
        <w:t>czerwca 2024 r. w sprawie ustanowienia ram środków na rzecz wzmocnienia europejskiego ekosystemu produkcji produktów technologii neutralnych emisyjnie</w:t>
      </w:r>
      <w:r w:rsidR="008C1A13" w:rsidRPr="00B7441F">
        <w:rPr>
          <w:rFonts w:cs="Calibri"/>
          <w:bCs/>
          <w:kern w:val="0"/>
          <w:szCs w:val="20"/>
          <w14:ligatures w14:val="none"/>
        </w:rPr>
        <w:t xml:space="preserve">, </w:t>
      </w:r>
      <w:hyperlink r:id="rId124" w:history="1">
        <w:r w:rsidR="008C1A13" w:rsidRPr="00B7441F">
          <w:rPr>
            <w:rStyle w:val="Hipercze"/>
            <w:rFonts w:cs="Calibri"/>
            <w:bCs/>
            <w:kern w:val="0"/>
            <w:szCs w:val="20"/>
            <w:u w:val="none"/>
            <w14:ligatures w14:val="none"/>
          </w:rPr>
          <w:t>link</w:t>
        </w:r>
      </w:hyperlink>
    </w:p>
    <w:p w14:paraId="4D0FB6F0" w14:textId="50C38766" w:rsidR="000F0F23" w:rsidRDefault="00882052" w:rsidP="007B5CE2">
      <w:pPr>
        <w:rPr>
          <w:rFonts w:cs="Calibri"/>
          <w:bCs/>
          <w:color w:val="0563C1" w:themeColor="hyperlink"/>
          <w:kern w:val="0"/>
          <w:szCs w:val="20"/>
          <w:u w:val="single"/>
          <w14:ligatures w14:val="none"/>
        </w:rPr>
      </w:pPr>
      <w:r w:rsidRPr="00B7441F">
        <w:rPr>
          <w:rFonts w:cs="Calibri"/>
          <w:b/>
          <w:kern w:val="0"/>
          <w:szCs w:val="20"/>
          <w14:ligatures w14:val="none"/>
        </w:rPr>
        <w:t>rozporządzenie UE dotyczące surowców krytycznych</w:t>
      </w:r>
      <w:r w:rsidRPr="00B7441F">
        <w:rPr>
          <w:rFonts w:cs="Calibri"/>
          <w:bCs/>
          <w:kern w:val="0"/>
          <w:szCs w:val="20"/>
          <w14:ligatures w14:val="none"/>
        </w:rPr>
        <w:t xml:space="preserve"> – </w:t>
      </w:r>
      <w:r w:rsidR="000F0F23" w:rsidRPr="00B7441F">
        <w:rPr>
          <w:rFonts w:cs="Calibri"/>
          <w:bCs/>
          <w:kern w:val="0"/>
          <w:szCs w:val="20"/>
          <w14:ligatures w14:val="none"/>
        </w:rPr>
        <w:t>rozporządzenie PE i Rady (UE) 2024/1252 z dnia 11 kwietnia 2024 r. w sprawie ustanowienia ram na potrzeby zapewnienia bezpiecznych i zrównoważonych dostaw surowców krytycznych oraz zmiany rozporządzeń (UE) nr 168/2013, (UE) 2018/858, (UE) 2018/1724 i (UE) 2019/1020,</w:t>
      </w:r>
      <w:r w:rsidR="000F0F23" w:rsidRPr="00B7441F">
        <w:rPr>
          <w:rFonts w:cs="Calibri"/>
          <w:bCs/>
          <w:kern w:val="0"/>
          <w:szCs w:val="20"/>
          <w:u w:val="single"/>
          <w14:ligatures w14:val="none"/>
        </w:rPr>
        <w:t xml:space="preserve"> </w:t>
      </w:r>
      <w:hyperlink r:id="rId125" w:history="1">
        <w:r w:rsidR="000F0F23" w:rsidRPr="000F0F23">
          <w:rPr>
            <w:rStyle w:val="Hipercze"/>
            <w:rFonts w:cs="Calibri"/>
            <w:bCs/>
            <w:kern w:val="0"/>
            <w:szCs w:val="20"/>
            <w14:ligatures w14:val="none"/>
          </w:rPr>
          <w:t>link</w:t>
        </w:r>
      </w:hyperlink>
    </w:p>
    <w:p w14:paraId="6B11B988" w14:textId="1F613354" w:rsidR="006D2C1D" w:rsidRDefault="00547217" w:rsidP="007B5CE2">
      <w:pPr>
        <w:rPr>
          <w:rFonts w:cs="Calibri"/>
          <w:bCs/>
          <w:color w:val="0563C1" w:themeColor="hyperlink"/>
          <w:kern w:val="0"/>
          <w:szCs w:val="20"/>
          <w:u w:val="single"/>
          <w14:ligatures w14:val="none"/>
        </w:rPr>
      </w:pPr>
      <w:r w:rsidRPr="00B7441F">
        <w:rPr>
          <w:rFonts w:cs="Calibri"/>
          <w:b/>
          <w:kern w:val="0"/>
          <w:szCs w:val="20"/>
          <w14:ligatures w14:val="none"/>
        </w:rPr>
        <w:t>Europejski Zielony Ład</w:t>
      </w:r>
      <w:r w:rsidRPr="00B7441F">
        <w:rPr>
          <w:rFonts w:cs="Calibri"/>
          <w:bCs/>
          <w:kern w:val="0"/>
          <w:szCs w:val="20"/>
          <w14:ligatures w14:val="none"/>
        </w:rPr>
        <w:t xml:space="preserve"> – </w:t>
      </w:r>
      <w:r w:rsidR="006D2C1D" w:rsidRPr="00B7441F">
        <w:rPr>
          <w:rFonts w:cs="Calibri"/>
          <w:bCs/>
          <w:kern w:val="0"/>
          <w:szCs w:val="20"/>
          <w14:ligatures w14:val="none"/>
        </w:rPr>
        <w:t xml:space="preserve">Komunikat Komisji do Parlamentu Europejskiego, Rady, Europejskiego Komitetu Ekonomiczno-Społecznego i Komitetu Regionów „Europejski Zielony Ład” (COM(2019) 640 final), </w:t>
      </w:r>
      <w:hyperlink r:id="rId126" w:history="1">
        <w:r w:rsidR="006D2C1D" w:rsidRPr="006D2C1D">
          <w:rPr>
            <w:rStyle w:val="Hipercze"/>
            <w:rFonts w:cs="Calibri"/>
            <w:bCs/>
            <w:kern w:val="0"/>
            <w:szCs w:val="20"/>
            <w14:ligatures w14:val="none"/>
          </w:rPr>
          <w:t>link</w:t>
        </w:r>
      </w:hyperlink>
    </w:p>
    <w:bookmarkEnd w:id="452"/>
    <w:p w14:paraId="6FFBD143" w14:textId="28C9BF73" w:rsidR="007B5CE2" w:rsidRPr="00465FA4" w:rsidRDefault="007B5CE2" w:rsidP="007B5CE2">
      <w:pPr>
        <w:rPr>
          <w:rFonts w:cs="Calibri"/>
          <w:bCs/>
          <w:color w:val="0563C1" w:themeColor="hyperlink"/>
          <w:kern w:val="0"/>
          <w:szCs w:val="20"/>
          <w:u w:val="single"/>
          <w14:ligatures w14:val="none"/>
        </w:rPr>
      </w:pPr>
    </w:p>
    <w:p w14:paraId="5C27F939" w14:textId="44252DAB" w:rsidR="00626342" w:rsidRPr="00282168" w:rsidRDefault="00626342" w:rsidP="00282168">
      <w:pPr>
        <w:rPr>
          <w:rFonts w:cs="Calibri"/>
          <w:color w:val="0563C1" w:themeColor="hyperlink"/>
          <w:kern w:val="0"/>
          <w:szCs w:val="20"/>
          <w:u w:val="single"/>
          <w14:ligatures w14:val="none"/>
        </w:rPr>
      </w:pPr>
      <w:r>
        <w:br w:type="page"/>
      </w:r>
    </w:p>
    <w:p w14:paraId="63A2098C" w14:textId="25FC53CF" w:rsidR="007D5D1D" w:rsidRDefault="00DE72EA" w:rsidP="00626342">
      <w:pPr>
        <w:pStyle w:val="Nagwek1"/>
        <w:numPr>
          <w:ilvl w:val="0"/>
          <w:numId w:val="0"/>
        </w:numPr>
        <w:spacing w:before="600"/>
        <w:ind w:left="432" w:hanging="432"/>
      </w:pPr>
      <w:bookmarkStart w:id="454" w:name="_Toc159598369"/>
      <w:bookmarkStart w:id="455" w:name="_Toc179537014"/>
      <w:r>
        <w:t>Wykaz skrótów</w:t>
      </w:r>
      <w:bookmarkEnd w:id="454"/>
      <w:bookmarkEnd w:id="455"/>
    </w:p>
    <w:tbl>
      <w:tblPr>
        <w:tblStyle w:val="Tabela-Siatka"/>
        <w:tblW w:w="91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0" w:type="dxa"/>
          <w:right w:w="0" w:type="dxa"/>
        </w:tblCellMar>
        <w:tblLook w:val="04A0" w:firstRow="1" w:lastRow="0" w:firstColumn="1" w:lastColumn="0" w:noHBand="0" w:noVBand="1"/>
      </w:tblPr>
      <w:tblGrid>
        <w:gridCol w:w="964"/>
        <w:gridCol w:w="283"/>
        <w:gridCol w:w="7881"/>
      </w:tblGrid>
      <w:tr w:rsidR="003B4135" w:rsidRPr="00CE3606" w14:paraId="75F8215E" w14:textId="77777777" w:rsidTr="00CC5BCB">
        <w:trPr>
          <w:trHeight w:val="57"/>
        </w:trPr>
        <w:tc>
          <w:tcPr>
            <w:tcW w:w="964" w:type="dxa"/>
          </w:tcPr>
          <w:p w14:paraId="6610772C" w14:textId="29036C10" w:rsidR="003B4135" w:rsidRPr="00CE3606" w:rsidRDefault="003B4135" w:rsidP="000608EA">
            <w:pPr>
              <w:jc w:val="left"/>
              <w:rPr>
                <w:b/>
                <w:szCs w:val="20"/>
              </w:rPr>
            </w:pPr>
            <w:r w:rsidRPr="00CE3606">
              <w:rPr>
                <w:b/>
                <w:szCs w:val="20"/>
              </w:rPr>
              <w:t>CEPS</w:t>
            </w:r>
          </w:p>
        </w:tc>
        <w:tc>
          <w:tcPr>
            <w:tcW w:w="283" w:type="dxa"/>
          </w:tcPr>
          <w:p w14:paraId="20B8CB19" w14:textId="550E9DEC" w:rsidR="003B4135" w:rsidRPr="00CE3606" w:rsidRDefault="000C3472" w:rsidP="000608EA">
            <w:pPr>
              <w:jc w:val="left"/>
              <w:rPr>
                <w:szCs w:val="20"/>
              </w:rPr>
            </w:pPr>
            <w:r w:rsidRPr="00CE3606">
              <w:rPr>
                <w:szCs w:val="20"/>
              </w:rPr>
              <w:t>–</w:t>
            </w:r>
          </w:p>
        </w:tc>
        <w:tc>
          <w:tcPr>
            <w:tcW w:w="7881" w:type="dxa"/>
          </w:tcPr>
          <w:p w14:paraId="6C543813" w14:textId="167ED243" w:rsidR="003B4135" w:rsidRPr="00CE3606" w:rsidRDefault="003B4135" w:rsidP="000608EA">
            <w:pPr>
              <w:jc w:val="left"/>
              <w:rPr>
                <w:szCs w:val="20"/>
              </w:rPr>
            </w:pPr>
            <w:r w:rsidRPr="00CE3606">
              <w:rPr>
                <w:szCs w:val="20"/>
              </w:rPr>
              <w:t xml:space="preserve">Europejska Sieć Rurociągów Paliwowych, ang. </w:t>
            </w:r>
            <w:r w:rsidRPr="00CE3606">
              <w:rPr>
                <w:i/>
                <w:iCs/>
                <w:szCs w:val="20"/>
              </w:rPr>
              <w:t>Central Europe Pipeline System</w:t>
            </w:r>
          </w:p>
        </w:tc>
      </w:tr>
      <w:tr w:rsidR="00B5086C" w:rsidRPr="00CE3606" w14:paraId="5F084075" w14:textId="77777777" w:rsidTr="00CC5BCB">
        <w:trPr>
          <w:trHeight w:val="57"/>
        </w:trPr>
        <w:tc>
          <w:tcPr>
            <w:tcW w:w="964" w:type="dxa"/>
          </w:tcPr>
          <w:p w14:paraId="2E87BB03" w14:textId="77777777" w:rsidR="00B5086C" w:rsidRPr="00CE3606" w:rsidRDefault="00B5086C" w:rsidP="000608EA">
            <w:pPr>
              <w:jc w:val="left"/>
              <w:rPr>
                <w:b/>
                <w:szCs w:val="20"/>
              </w:rPr>
            </w:pPr>
            <w:r w:rsidRPr="00CE3606">
              <w:rPr>
                <w:b/>
                <w:szCs w:val="20"/>
              </w:rPr>
              <w:t>DSR</w:t>
            </w:r>
          </w:p>
        </w:tc>
        <w:tc>
          <w:tcPr>
            <w:tcW w:w="283" w:type="dxa"/>
          </w:tcPr>
          <w:p w14:paraId="281E3962" w14:textId="77777777" w:rsidR="00B5086C" w:rsidRPr="00CE3606" w:rsidRDefault="00B5086C" w:rsidP="000608EA">
            <w:pPr>
              <w:jc w:val="left"/>
              <w:rPr>
                <w:szCs w:val="20"/>
              </w:rPr>
            </w:pPr>
            <w:r w:rsidRPr="00CE3606">
              <w:rPr>
                <w:szCs w:val="20"/>
              </w:rPr>
              <w:t>–</w:t>
            </w:r>
          </w:p>
        </w:tc>
        <w:tc>
          <w:tcPr>
            <w:tcW w:w="7881" w:type="dxa"/>
          </w:tcPr>
          <w:p w14:paraId="2A8C2F88" w14:textId="77777777" w:rsidR="00B5086C" w:rsidRPr="00CE3606" w:rsidRDefault="00B5086C" w:rsidP="000608EA">
            <w:pPr>
              <w:jc w:val="left"/>
              <w:rPr>
                <w:szCs w:val="20"/>
              </w:rPr>
            </w:pPr>
            <w:r w:rsidRPr="00CE3606">
              <w:rPr>
                <w:szCs w:val="20"/>
              </w:rPr>
              <w:t xml:space="preserve">zarządzanie popytem, odpowiedź strony popytowej, ang. </w:t>
            </w:r>
            <w:r w:rsidRPr="00CE3606">
              <w:rPr>
                <w:i/>
                <w:szCs w:val="20"/>
              </w:rPr>
              <w:t>demand side response</w:t>
            </w:r>
          </w:p>
        </w:tc>
      </w:tr>
      <w:tr w:rsidR="00D73323" w:rsidRPr="00CE3606" w14:paraId="3D6C2EC9" w14:textId="77777777" w:rsidTr="00CC5BCB">
        <w:trPr>
          <w:trHeight w:val="57"/>
        </w:trPr>
        <w:tc>
          <w:tcPr>
            <w:tcW w:w="964" w:type="dxa"/>
          </w:tcPr>
          <w:p w14:paraId="0BE4F8B6" w14:textId="446BE080" w:rsidR="00D73323" w:rsidRPr="00CE3606" w:rsidRDefault="00D73323" w:rsidP="000608EA">
            <w:pPr>
              <w:jc w:val="left"/>
              <w:rPr>
                <w:b/>
                <w:szCs w:val="20"/>
              </w:rPr>
            </w:pPr>
            <w:r w:rsidRPr="00CE3606">
              <w:rPr>
                <w:b/>
                <w:szCs w:val="20"/>
              </w:rPr>
              <w:t>EP</w:t>
            </w:r>
          </w:p>
        </w:tc>
        <w:tc>
          <w:tcPr>
            <w:tcW w:w="283" w:type="dxa"/>
          </w:tcPr>
          <w:p w14:paraId="6A261B7B" w14:textId="79905E72" w:rsidR="00D73323" w:rsidRPr="00CE3606" w:rsidRDefault="00D73323" w:rsidP="000608EA">
            <w:pPr>
              <w:jc w:val="left"/>
              <w:rPr>
                <w:szCs w:val="20"/>
              </w:rPr>
            </w:pPr>
            <w:r w:rsidRPr="00CE3606">
              <w:rPr>
                <w:szCs w:val="20"/>
              </w:rPr>
              <w:t>–</w:t>
            </w:r>
          </w:p>
        </w:tc>
        <w:tc>
          <w:tcPr>
            <w:tcW w:w="7881" w:type="dxa"/>
          </w:tcPr>
          <w:p w14:paraId="52F934D2" w14:textId="45E3947E" w:rsidR="00D73323" w:rsidRPr="00CE3606" w:rsidRDefault="00D73323" w:rsidP="00B5086C">
            <w:pPr>
              <w:rPr>
                <w:szCs w:val="20"/>
              </w:rPr>
            </w:pPr>
            <w:r w:rsidRPr="00CE3606">
              <w:rPr>
                <w:szCs w:val="20"/>
              </w:rPr>
              <w:t xml:space="preserve">energia pierwotna; zastosowany w pojęciu „wskaźnik EP”, jako wskaźnik energii pierwotnej </w:t>
            </w:r>
          </w:p>
        </w:tc>
      </w:tr>
      <w:tr w:rsidR="00B5086C" w:rsidRPr="00D33FDD" w14:paraId="05F3ABAA" w14:textId="77777777" w:rsidTr="00CC5BCB">
        <w:trPr>
          <w:trHeight w:val="57"/>
        </w:trPr>
        <w:tc>
          <w:tcPr>
            <w:tcW w:w="964" w:type="dxa"/>
          </w:tcPr>
          <w:p w14:paraId="303F93FD" w14:textId="77777777" w:rsidR="00B5086C" w:rsidRPr="00CE3606" w:rsidRDefault="00B5086C" w:rsidP="000608EA">
            <w:pPr>
              <w:jc w:val="left"/>
              <w:rPr>
                <w:b/>
                <w:szCs w:val="20"/>
              </w:rPr>
            </w:pPr>
            <w:r w:rsidRPr="00CE3606">
              <w:rPr>
                <w:b/>
                <w:szCs w:val="20"/>
              </w:rPr>
              <w:t>EU ETS</w:t>
            </w:r>
          </w:p>
        </w:tc>
        <w:tc>
          <w:tcPr>
            <w:tcW w:w="283" w:type="dxa"/>
          </w:tcPr>
          <w:p w14:paraId="121D14CC" w14:textId="77777777" w:rsidR="00B5086C" w:rsidRPr="00CE3606" w:rsidRDefault="00B5086C" w:rsidP="000608EA">
            <w:pPr>
              <w:jc w:val="left"/>
              <w:rPr>
                <w:szCs w:val="20"/>
              </w:rPr>
            </w:pPr>
            <w:r w:rsidRPr="00CE3606">
              <w:rPr>
                <w:szCs w:val="20"/>
              </w:rPr>
              <w:t>–</w:t>
            </w:r>
          </w:p>
        </w:tc>
        <w:tc>
          <w:tcPr>
            <w:tcW w:w="7881" w:type="dxa"/>
          </w:tcPr>
          <w:p w14:paraId="00B39F52" w14:textId="2FD770C0" w:rsidR="00B5086C" w:rsidRPr="00CE3606" w:rsidRDefault="00B5086C" w:rsidP="00B5086C">
            <w:pPr>
              <w:rPr>
                <w:szCs w:val="20"/>
                <w:lang w:val="en-GB"/>
              </w:rPr>
            </w:pPr>
            <w:r w:rsidRPr="00CE3606">
              <w:rPr>
                <w:szCs w:val="20"/>
              </w:rPr>
              <w:t xml:space="preserve">europejski system handlu uprawnieniami do emisji, ang. </w:t>
            </w:r>
            <w:r w:rsidRPr="00CE3606">
              <w:rPr>
                <w:i/>
                <w:szCs w:val="20"/>
                <w:lang w:val="en-GB"/>
              </w:rPr>
              <w:t>European Union Emissions Trading System</w:t>
            </w:r>
          </w:p>
        </w:tc>
      </w:tr>
      <w:tr w:rsidR="00B5086C" w:rsidRPr="00CE3606" w14:paraId="2981AAA7" w14:textId="77777777" w:rsidTr="00CC5BCB">
        <w:trPr>
          <w:trHeight w:val="57"/>
        </w:trPr>
        <w:tc>
          <w:tcPr>
            <w:tcW w:w="964" w:type="dxa"/>
          </w:tcPr>
          <w:p w14:paraId="021857E5" w14:textId="77777777" w:rsidR="00B5086C" w:rsidRPr="00CE3606" w:rsidRDefault="00B5086C" w:rsidP="000608EA">
            <w:pPr>
              <w:jc w:val="left"/>
              <w:rPr>
                <w:b/>
                <w:szCs w:val="20"/>
              </w:rPr>
            </w:pPr>
            <w:r w:rsidRPr="00CE3606">
              <w:rPr>
                <w:b/>
                <w:szCs w:val="20"/>
              </w:rPr>
              <w:t>FSRU</w:t>
            </w:r>
          </w:p>
        </w:tc>
        <w:tc>
          <w:tcPr>
            <w:tcW w:w="283" w:type="dxa"/>
          </w:tcPr>
          <w:p w14:paraId="7AF09EA7" w14:textId="77777777" w:rsidR="00B5086C" w:rsidRPr="00CE3606" w:rsidRDefault="00B5086C" w:rsidP="000608EA">
            <w:pPr>
              <w:jc w:val="left"/>
              <w:rPr>
                <w:szCs w:val="20"/>
              </w:rPr>
            </w:pPr>
            <w:r w:rsidRPr="00CE3606">
              <w:rPr>
                <w:szCs w:val="20"/>
              </w:rPr>
              <w:t>–</w:t>
            </w:r>
          </w:p>
        </w:tc>
        <w:tc>
          <w:tcPr>
            <w:tcW w:w="7881" w:type="dxa"/>
          </w:tcPr>
          <w:p w14:paraId="7C03668A" w14:textId="528F8B49" w:rsidR="00B5086C" w:rsidRPr="00CE3606" w:rsidRDefault="00B5086C" w:rsidP="000608EA">
            <w:pPr>
              <w:jc w:val="left"/>
              <w:rPr>
                <w:i/>
                <w:szCs w:val="20"/>
              </w:rPr>
            </w:pPr>
            <w:r w:rsidRPr="00CE3606">
              <w:rPr>
                <w:szCs w:val="20"/>
              </w:rPr>
              <w:t>pływający terminal regazyfikacyjny gazu ziemnego</w:t>
            </w:r>
            <w:r w:rsidR="003B4135" w:rsidRPr="00CE3606">
              <w:rPr>
                <w:szCs w:val="20"/>
              </w:rPr>
              <w:t>,</w:t>
            </w:r>
            <w:r w:rsidRPr="00CE3606">
              <w:rPr>
                <w:szCs w:val="20"/>
              </w:rPr>
              <w:t xml:space="preserve"> ang.</w:t>
            </w:r>
            <w:r w:rsidRPr="00CE3606">
              <w:rPr>
                <w:i/>
                <w:szCs w:val="20"/>
              </w:rPr>
              <w:t xml:space="preserve"> floating storage regasification unit</w:t>
            </w:r>
          </w:p>
        </w:tc>
      </w:tr>
      <w:tr w:rsidR="00B5086C" w:rsidRPr="00D33FDD" w14:paraId="62D12FC5" w14:textId="77777777" w:rsidTr="00CC5BCB">
        <w:trPr>
          <w:trHeight w:val="57"/>
        </w:trPr>
        <w:tc>
          <w:tcPr>
            <w:tcW w:w="964" w:type="dxa"/>
          </w:tcPr>
          <w:p w14:paraId="6E7C9F82" w14:textId="31A7577D" w:rsidR="00B5086C" w:rsidRPr="00CE3606" w:rsidRDefault="00B5086C" w:rsidP="000608EA">
            <w:pPr>
              <w:jc w:val="left"/>
              <w:rPr>
                <w:b/>
                <w:szCs w:val="20"/>
              </w:rPr>
            </w:pPr>
            <w:r w:rsidRPr="00CE3606">
              <w:rPr>
                <w:b/>
                <w:szCs w:val="20"/>
              </w:rPr>
              <w:t>G</w:t>
            </w:r>
            <w:r w:rsidR="000345B8" w:rsidRPr="00CE3606">
              <w:rPr>
                <w:b/>
                <w:szCs w:val="20"/>
              </w:rPr>
              <w:t>C</w:t>
            </w:r>
          </w:p>
        </w:tc>
        <w:tc>
          <w:tcPr>
            <w:tcW w:w="283" w:type="dxa"/>
          </w:tcPr>
          <w:p w14:paraId="3E002C12" w14:textId="77777777" w:rsidR="00B5086C" w:rsidRPr="00CE3606" w:rsidRDefault="00B5086C" w:rsidP="000608EA">
            <w:pPr>
              <w:jc w:val="left"/>
              <w:rPr>
                <w:szCs w:val="20"/>
              </w:rPr>
            </w:pPr>
            <w:r w:rsidRPr="00CE3606">
              <w:rPr>
                <w:szCs w:val="20"/>
              </w:rPr>
              <w:t>–</w:t>
            </w:r>
          </w:p>
        </w:tc>
        <w:tc>
          <w:tcPr>
            <w:tcW w:w="7881" w:type="dxa"/>
          </w:tcPr>
          <w:p w14:paraId="27A79378" w14:textId="77777777" w:rsidR="00B5086C" w:rsidRPr="00CE3606" w:rsidRDefault="00B5086C" w:rsidP="000608EA">
            <w:pPr>
              <w:jc w:val="left"/>
              <w:rPr>
                <w:i/>
                <w:szCs w:val="20"/>
                <w:lang w:val="en-GB"/>
              </w:rPr>
            </w:pPr>
            <w:r w:rsidRPr="00CE3606">
              <w:rPr>
                <w:szCs w:val="20"/>
                <w:lang w:val="en-GB"/>
              </w:rPr>
              <w:t xml:space="preserve">gazy cieplarniane, ang. </w:t>
            </w:r>
            <w:r w:rsidRPr="00CE3606">
              <w:rPr>
                <w:i/>
                <w:szCs w:val="20"/>
                <w:lang w:val="en-GB"/>
              </w:rPr>
              <w:t>greenhouse gases</w:t>
            </w:r>
          </w:p>
        </w:tc>
      </w:tr>
      <w:tr w:rsidR="00B5086C" w:rsidRPr="00CE3606" w14:paraId="7CE2BA79" w14:textId="77777777" w:rsidTr="00CC5BCB">
        <w:trPr>
          <w:trHeight w:val="57"/>
        </w:trPr>
        <w:tc>
          <w:tcPr>
            <w:tcW w:w="964" w:type="dxa"/>
          </w:tcPr>
          <w:p w14:paraId="78624093" w14:textId="77777777" w:rsidR="00B5086C" w:rsidRPr="00CE3606" w:rsidRDefault="00B5086C" w:rsidP="000608EA">
            <w:pPr>
              <w:jc w:val="left"/>
              <w:rPr>
                <w:b/>
                <w:szCs w:val="20"/>
              </w:rPr>
            </w:pPr>
            <w:r w:rsidRPr="00CE3606">
              <w:rPr>
                <w:b/>
                <w:szCs w:val="20"/>
              </w:rPr>
              <w:t>GUS</w:t>
            </w:r>
          </w:p>
        </w:tc>
        <w:tc>
          <w:tcPr>
            <w:tcW w:w="283" w:type="dxa"/>
          </w:tcPr>
          <w:p w14:paraId="6C5444FB" w14:textId="77777777" w:rsidR="00B5086C" w:rsidRPr="00CE3606" w:rsidRDefault="00B5086C" w:rsidP="000608EA">
            <w:pPr>
              <w:jc w:val="left"/>
              <w:rPr>
                <w:szCs w:val="20"/>
              </w:rPr>
            </w:pPr>
            <w:r w:rsidRPr="00CE3606">
              <w:rPr>
                <w:szCs w:val="20"/>
              </w:rPr>
              <w:t>–</w:t>
            </w:r>
          </w:p>
        </w:tc>
        <w:tc>
          <w:tcPr>
            <w:tcW w:w="7881" w:type="dxa"/>
          </w:tcPr>
          <w:p w14:paraId="77E73B81" w14:textId="77777777" w:rsidR="00B5086C" w:rsidRPr="00CE3606" w:rsidRDefault="00B5086C" w:rsidP="000608EA">
            <w:pPr>
              <w:jc w:val="left"/>
              <w:rPr>
                <w:szCs w:val="20"/>
              </w:rPr>
            </w:pPr>
            <w:r w:rsidRPr="00CE3606">
              <w:rPr>
                <w:szCs w:val="20"/>
              </w:rPr>
              <w:t>Główny Urząd Statystyczny</w:t>
            </w:r>
          </w:p>
        </w:tc>
      </w:tr>
      <w:tr w:rsidR="00B5086C" w:rsidRPr="00D33FDD" w14:paraId="00ED0D0C" w14:textId="77777777" w:rsidTr="00CC5BCB">
        <w:trPr>
          <w:trHeight w:val="57"/>
        </w:trPr>
        <w:tc>
          <w:tcPr>
            <w:tcW w:w="964" w:type="dxa"/>
          </w:tcPr>
          <w:p w14:paraId="5CDA6AEB" w14:textId="0DB7575C" w:rsidR="00B5086C" w:rsidRPr="00CE3606" w:rsidRDefault="00B5086C" w:rsidP="000608EA">
            <w:pPr>
              <w:jc w:val="left"/>
              <w:rPr>
                <w:b/>
                <w:szCs w:val="20"/>
              </w:rPr>
            </w:pPr>
            <w:r w:rsidRPr="00CE3606">
              <w:rPr>
                <w:b/>
                <w:szCs w:val="20"/>
              </w:rPr>
              <w:t>IPCC</w:t>
            </w:r>
          </w:p>
        </w:tc>
        <w:tc>
          <w:tcPr>
            <w:tcW w:w="283" w:type="dxa"/>
          </w:tcPr>
          <w:p w14:paraId="42449C47" w14:textId="4D9F24BF" w:rsidR="00B5086C" w:rsidRPr="00CE3606" w:rsidRDefault="00B5086C" w:rsidP="000608EA">
            <w:pPr>
              <w:jc w:val="left"/>
              <w:rPr>
                <w:szCs w:val="20"/>
              </w:rPr>
            </w:pPr>
            <w:r w:rsidRPr="00CE3606">
              <w:rPr>
                <w:szCs w:val="20"/>
              </w:rPr>
              <w:t>–</w:t>
            </w:r>
          </w:p>
        </w:tc>
        <w:tc>
          <w:tcPr>
            <w:tcW w:w="7881" w:type="dxa"/>
          </w:tcPr>
          <w:p w14:paraId="5D2C20A4" w14:textId="014EEBD0" w:rsidR="00B5086C" w:rsidRPr="00CE3606" w:rsidRDefault="00B5086C" w:rsidP="00B5086C">
            <w:pPr>
              <w:rPr>
                <w:szCs w:val="20"/>
                <w:lang w:val="en-US"/>
              </w:rPr>
            </w:pPr>
            <w:r w:rsidRPr="00CE3606">
              <w:rPr>
                <w:szCs w:val="20"/>
              </w:rPr>
              <w:t>Międzyrządowy Zespół ds. Zmian Klimatu</w:t>
            </w:r>
            <w:r w:rsidR="004E21CF" w:rsidRPr="00CE3606">
              <w:rPr>
                <w:szCs w:val="20"/>
              </w:rPr>
              <w:t xml:space="preserve">, ang. </w:t>
            </w:r>
            <w:r w:rsidRPr="00CE3606">
              <w:rPr>
                <w:i/>
                <w:iCs/>
                <w:szCs w:val="20"/>
                <w:lang w:val="en-US"/>
              </w:rPr>
              <w:t>Intergovernmental Panel on Climate Change</w:t>
            </w:r>
            <w:r w:rsidR="004E21CF" w:rsidRPr="00CE3606">
              <w:rPr>
                <w:i/>
                <w:iCs/>
                <w:szCs w:val="20"/>
                <w:lang w:val="en-US"/>
              </w:rPr>
              <w:t>)</w:t>
            </w:r>
          </w:p>
        </w:tc>
      </w:tr>
      <w:tr w:rsidR="00CC5BCB" w:rsidRPr="00CE3606" w14:paraId="17213440" w14:textId="77777777" w:rsidTr="00CC5BCB">
        <w:trPr>
          <w:trHeight w:val="57"/>
        </w:trPr>
        <w:tc>
          <w:tcPr>
            <w:tcW w:w="964" w:type="dxa"/>
          </w:tcPr>
          <w:p w14:paraId="78C93A27" w14:textId="7C841BAB" w:rsidR="00CC5BCB" w:rsidRPr="00CE3606" w:rsidRDefault="00CC5BCB" w:rsidP="000608EA">
            <w:pPr>
              <w:jc w:val="left"/>
              <w:rPr>
                <w:b/>
                <w:szCs w:val="20"/>
              </w:rPr>
            </w:pPr>
            <w:r>
              <w:rPr>
                <w:b/>
                <w:szCs w:val="20"/>
              </w:rPr>
              <w:t>KPK OZE</w:t>
            </w:r>
          </w:p>
        </w:tc>
        <w:tc>
          <w:tcPr>
            <w:tcW w:w="283" w:type="dxa"/>
          </w:tcPr>
          <w:p w14:paraId="5AC8DE01" w14:textId="4615B69F" w:rsidR="00CC5BCB" w:rsidRPr="00CE3606" w:rsidRDefault="00CC5BCB" w:rsidP="000608EA">
            <w:pPr>
              <w:jc w:val="left"/>
              <w:rPr>
                <w:szCs w:val="20"/>
              </w:rPr>
            </w:pPr>
            <w:r>
              <w:rPr>
                <w:szCs w:val="20"/>
              </w:rPr>
              <w:t>–</w:t>
            </w:r>
          </w:p>
        </w:tc>
        <w:tc>
          <w:tcPr>
            <w:tcW w:w="7881" w:type="dxa"/>
          </w:tcPr>
          <w:p w14:paraId="66F9C5AC" w14:textId="102CF909" w:rsidR="00CC5BCB" w:rsidRPr="00CE3606" w:rsidRDefault="00CC5BCB" w:rsidP="000608EA">
            <w:pPr>
              <w:jc w:val="left"/>
              <w:rPr>
                <w:szCs w:val="20"/>
              </w:rPr>
            </w:pPr>
            <w:r>
              <w:rPr>
                <w:szCs w:val="20"/>
              </w:rPr>
              <w:t xml:space="preserve">Krajowy Punkt Kontaktowy </w:t>
            </w:r>
          </w:p>
        </w:tc>
      </w:tr>
      <w:tr w:rsidR="00B5086C" w:rsidRPr="00CE3606" w14:paraId="6F2D2E6A" w14:textId="77777777" w:rsidTr="00CC5BCB">
        <w:trPr>
          <w:trHeight w:val="57"/>
        </w:trPr>
        <w:tc>
          <w:tcPr>
            <w:tcW w:w="964" w:type="dxa"/>
          </w:tcPr>
          <w:p w14:paraId="72072873" w14:textId="77777777" w:rsidR="00B5086C" w:rsidRPr="00CE3606" w:rsidRDefault="00B5086C" w:rsidP="000608EA">
            <w:pPr>
              <w:jc w:val="left"/>
              <w:rPr>
                <w:b/>
                <w:szCs w:val="20"/>
              </w:rPr>
            </w:pPr>
            <w:r w:rsidRPr="00CE3606">
              <w:rPr>
                <w:b/>
                <w:szCs w:val="20"/>
              </w:rPr>
              <w:t>KSE</w:t>
            </w:r>
          </w:p>
        </w:tc>
        <w:tc>
          <w:tcPr>
            <w:tcW w:w="283" w:type="dxa"/>
          </w:tcPr>
          <w:p w14:paraId="17A7CA6D" w14:textId="77777777" w:rsidR="00B5086C" w:rsidRPr="00CE3606" w:rsidRDefault="00B5086C" w:rsidP="000608EA">
            <w:pPr>
              <w:jc w:val="left"/>
              <w:rPr>
                <w:szCs w:val="20"/>
              </w:rPr>
            </w:pPr>
            <w:r w:rsidRPr="00CE3606">
              <w:rPr>
                <w:szCs w:val="20"/>
              </w:rPr>
              <w:t>–</w:t>
            </w:r>
          </w:p>
        </w:tc>
        <w:tc>
          <w:tcPr>
            <w:tcW w:w="7881" w:type="dxa"/>
          </w:tcPr>
          <w:p w14:paraId="1B0D7AD0" w14:textId="77777777" w:rsidR="00B5086C" w:rsidRPr="00CE3606" w:rsidRDefault="00B5086C" w:rsidP="000608EA">
            <w:pPr>
              <w:jc w:val="left"/>
              <w:rPr>
                <w:szCs w:val="20"/>
              </w:rPr>
            </w:pPr>
            <w:r w:rsidRPr="00CE3606">
              <w:rPr>
                <w:szCs w:val="20"/>
              </w:rPr>
              <w:t>krajowy system elektroenergetyczny</w:t>
            </w:r>
          </w:p>
        </w:tc>
      </w:tr>
      <w:tr w:rsidR="009259C8" w:rsidRPr="00CE3606" w14:paraId="16656720" w14:textId="77777777" w:rsidTr="00CC5BCB">
        <w:trPr>
          <w:trHeight w:val="57"/>
        </w:trPr>
        <w:tc>
          <w:tcPr>
            <w:tcW w:w="964" w:type="dxa"/>
          </w:tcPr>
          <w:p w14:paraId="48E92B8E" w14:textId="1BBFF31B" w:rsidR="009259C8" w:rsidRPr="00CE3606" w:rsidRDefault="009259C8" w:rsidP="009259C8">
            <w:pPr>
              <w:jc w:val="left"/>
              <w:rPr>
                <w:b/>
                <w:szCs w:val="20"/>
              </w:rPr>
            </w:pPr>
            <w:r w:rsidRPr="00CE3606">
              <w:rPr>
                <w:b/>
                <w:szCs w:val="20"/>
              </w:rPr>
              <w:t>LNG</w:t>
            </w:r>
          </w:p>
        </w:tc>
        <w:tc>
          <w:tcPr>
            <w:tcW w:w="283" w:type="dxa"/>
          </w:tcPr>
          <w:p w14:paraId="3438B70F" w14:textId="2DDE0264" w:rsidR="009259C8" w:rsidRPr="00CE3606" w:rsidRDefault="009259C8" w:rsidP="009259C8">
            <w:pPr>
              <w:jc w:val="left"/>
              <w:rPr>
                <w:szCs w:val="20"/>
              </w:rPr>
            </w:pPr>
            <w:r w:rsidRPr="00CE3606">
              <w:rPr>
                <w:szCs w:val="20"/>
              </w:rPr>
              <w:t>–</w:t>
            </w:r>
          </w:p>
        </w:tc>
        <w:tc>
          <w:tcPr>
            <w:tcW w:w="7881" w:type="dxa"/>
          </w:tcPr>
          <w:p w14:paraId="7ED3976F" w14:textId="390E76EB" w:rsidR="009259C8" w:rsidRPr="00CE3606" w:rsidRDefault="009259C8" w:rsidP="009259C8">
            <w:pPr>
              <w:rPr>
                <w:szCs w:val="20"/>
              </w:rPr>
            </w:pPr>
            <w:r w:rsidRPr="00CE3606">
              <w:rPr>
                <w:szCs w:val="20"/>
              </w:rPr>
              <w:t xml:space="preserve">gaz ziemny w postaci skroplonej, ang. </w:t>
            </w:r>
            <w:r w:rsidRPr="00CE3606">
              <w:rPr>
                <w:i/>
                <w:szCs w:val="20"/>
              </w:rPr>
              <w:t>liquefied natural gas</w:t>
            </w:r>
          </w:p>
        </w:tc>
      </w:tr>
      <w:tr w:rsidR="009259C8" w:rsidRPr="00CE3606" w14:paraId="5D88295E" w14:textId="77777777" w:rsidTr="00CC5BCB">
        <w:trPr>
          <w:trHeight w:val="57"/>
        </w:trPr>
        <w:tc>
          <w:tcPr>
            <w:tcW w:w="964" w:type="dxa"/>
          </w:tcPr>
          <w:p w14:paraId="1B3B7E39" w14:textId="1F17187C" w:rsidR="009259C8" w:rsidRPr="00CE3606" w:rsidRDefault="009259C8" w:rsidP="009259C8">
            <w:pPr>
              <w:jc w:val="left"/>
              <w:rPr>
                <w:b/>
                <w:szCs w:val="20"/>
              </w:rPr>
            </w:pPr>
            <w:r w:rsidRPr="00CE3606">
              <w:rPr>
                <w:b/>
                <w:szCs w:val="20"/>
              </w:rPr>
              <w:t>LULUCF</w:t>
            </w:r>
          </w:p>
        </w:tc>
        <w:tc>
          <w:tcPr>
            <w:tcW w:w="283" w:type="dxa"/>
          </w:tcPr>
          <w:p w14:paraId="54660109" w14:textId="1B10B818" w:rsidR="009259C8" w:rsidRPr="00CE3606" w:rsidRDefault="009259C8" w:rsidP="009259C8">
            <w:pPr>
              <w:jc w:val="left"/>
              <w:rPr>
                <w:szCs w:val="20"/>
              </w:rPr>
            </w:pPr>
            <w:r w:rsidRPr="00CE3606">
              <w:rPr>
                <w:szCs w:val="20"/>
              </w:rPr>
              <w:t>–</w:t>
            </w:r>
          </w:p>
        </w:tc>
        <w:tc>
          <w:tcPr>
            <w:tcW w:w="7881" w:type="dxa"/>
          </w:tcPr>
          <w:p w14:paraId="6842962D" w14:textId="16C7D4CB" w:rsidR="009259C8" w:rsidRPr="00CE3606" w:rsidRDefault="009259C8" w:rsidP="009259C8">
            <w:pPr>
              <w:rPr>
                <w:szCs w:val="20"/>
              </w:rPr>
            </w:pPr>
            <w:r w:rsidRPr="00CE3606">
              <w:rPr>
                <w:szCs w:val="20"/>
              </w:rPr>
              <w:t xml:space="preserve">użytkowanie gruntów i zmiany użytkowania gruntów i leśnictwo, ang. </w:t>
            </w:r>
            <w:r w:rsidRPr="00CE3606">
              <w:rPr>
                <w:i/>
                <w:iCs/>
                <w:szCs w:val="20"/>
              </w:rPr>
              <w:t>land use, land-use change, and forestry</w:t>
            </w:r>
          </w:p>
        </w:tc>
      </w:tr>
      <w:tr w:rsidR="009259C8" w:rsidRPr="00CE3606" w14:paraId="0E76A4A0" w14:textId="77777777" w:rsidTr="00CC5BCB">
        <w:trPr>
          <w:trHeight w:val="57"/>
        </w:trPr>
        <w:tc>
          <w:tcPr>
            <w:tcW w:w="964" w:type="dxa"/>
          </w:tcPr>
          <w:p w14:paraId="2483F54F" w14:textId="77777777" w:rsidR="009259C8" w:rsidRPr="00CE3606" w:rsidRDefault="009259C8" w:rsidP="009259C8">
            <w:pPr>
              <w:jc w:val="left"/>
              <w:rPr>
                <w:b/>
                <w:szCs w:val="20"/>
              </w:rPr>
            </w:pPr>
            <w:r w:rsidRPr="00CE3606">
              <w:rPr>
                <w:b/>
                <w:szCs w:val="20"/>
              </w:rPr>
              <w:t>NCW</w:t>
            </w:r>
          </w:p>
        </w:tc>
        <w:tc>
          <w:tcPr>
            <w:tcW w:w="283" w:type="dxa"/>
          </w:tcPr>
          <w:p w14:paraId="7566A7B8" w14:textId="77777777" w:rsidR="009259C8" w:rsidRPr="00CE3606" w:rsidRDefault="009259C8" w:rsidP="009259C8">
            <w:pPr>
              <w:jc w:val="left"/>
              <w:rPr>
                <w:szCs w:val="20"/>
              </w:rPr>
            </w:pPr>
            <w:r w:rsidRPr="00CE3606">
              <w:rPr>
                <w:szCs w:val="20"/>
              </w:rPr>
              <w:t>–</w:t>
            </w:r>
          </w:p>
        </w:tc>
        <w:tc>
          <w:tcPr>
            <w:tcW w:w="7881" w:type="dxa"/>
          </w:tcPr>
          <w:p w14:paraId="7E3D3DBE" w14:textId="77777777" w:rsidR="009259C8" w:rsidRPr="00CE3606" w:rsidRDefault="009259C8" w:rsidP="009259C8">
            <w:pPr>
              <w:jc w:val="left"/>
              <w:rPr>
                <w:szCs w:val="20"/>
              </w:rPr>
            </w:pPr>
            <w:r w:rsidRPr="00CE3606">
              <w:rPr>
                <w:szCs w:val="20"/>
              </w:rPr>
              <w:t>Narodowy Cel Wskaźnikowy (dotyczy udziału OZE w transporcie)</w:t>
            </w:r>
          </w:p>
        </w:tc>
      </w:tr>
      <w:tr w:rsidR="009259C8" w:rsidRPr="00CE3606" w14:paraId="20349594" w14:textId="77777777" w:rsidTr="00CC5BCB">
        <w:trPr>
          <w:trHeight w:val="57"/>
        </w:trPr>
        <w:tc>
          <w:tcPr>
            <w:tcW w:w="964" w:type="dxa"/>
          </w:tcPr>
          <w:p w14:paraId="465BF077" w14:textId="77777777" w:rsidR="009259C8" w:rsidRPr="00CE3606" w:rsidRDefault="009259C8" w:rsidP="009259C8">
            <w:pPr>
              <w:jc w:val="left"/>
              <w:rPr>
                <w:b/>
                <w:szCs w:val="20"/>
              </w:rPr>
            </w:pPr>
            <w:r w:rsidRPr="00CE3606">
              <w:rPr>
                <w:b/>
                <w:szCs w:val="20"/>
              </w:rPr>
              <w:t>OSDe</w:t>
            </w:r>
          </w:p>
        </w:tc>
        <w:tc>
          <w:tcPr>
            <w:tcW w:w="283" w:type="dxa"/>
          </w:tcPr>
          <w:p w14:paraId="5024E8F6" w14:textId="77777777" w:rsidR="009259C8" w:rsidRPr="00CE3606" w:rsidRDefault="009259C8" w:rsidP="009259C8">
            <w:pPr>
              <w:jc w:val="left"/>
              <w:rPr>
                <w:szCs w:val="20"/>
              </w:rPr>
            </w:pPr>
            <w:r w:rsidRPr="00CE3606">
              <w:rPr>
                <w:szCs w:val="20"/>
              </w:rPr>
              <w:t>–</w:t>
            </w:r>
          </w:p>
        </w:tc>
        <w:tc>
          <w:tcPr>
            <w:tcW w:w="7881" w:type="dxa"/>
          </w:tcPr>
          <w:p w14:paraId="3309F624" w14:textId="77777777" w:rsidR="009259C8" w:rsidRPr="00CE3606" w:rsidRDefault="009259C8" w:rsidP="009259C8">
            <w:pPr>
              <w:jc w:val="left"/>
              <w:rPr>
                <w:szCs w:val="20"/>
              </w:rPr>
            </w:pPr>
            <w:r w:rsidRPr="00CE3606">
              <w:rPr>
                <w:szCs w:val="20"/>
              </w:rPr>
              <w:t>operatorzy systemów dystrybucyjnych elektroenergetycznych</w:t>
            </w:r>
          </w:p>
        </w:tc>
      </w:tr>
      <w:tr w:rsidR="009259C8" w:rsidRPr="00CE3606" w14:paraId="27B88565" w14:textId="77777777" w:rsidTr="00CC5BCB">
        <w:trPr>
          <w:trHeight w:val="57"/>
        </w:trPr>
        <w:tc>
          <w:tcPr>
            <w:tcW w:w="964" w:type="dxa"/>
          </w:tcPr>
          <w:p w14:paraId="1C5B01B8" w14:textId="77777777" w:rsidR="009259C8" w:rsidRPr="00CE3606" w:rsidRDefault="009259C8" w:rsidP="009259C8">
            <w:pPr>
              <w:jc w:val="left"/>
              <w:rPr>
                <w:b/>
                <w:szCs w:val="20"/>
              </w:rPr>
            </w:pPr>
            <w:r w:rsidRPr="00CE3606">
              <w:rPr>
                <w:b/>
                <w:szCs w:val="20"/>
              </w:rPr>
              <w:t>OSDg</w:t>
            </w:r>
          </w:p>
        </w:tc>
        <w:tc>
          <w:tcPr>
            <w:tcW w:w="283" w:type="dxa"/>
          </w:tcPr>
          <w:p w14:paraId="6A5DB719" w14:textId="77777777" w:rsidR="009259C8" w:rsidRPr="00CE3606" w:rsidRDefault="009259C8" w:rsidP="009259C8">
            <w:pPr>
              <w:jc w:val="left"/>
              <w:rPr>
                <w:szCs w:val="20"/>
              </w:rPr>
            </w:pPr>
            <w:r w:rsidRPr="00CE3606">
              <w:rPr>
                <w:szCs w:val="20"/>
              </w:rPr>
              <w:t>–</w:t>
            </w:r>
          </w:p>
        </w:tc>
        <w:tc>
          <w:tcPr>
            <w:tcW w:w="7881" w:type="dxa"/>
          </w:tcPr>
          <w:p w14:paraId="28463052" w14:textId="77777777" w:rsidR="009259C8" w:rsidRPr="00CE3606" w:rsidRDefault="009259C8" w:rsidP="009259C8">
            <w:pPr>
              <w:jc w:val="left"/>
              <w:rPr>
                <w:szCs w:val="20"/>
              </w:rPr>
            </w:pPr>
            <w:r w:rsidRPr="00CE3606">
              <w:rPr>
                <w:szCs w:val="20"/>
              </w:rPr>
              <w:t>operatorzy systemów dystrybucyjnych gazowych</w:t>
            </w:r>
          </w:p>
        </w:tc>
      </w:tr>
      <w:tr w:rsidR="009259C8" w:rsidRPr="00CE3606" w14:paraId="42ADA3E7" w14:textId="77777777" w:rsidTr="00CC5BCB">
        <w:trPr>
          <w:trHeight w:val="57"/>
        </w:trPr>
        <w:tc>
          <w:tcPr>
            <w:tcW w:w="964" w:type="dxa"/>
          </w:tcPr>
          <w:p w14:paraId="6CE231BB" w14:textId="77777777" w:rsidR="009259C8" w:rsidRPr="00CE3606" w:rsidRDefault="009259C8" w:rsidP="009259C8">
            <w:pPr>
              <w:jc w:val="left"/>
              <w:rPr>
                <w:b/>
                <w:szCs w:val="20"/>
              </w:rPr>
            </w:pPr>
            <w:r w:rsidRPr="00CE3606">
              <w:rPr>
                <w:b/>
                <w:szCs w:val="20"/>
              </w:rPr>
              <w:t>OSM</w:t>
            </w:r>
          </w:p>
        </w:tc>
        <w:tc>
          <w:tcPr>
            <w:tcW w:w="283" w:type="dxa"/>
          </w:tcPr>
          <w:p w14:paraId="3C9ABC0F" w14:textId="77777777" w:rsidR="009259C8" w:rsidRPr="00CE3606" w:rsidRDefault="009259C8" w:rsidP="009259C8">
            <w:pPr>
              <w:jc w:val="left"/>
              <w:rPr>
                <w:szCs w:val="20"/>
              </w:rPr>
            </w:pPr>
            <w:r w:rsidRPr="00CE3606">
              <w:rPr>
                <w:szCs w:val="20"/>
              </w:rPr>
              <w:t>–</w:t>
            </w:r>
          </w:p>
        </w:tc>
        <w:tc>
          <w:tcPr>
            <w:tcW w:w="7881" w:type="dxa"/>
          </w:tcPr>
          <w:p w14:paraId="172D5F4C" w14:textId="77777777" w:rsidR="009259C8" w:rsidRPr="00CE3606" w:rsidRDefault="009259C8" w:rsidP="009259C8">
            <w:pPr>
              <w:jc w:val="left"/>
              <w:rPr>
                <w:szCs w:val="20"/>
              </w:rPr>
            </w:pPr>
            <w:r w:rsidRPr="00CE3606">
              <w:rPr>
                <w:szCs w:val="20"/>
              </w:rPr>
              <w:t>operator systemu magazynowania gazu ziemnego</w:t>
            </w:r>
          </w:p>
        </w:tc>
      </w:tr>
      <w:tr w:rsidR="009259C8" w:rsidRPr="00CE3606" w14:paraId="2B1C2A00" w14:textId="77777777" w:rsidTr="00CC5BCB">
        <w:trPr>
          <w:trHeight w:val="57"/>
        </w:trPr>
        <w:tc>
          <w:tcPr>
            <w:tcW w:w="964" w:type="dxa"/>
          </w:tcPr>
          <w:p w14:paraId="1A759EBA" w14:textId="77777777" w:rsidR="009259C8" w:rsidRPr="00CE3606" w:rsidRDefault="009259C8" w:rsidP="009259C8">
            <w:pPr>
              <w:jc w:val="left"/>
              <w:rPr>
                <w:b/>
                <w:szCs w:val="20"/>
              </w:rPr>
            </w:pPr>
            <w:r w:rsidRPr="00CE3606">
              <w:rPr>
                <w:b/>
                <w:szCs w:val="20"/>
              </w:rPr>
              <w:t>OSPe</w:t>
            </w:r>
          </w:p>
        </w:tc>
        <w:tc>
          <w:tcPr>
            <w:tcW w:w="283" w:type="dxa"/>
          </w:tcPr>
          <w:p w14:paraId="2D56F5D3" w14:textId="77777777" w:rsidR="009259C8" w:rsidRPr="00CE3606" w:rsidRDefault="009259C8" w:rsidP="009259C8">
            <w:pPr>
              <w:jc w:val="left"/>
              <w:rPr>
                <w:szCs w:val="20"/>
              </w:rPr>
            </w:pPr>
            <w:r w:rsidRPr="00CE3606">
              <w:rPr>
                <w:szCs w:val="20"/>
              </w:rPr>
              <w:t>–</w:t>
            </w:r>
          </w:p>
        </w:tc>
        <w:tc>
          <w:tcPr>
            <w:tcW w:w="7881" w:type="dxa"/>
          </w:tcPr>
          <w:p w14:paraId="7C217897" w14:textId="77777777" w:rsidR="009259C8" w:rsidRPr="00CE3606" w:rsidRDefault="009259C8" w:rsidP="009259C8">
            <w:pPr>
              <w:jc w:val="left"/>
              <w:rPr>
                <w:szCs w:val="20"/>
              </w:rPr>
            </w:pPr>
            <w:r w:rsidRPr="00CE3606">
              <w:rPr>
                <w:szCs w:val="20"/>
              </w:rPr>
              <w:t xml:space="preserve">operator systemu przesyłowego elektroenergetycznego – Polskie Sieci Elektroenergetyczne S.A. (PSE S.A.) </w:t>
            </w:r>
          </w:p>
        </w:tc>
      </w:tr>
      <w:tr w:rsidR="009259C8" w:rsidRPr="00CE3606" w14:paraId="110933ED" w14:textId="77777777" w:rsidTr="00CC5BCB">
        <w:trPr>
          <w:trHeight w:val="57"/>
        </w:trPr>
        <w:tc>
          <w:tcPr>
            <w:tcW w:w="964" w:type="dxa"/>
          </w:tcPr>
          <w:p w14:paraId="72840043" w14:textId="77777777" w:rsidR="009259C8" w:rsidRPr="00CE3606" w:rsidRDefault="009259C8" w:rsidP="009259C8">
            <w:pPr>
              <w:jc w:val="left"/>
              <w:rPr>
                <w:b/>
                <w:szCs w:val="20"/>
              </w:rPr>
            </w:pPr>
            <w:r w:rsidRPr="00CE3606">
              <w:rPr>
                <w:b/>
                <w:szCs w:val="20"/>
              </w:rPr>
              <w:t>OSPg</w:t>
            </w:r>
          </w:p>
        </w:tc>
        <w:tc>
          <w:tcPr>
            <w:tcW w:w="283" w:type="dxa"/>
          </w:tcPr>
          <w:p w14:paraId="4D0B085E" w14:textId="77777777" w:rsidR="009259C8" w:rsidRPr="00CE3606" w:rsidRDefault="009259C8" w:rsidP="009259C8">
            <w:pPr>
              <w:jc w:val="left"/>
              <w:rPr>
                <w:szCs w:val="20"/>
              </w:rPr>
            </w:pPr>
            <w:r w:rsidRPr="00CE3606">
              <w:rPr>
                <w:szCs w:val="20"/>
              </w:rPr>
              <w:t>–</w:t>
            </w:r>
          </w:p>
        </w:tc>
        <w:tc>
          <w:tcPr>
            <w:tcW w:w="7881" w:type="dxa"/>
          </w:tcPr>
          <w:p w14:paraId="3B4CEC12" w14:textId="77777777" w:rsidR="009259C8" w:rsidRPr="00CE3606" w:rsidRDefault="009259C8" w:rsidP="009259C8">
            <w:pPr>
              <w:jc w:val="left"/>
              <w:rPr>
                <w:szCs w:val="20"/>
              </w:rPr>
            </w:pPr>
            <w:r w:rsidRPr="00CE3606">
              <w:rPr>
                <w:szCs w:val="20"/>
              </w:rPr>
              <w:t xml:space="preserve">operator systemu przesyłowego gazowego </w:t>
            </w:r>
            <w:r w:rsidRPr="00CE3606">
              <w:rPr>
                <w:szCs w:val="20"/>
              </w:rPr>
              <w:softHyphen/>
              <w:t>– Operator Gazociągów Przesyłowych GAZ-SYSTEM S.A.</w:t>
            </w:r>
          </w:p>
        </w:tc>
      </w:tr>
      <w:tr w:rsidR="009259C8" w:rsidRPr="00CE3606" w14:paraId="0821C128" w14:textId="77777777" w:rsidTr="00CC5BCB">
        <w:trPr>
          <w:trHeight w:val="57"/>
        </w:trPr>
        <w:tc>
          <w:tcPr>
            <w:tcW w:w="964" w:type="dxa"/>
          </w:tcPr>
          <w:p w14:paraId="2919C638" w14:textId="77777777" w:rsidR="009259C8" w:rsidRPr="00CE3606" w:rsidRDefault="009259C8" w:rsidP="009259C8">
            <w:pPr>
              <w:jc w:val="left"/>
              <w:rPr>
                <w:b/>
                <w:szCs w:val="20"/>
              </w:rPr>
            </w:pPr>
            <w:r w:rsidRPr="00CE3606">
              <w:rPr>
                <w:b/>
                <w:szCs w:val="20"/>
              </w:rPr>
              <w:t>OZE</w:t>
            </w:r>
          </w:p>
        </w:tc>
        <w:tc>
          <w:tcPr>
            <w:tcW w:w="283" w:type="dxa"/>
          </w:tcPr>
          <w:p w14:paraId="5CD611E2" w14:textId="77777777" w:rsidR="009259C8" w:rsidRPr="00CE3606" w:rsidRDefault="009259C8" w:rsidP="009259C8">
            <w:pPr>
              <w:jc w:val="left"/>
              <w:rPr>
                <w:szCs w:val="20"/>
              </w:rPr>
            </w:pPr>
            <w:r w:rsidRPr="00CE3606">
              <w:rPr>
                <w:szCs w:val="20"/>
              </w:rPr>
              <w:t>–</w:t>
            </w:r>
          </w:p>
        </w:tc>
        <w:tc>
          <w:tcPr>
            <w:tcW w:w="7881" w:type="dxa"/>
          </w:tcPr>
          <w:p w14:paraId="1B78E624" w14:textId="77777777" w:rsidR="009259C8" w:rsidRPr="00CE3606" w:rsidRDefault="009259C8" w:rsidP="009259C8">
            <w:pPr>
              <w:jc w:val="left"/>
              <w:rPr>
                <w:szCs w:val="20"/>
              </w:rPr>
            </w:pPr>
            <w:r w:rsidRPr="00CE3606">
              <w:rPr>
                <w:szCs w:val="20"/>
              </w:rPr>
              <w:t>odnawialne źródła energii</w:t>
            </w:r>
          </w:p>
        </w:tc>
      </w:tr>
      <w:tr w:rsidR="00547217" w:rsidRPr="00CE3606" w14:paraId="3D7E1C3A" w14:textId="77777777" w:rsidTr="00CC5BCB">
        <w:trPr>
          <w:trHeight w:val="57"/>
        </w:trPr>
        <w:tc>
          <w:tcPr>
            <w:tcW w:w="964" w:type="dxa"/>
          </w:tcPr>
          <w:p w14:paraId="3D8B5542" w14:textId="0A6DB010" w:rsidR="00547217" w:rsidRPr="00CE3606" w:rsidRDefault="00547217" w:rsidP="000C3472">
            <w:pPr>
              <w:jc w:val="left"/>
              <w:rPr>
                <w:b/>
                <w:bCs/>
                <w:szCs w:val="20"/>
              </w:rPr>
            </w:pPr>
            <w:r w:rsidRPr="00CE3606">
              <w:rPr>
                <w:b/>
                <w:bCs/>
                <w:szCs w:val="20"/>
              </w:rPr>
              <w:t>PE</w:t>
            </w:r>
          </w:p>
        </w:tc>
        <w:tc>
          <w:tcPr>
            <w:tcW w:w="283" w:type="dxa"/>
          </w:tcPr>
          <w:p w14:paraId="2552A99B" w14:textId="47691D72" w:rsidR="00547217" w:rsidRPr="00CE3606" w:rsidRDefault="00547217" w:rsidP="000C3472">
            <w:pPr>
              <w:jc w:val="left"/>
              <w:rPr>
                <w:szCs w:val="20"/>
              </w:rPr>
            </w:pPr>
            <w:r w:rsidRPr="00CE3606">
              <w:rPr>
                <w:szCs w:val="20"/>
              </w:rPr>
              <w:t>–</w:t>
            </w:r>
          </w:p>
        </w:tc>
        <w:tc>
          <w:tcPr>
            <w:tcW w:w="7881" w:type="dxa"/>
          </w:tcPr>
          <w:p w14:paraId="6F4176F9" w14:textId="265CE050" w:rsidR="00547217" w:rsidRPr="00CE3606" w:rsidRDefault="00547217" w:rsidP="000C3472">
            <w:pPr>
              <w:jc w:val="left"/>
              <w:rPr>
                <w:szCs w:val="20"/>
              </w:rPr>
            </w:pPr>
            <w:r w:rsidRPr="00CE3606">
              <w:rPr>
                <w:szCs w:val="20"/>
              </w:rPr>
              <w:t>Parlament Europejski</w:t>
            </w:r>
          </w:p>
        </w:tc>
      </w:tr>
      <w:tr w:rsidR="000C3472" w:rsidRPr="00CE3606" w14:paraId="2AA7B671" w14:textId="77777777" w:rsidTr="00CC5BCB">
        <w:trPr>
          <w:trHeight w:val="57"/>
        </w:trPr>
        <w:tc>
          <w:tcPr>
            <w:tcW w:w="964" w:type="dxa"/>
          </w:tcPr>
          <w:p w14:paraId="20E1FEC1" w14:textId="5F8221F1" w:rsidR="000C3472" w:rsidRPr="00CE3606" w:rsidRDefault="000C3472" w:rsidP="000C3472">
            <w:pPr>
              <w:jc w:val="left"/>
              <w:rPr>
                <w:b/>
                <w:bCs/>
                <w:szCs w:val="20"/>
              </w:rPr>
            </w:pPr>
            <w:r w:rsidRPr="00CE3606">
              <w:rPr>
                <w:b/>
                <w:bCs/>
                <w:szCs w:val="20"/>
              </w:rPr>
              <w:t>PGL LP</w:t>
            </w:r>
          </w:p>
        </w:tc>
        <w:tc>
          <w:tcPr>
            <w:tcW w:w="283" w:type="dxa"/>
          </w:tcPr>
          <w:p w14:paraId="18F6F3FA" w14:textId="1E5D06F9" w:rsidR="000C3472" w:rsidRPr="00CE3606" w:rsidRDefault="000C3472" w:rsidP="000C3472">
            <w:pPr>
              <w:jc w:val="left"/>
              <w:rPr>
                <w:szCs w:val="20"/>
              </w:rPr>
            </w:pPr>
            <w:r w:rsidRPr="00CE3606">
              <w:rPr>
                <w:szCs w:val="20"/>
              </w:rPr>
              <w:t>–</w:t>
            </w:r>
          </w:p>
        </w:tc>
        <w:tc>
          <w:tcPr>
            <w:tcW w:w="7881" w:type="dxa"/>
          </w:tcPr>
          <w:p w14:paraId="54FA8AB2" w14:textId="71E151ED" w:rsidR="000C3472" w:rsidRPr="00CE3606" w:rsidRDefault="000C3472" w:rsidP="000C3472">
            <w:pPr>
              <w:jc w:val="left"/>
              <w:rPr>
                <w:szCs w:val="20"/>
              </w:rPr>
            </w:pPr>
            <w:r w:rsidRPr="00CE3606">
              <w:rPr>
                <w:szCs w:val="20"/>
              </w:rPr>
              <w:t>Państwowe Gospodarstwo Leśne Lasy Państwowe</w:t>
            </w:r>
          </w:p>
        </w:tc>
      </w:tr>
      <w:tr w:rsidR="000C3472" w:rsidRPr="00CE3606" w14:paraId="51ECFDF5" w14:textId="77777777" w:rsidTr="00CC5BCB">
        <w:trPr>
          <w:trHeight w:val="57"/>
        </w:trPr>
        <w:tc>
          <w:tcPr>
            <w:tcW w:w="964" w:type="dxa"/>
          </w:tcPr>
          <w:p w14:paraId="43263641" w14:textId="77777777" w:rsidR="000C3472" w:rsidRPr="00CE3606" w:rsidRDefault="000C3472" w:rsidP="000C3472">
            <w:pPr>
              <w:jc w:val="left"/>
              <w:rPr>
                <w:b/>
                <w:szCs w:val="20"/>
              </w:rPr>
            </w:pPr>
            <w:r w:rsidRPr="00CE3606">
              <w:rPr>
                <w:b/>
                <w:szCs w:val="20"/>
              </w:rPr>
              <w:t>PPA</w:t>
            </w:r>
          </w:p>
        </w:tc>
        <w:tc>
          <w:tcPr>
            <w:tcW w:w="283" w:type="dxa"/>
          </w:tcPr>
          <w:p w14:paraId="2BFC22F2" w14:textId="77777777" w:rsidR="000C3472" w:rsidRPr="00CE3606" w:rsidRDefault="000C3472" w:rsidP="000C3472">
            <w:pPr>
              <w:jc w:val="left"/>
              <w:rPr>
                <w:szCs w:val="20"/>
              </w:rPr>
            </w:pPr>
            <w:r w:rsidRPr="00CE3606">
              <w:rPr>
                <w:szCs w:val="20"/>
              </w:rPr>
              <w:t>–</w:t>
            </w:r>
          </w:p>
        </w:tc>
        <w:tc>
          <w:tcPr>
            <w:tcW w:w="7881" w:type="dxa"/>
          </w:tcPr>
          <w:p w14:paraId="02D574C3" w14:textId="77777777" w:rsidR="000C3472" w:rsidRPr="00CE3606" w:rsidRDefault="000C3472" w:rsidP="000C3472">
            <w:pPr>
              <w:jc w:val="left"/>
              <w:rPr>
                <w:szCs w:val="20"/>
                <w:lang w:val="en-GB"/>
              </w:rPr>
            </w:pPr>
            <w:r w:rsidRPr="00CE3606">
              <w:rPr>
                <w:szCs w:val="20"/>
              </w:rPr>
              <w:t xml:space="preserve">długoterminowe umowy zakupu energii, </w:t>
            </w:r>
            <w:r w:rsidRPr="00CE3606">
              <w:rPr>
                <w:szCs w:val="20"/>
                <w:lang w:val="en-GB"/>
              </w:rPr>
              <w:t>ang</w:t>
            </w:r>
            <w:r w:rsidRPr="00CE3606">
              <w:rPr>
                <w:i/>
                <w:szCs w:val="20"/>
                <w:lang w:val="en-GB"/>
              </w:rPr>
              <w:t>. power purchase agreement</w:t>
            </w:r>
          </w:p>
        </w:tc>
      </w:tr>
      <w:tr w:rsidR="000C3472" w:rsidRPr="00CE3606" w14:paraId="159216DC" w14:textId="77777777" w:rsidTr="00CC5BCB">
        <w:trPr>
          <w:trHeight w:val="57"/>
        </w:trPr>
        <w:tc>
          <w:tcPr>
            <w:tcW w:w="964" w:type="dxa"/>
          </w:tcPr>
          <w:p w14:paraId="0BD784CA" w14:textId="77777777" w:rsidR="000C3472" w:rsidRPr="00CE3606" w:rsidRDefault="000C3472" w:rsidP="000C3472">
            <w:pPr>
              <w:jc w:val="left"/>
              <w:rPr>
                <w:b/>
                <w:szCs w:val="20"/>
              </w:rPr>
            </w:pPr>
            <w:r w:rsidRPr="00CE3606">
              <w:rPr>
                <w:b/>
                <w:szCs w:val="20"/>
              </w:rPr>
              <w:t>PMG</w:t>
            </w:r>
          </w:p>
        </w:tc>
        <w:tc>
          <w:tcPr>
            <w:tcW w:w="283" w:type="dxa"/>
          </w:tcPr>
          <w:p w14:paraId="660DE943" w14:textId="77777777" w:rsidR="000C3472" w:rsidRPr="00CE3606" w:rsidRDefault="000C3472" w:rsidP="000C3472">
            <w:pPr>
              <w:jc w:val="left"/>
              <w:rPr>
                <w:szCs w:val="20"/>
              </w:rPr>
            </w:pPr>
            <w:r w:rsidRPr="00CE3606">
              <w:rPr>
                <w:szCs w:val="20"/>
              </w:rPr>
              <w:t>–</w:t>
            </w:r>
          </w:p>
        </w:tc>
        <w:tc>
          <w:tcPr>
            <w:tcW w:w="7881" w:type="dxa"/>
          </w:tcPr>
          <w:p w14:paraId="3EBA8BCD" w14:textId="77777777" w:rsidR="000C3472" w:rsidRPr="00CE3606" w:rsidRDefault="000C3472" w:rsidP="000C3472">
            <w:pPr>
              <w:jc w:val="left"/>
              <w:rPr>
                <w:szCs w:val="20"/>
              </w:rPr>
            </w:pPr>
            <w:r w:rsidRPr="00CE3606">
              <w:rPr>
                <w:szCs w:val="20"/>
              </w:rPr>
              <w:t>podziemne magazyny gazu</w:t>
            </w:r>
          </w:p>
        </w:tc>
      </w:tr>
      <w:tr w:rsidR="000C3472" w:rsidRPr="00CE3606" w14:paraId="4C67B6CF" w14:textId="77777777" w:rsidTr="00CC5BCB">
        <w:trPr>
          <w:trHeight w:val="57"/>
        </w:trPr>
        <w:tc>
          <w:tcPr>
            <w:tcW w:w="964" w:type="dxa"/>
          </w:tcPr>
          <w:p w14:paraId="697DE9BB" w14:textId="331BEE31" w:rsidR="000C3472" w:rsidRPr="00CE3606" w:rsidRDefault="000C3472" w:rsidP="000C3472">
            <w:pPr>
              <w:jc w:val="left"/>
              <w:rPr>
                <w:b/>
                <w:szCs w:val="20"/>
              </w:rPr>
            </w:pPr>
            <w:r w:rsidRPr="00CE3606">
              <w:rPr>
                <w:b/>
                <w:szCs w:val="20"/>
              </w:rPr>
              <w:t>URE</w:t>
            </w:r>
          </w:p>
        </w:tc>
        <w:tc>
          <w:tcPr>
            <w:tcW w:w="283" w:type="dxa"/>
          </w:tcPr>
          <w:p w14:paraId="1E7C8F6A" w14:textId="77777777" w:rsidR="000C3472" w:rsidRPr="00CE3606" w:rsidRDefault="000C3472" w:rsidP="000C3472">
            <w:pPr>
              <w:jc w:val="left"/>
              <w:rPr>
                <w:szCs w:val="20"/>
              </w:rPr>
            </w:pPr>
            <w:r w:rsidRPr="00CE3606">
              <w:rPr>
                <w:szCs w:val="20"/>
              </w:rPr>
              <w:t>–</w:t>
            </w:r>
          </w:p>
        </w:tc>
        <w:tc>
          <w:tcPr>
            <w:tcW w:w="7881" w:type="dxa"/>
          </w:tcPr>
          <w:p w14:paraId="2B969F3D" w14:textId="5FAC6827" w:rsidR="000C3472" w:rsidRPr="00CE3606" w:rsidRDefault="000C3472" w:rsidP="000C3472">
            <w:pPr>
              <w:jc w:val="left"/>
              <w:rPr>
                <w:szCs w:val="20"/>
              </w:rPr>
            </w:pPr>
            <w:r w:rsidRPr="00CE3606">
              <w:rPr>
                <w:szCs w:val="20"/>
              </w:rPr>
              <w:t>Urząd Regulacji Energetyki</w:t>
            </w:r>
          </w:p>
        </w:tc>
      </w:tr>
      <w:tr w:rsidR="000C3472" w:rsidRPr="00CE3606" w14:paraId="10F85EA0" w14:textId="77777777" w:rsidTr="00CC5BCB">
        <w:trPr>
          <w:trHeight w:val="57"/>
        </w:trPr>
        <w:tc>
          <w:tcPr>
            <w:tcW w:w="964" w:type="dxa"/>
          </w:tcPr>
          <w:p w14:paraId="61345099" w14:textId="4FAE88DD" w:rsidR="000C3472" w:rsidRPr="00CE3606" w:rsidRDefault="000C3472" w:rsidP="000C3472">
            <w:pPr>
              <w:jc w:val="left"/>
              <w:rPr>
                <w:b/>
                <w:szCs w:val="20"/>
              </w:rPr>
            </w:pPr>
            <w:r w:rsidRPr="00CE3606">
              <w:rPr>
                <w:b/>
                <w:szCs w:val="20"/>
              </w:rPr>
              <w:t>RFNBO</w:t>
            </w:r>
          </w:p>
        </w:tc>
        <w:tc>
          <w:tcPr>
            <w:tcW w:w="283" w:type="dxa"/>
          </w:tcPr>
          <w:p w14:paraId="2F04F17F" w14:textId="75C55DE0" w:rsidR="000C3472" w:rsidRPr="00CE3606" w:rsidRDefault="000C3472" w:rsidP="000C3472">
            <w:pPr>
              <w:jc w:val="left"/>
              <w:rPr>
                <w:szCs w:val="20"/>
              </w:rPr>
            </w:pPr>
            <w:r w:rsidRPr="00CE3606">
              <w:rPr>
                <w:szCs w:val="20"/>
              </w:rPr>
              <w:t>–</w:t>
            </w:r>
          </w:p>
        </w:tc>
        <w:tc>
          <w:tcPr>
            <w:tcW w:w="7881" w:type="dxa"/>
          </w:tcPr>
          <w:p w14:paraId="6BB16EE6" w14:textId="27630F87" w:rsidR="000C3472" w:rsidRPr="00CE3606" w:rsidRDefault="000C3472" w:rsidP="000C3472">
            <w:pPr>
              <w:jc w:val="left"/>
              <w:rPr>
                <w:szCs w:val="20"/>
              </w:rPr>
            </w:pPr>
            <w:r w:rsidRPr="00CE3606">
              <w:rPr>
                <w:szCs w:val="20"/>
              </w:rPr>
              <w:t>paliwa odnawialne pochodzenia niebiologicznego</w:t>
            </w:r>
            <w:r w:rsidR="005059CD" w:rsidRPr="00CE3606">
              <w:rPr>
                <w:szCs w:val="20"/>
              </w:rPr>
              <w:t xml:space="preserve"> (w tym wodór odnawialny pochodzenia niebiologicznego „wodór RFNBO”),</w:t>
            </w:r>
            <w:r w:rsidRPr="00CE3606">
              <w:rPr>
                <w:szCs w:val="20"/>
              </w:rPr>
              <w:t xml:space="preserve"> ang. </w:t>
            </w:r>
            <w:r w:rsidRPr="00CE3606">
              <w:rPr>
                <w:i/>
                <w:iCs/>
                <w:szCs w:val="20"/>
              </w:rPr>
              <w:t>renewable fuels of non-biological origin</w:t>
            </w:r>
          </w:p>
        </w:tc>
      </w:tr>
      <w:tr w:rsidR="000C3472" w:rsidRPr="00D33FDD" w14:paraId="37789AB2" w14:textId="77777777" w:rsidTr="00CC5BCB">
        <w:trPr>
          <w:trHeight w:val="57"/>
        </w:trPr>
        <w:tc>
          <w:tcPr>
            <w:tcW w:w="964" w:type="dxa"/>
          </w:tcPr>
          <w:p w14:paraId="7B081806" w14:textId="752B55E3" w:rsidR="000C3472" w:rsidRPr="00CE3606" w:rsidRDefault="000C3472" w:rsidP="000C3472">
            <w:pPr>
              <w:jc w:val="left"/>
              <w:rPr>
                <w:b/>
                <w:szCs w:val="20"/>
              </w:rPr>
            </w:pPr>
            <w:r w:rsidRPr="00CE3606">
              <w:rPr>
                <w:b/>
                <w:szCs w:val="20"/>
              </w:rPr>
              <w:t>SMR</w:t>
            </w:r>
          </w:p>
        </w:tc>
        <w:tc>
          <w:tcPr>
            <w:tcW w:w="283" w:type="dxa"/>
          </w:tcPr>
          <w:p w14:paraId="008EA32E" w14:textId="7863F4AB" w:rsidR="000C3472" w:rsidRPr="00CE3606" w:rsidRDefault="000C3472" w:rsidP="000C3472">
            <w:pPr>
              <w:jc w:val="left"/>
              <w:rPr>
                <w:szCs w:val="20"/>
              </w:rPr>
            </w:pPr>
            <w:r w:rsidRPr="00CE3606">
              <w:rPr>
                <w:szCs w:val="20"/>
              </w:rPr>
              <w:t>–</w:t>
            </w:r>
          </w:p>
        </w:tc>
        <w:tc>
          <w:tcPr>
            <w:tcW w:w="7881" w:type="dxa"/>
          </w:tcPr>
          <w:p w14:paraId="7B16DF11" w14:textId="180CD9C2" w:rsidR="000C3472" w:rsidRPr="00CE3606" w:rsidRDefault="000C3472" w:rsidP="000C3472">
            <w:pPr>
              <w:jc w:val="left"/>
              <w:rPr>
                <w:szCs w:val="20"/>
                <w:lang w:val="en-US"/>
              </w:rPr>
            </w:pPr>
            <w:r w:rsidRPr="00CE3606">
              <w:rPr>
                <w:szCs w:val="20"/>
                <w:lang w:val="en-US"/>
              </w:rPr>
              <w:t xml:space="preserve">małe reaktory jadrowe, ang. </w:t>
            </w:r>
            <w:r w:rsidRPr="00CE3606">
              <w:rPr>
                <w:i/>
                <w:iCs/>
                <w:szCs w:val="20"/>
                <w:lang w:val="en-US"/>
              </w:rPr>
              <w:t>small modular reactors</w:t>
            </w:r>
          </w:p>
        </w:tc>
      </w:tr>
      <w:tr w:rsidR="000C3472" w:rsidRPr="00CE3606" w14:paraId="08ACE228" w14:textId="77777777" w:rsidTr="00CC5BCB">
        <w:trPr>
          <w:trHeight w:val="57"/>
        </w:trPr>
        <w:tc>
          <w:tcPr>
            <w:tcW w:w="964" w:type="dxa"/>
          </w:tcPr>
          <w:p w14:paraId="1D6594AE" w14:textId="77777777" w:rsidR="000C3472" w:rsidRPr="00CE3606" w:rsidRDefault="000C3472" w:rsidP="000C3472">
            <w:pPr>
              <w:jc w:val="left"/>
              <w:rPr>
                <w:b/>
                <w:szCs w:val="20"/>
              </w:rPr>
            </w:pPr>
            <w:r w:rsidRPr="00CE3606">
              <w:rPr>
                <w:b/>
                <w:szCs w:val="20"/>
              </w:rPr>
              <w:t>UE</w:t>
            </w:r>
          </w:p>
        </w:tc>
        <w:tc>
          <w:tcPr>
            <w:tcW w:w="283" w:type="dxa"/>
          </w:tcPr>
          <w:p w14:paraId="5D05A13D" w14:textId="77777777" w:rsidR="000C3472" w:rsidRPr="00CE3606" w:rsidRDefault="000C3472" w:rsidP="000C3472">
            <w:pPr>
              <w:jc w:val="left"/>
              <w:rPr>
                <w:szCs w:val="20"/>
              </w:rPr>
            </w:pPr>
            <w:r w:rsidRPr="00CE3606">
              <w:rPr>
                <w:szCs w:val="20"/>
              </w:rPr>
              <w:t>–</w:t>
            </w:r>
          </w:p>
        </w:tc>
        <w:tc>
          <w:tcPr>
            <w:tcW w:w="7881" w:type="dxa"/>
          </w:tcPr>
          <w:p w14:paraId="3C078CAF" w14:textId="77777777" w:rsidR="000C3472" w:rsidRPr="00CE3606" w:rsidRDefault="000C3472" w:rsidP="000C3472">
            <w:pPr>
              <w:jc w:val="left"/>
              <w:rPr>
                <w:szCs w:val="20"/>
              </w:rPr>
            </w:pPr>
            <w:r w:rsidRPr="00CE3606">
              <w:rPr>
                <w:szCs w:val="20"/>
              </w:rPr>
              <w:t>Unia Europejska</w:t>
            </w:r>
          </w:p>
        </w:tc>
      </w:tr>
      <w:tr w:rsidR="000C3472" w:rsidRPr="00CE3606" w14:paraId="6AC2F741" w14:textId="77777777" w:rsidTr="00CC5BCB">
        <w:trPr>
          <w:trHeight w:val="57"/>
        </w:trPr>
        <w:tc>
          <w:tcPr>
            <w:tcW w:w="964" w:type="dxa"/>
          </w:tcPr>
          <w:p w14:paraId="3DBE51C0" w14:textId="7C8D4933" w:rsidR="000C3472" w:rsidRPr="00CE3606" w:rsidRDefault="000C3472" w:rsidP="000C3472">
            <w:pPr>
              <w:jc w:val="left"/>
              <w:rPr>
                <w:b/>
                <w:szCs w:val="20"/>
              </w:rPr>
            </w:pPr>
            <w:r w:rsidRPr="00CE3606">
              <w:rPr>
                <w:b/>
                <w:szCs w:val="20"/>
              </w:rPr>
              <w:t>ZPO</w:t>
            </w:r>
          </w:p>
        </w:tc>
        <w:tc>
          <w:tcPr>
            <w:tcW w:w="283" w:type="dxa"/>
          </w:tcPr>
          <w:p w14:paraId="4953052C" w14:textId="22BF7FB0" w:rsidR="000C3472" w:rsidRPr="00CE3606" w:rsidRDefault="000C3472" w:rsidP="000C3472">
            <w:pPr>
              <w:jc w:val="left"/>
              <w:rPr>
                <w:szCs w:val="20"/>
              </w:rPr>
            </w:pPr>
            <w:r w:rsidRPr="00CE3606">
              <w:rPr>
                <w:szCs w:val="20"/>
              </w:rPr>
              <w:t>–</w:t>
            </w:r>
          </w:p>
        </w:tc>
        <w:tc>
          <w:tcPr>
            <w:tcW w:w="7881" w:type="dxa"/>
          </w:tcPr>
          <w:p w14:paraId="10FA3B55" w14:textId="7D1F67B3" w:rsidR="000C3472" w:rsidRPr="00CE3606" w:rsidRDefault="000C3472" w:rsidP="000C3472">
            <w:pPr>
              <w:jc w:val="left"/>
              <w:rPr>
                <w:szCs w:val="20"/>
              </w:rPr>
            </w:pPr>
            <w:r w:rsidRPr="00CE3606">
              <w:rPr>
                <w:szCs w:val="20"/>
              </w:rPr>
              <w:t>zapobieganie powstawaniu odpadów</w:t>
            </w:r>
          </w:p>
        </w:tc>
      </w:tr>
    </w:tbl>
    <w:p w14:paraId="750885E9" w14:textId="77777777" w:rsidR="00DE72EA" w:rsidRDefault="00DE72EA" w:rsidP="00DE72EA"/>
    <w:sectPr w:rsidR="00DE72EA">
      <w:headerReference w:type="even" r:id="rId127"/>
      <w:headerReference w:type="default" r:id="rId128"/>
      <w:headerReference w:type="first" r:id="rId129"/>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7BA6DC1" w14:textId="77777777" w:rsidR="005A1738" w:rsidRDefault="005A1738" w:rsidP="003772B3">
      <w:pPr>
        <w:spacing w:after="0" w:line="240" w:lineRule="auto"/>
      </w:pPr>
      <w:r>
        <w:separator/>
      </w:r>
    </w:p>
  </w:endnote>
  <w:endnote w:type="continuationSeparator" w:id="0">
    <w:p w14:paraId="3DFCA74B" w14:textId="77777777" w:rsidR="005A1738" w:rsidRDefault="005A1738" w:rsidP="003772B3">
      <w:pPr>
        <w:spacing w:after="0" w:line="240" w:lineRule="auto"/>
      </w:pPr>
      <w:r>
        <w:continuationSeparator/>
      </w:r>
    </w:p>
  </w:endnote>
  <w:endnote w:type="continuationNotice" w:id="1">
    <w:p w14:paraId="53A2239E" w14:textId="77777777" w:rsidR="005A1738" w:rsidRDefault="005A173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Lato">
    <w:panose1 w:val="020F0502020204030203"/>
    <w:charset w:val="00"/>
    <w:family w:val="swiss"/>
    <w:pitch w:val="variable"/>
    <w:sig w:usb0="E10002FF" w:usb1="5000ECFF" w:usb2="00000021" w:usb3="00000000" w:csb0="0000019F"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Bahnschrift">
    <w:panose1 w:val="020B0502040204020203"/>
    <w:charset w:val="EE"/>
    <w:family w:val="swiss"/>
    <w:pitch w:val="variable"/>
    <w:sig w:usb0="A00002C7" w:usb1="00000002" w:usb2="00000000" w:usb3="00000000" w:csb0="0000019F" w:csb1="00000000"/>
  </w:font>
  <w:font w:name="Calibri Light">
    <w:panose1 w:val="020F0302020204030204"/>
    <w:charset w:val="EE"/>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Latha">
    <w:panose1 w:val="02000400000000000000"/>
    <w:charset w:val="00"/>
    <w:family w:val="swiss"/>
    <w:pitch w:val="variable"/>
    <w:sig w:usb0="00100003" w:usb1="00000000" w:usb2="00000000" w:usb3="00000000" w:csb0="00000001" w:csb1="00000000"/>
  </w:font>
  <w:font w:name="Cambria Math">
    <w:panose1 w:val="02040503050406030204"/>
    <w:charset w:val="EE"/>
    <w:family w:val="roman"/>
    <w:pitch w:val="variable"/>
    <w:sig w:usb0="E00006FF" w:usb1="420024FF" w:usb2="02000000" w:usb3="00000000" w:csb0="0000019F" w:csb1="00000000"/>
  </w:font>
  <w:font w:name="Cambria">
    <w:panose1 w:val="02040503050406030204"/>
    <w:charset w:val="EE"/>
    <w:family w:val="roman"/>
    <w:pitch w:val="variable"/>
    <w:sig w:usb0="E00006FF" w:usb1="420024FF" w:usb2="02000000" w:usb3="00000000" w:csb0="0000019F" w:csb1="00000000"/>
  </w:font>
  <w:font w:name="Arial Narrow">
    <w:panose1 w:val="020B0606020202030204"/>
    <w:charset w:val="EE"/>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9587984"/>
      <w:docPartObj>
        <w:docPartGallery w:val="Page Numbers (Bottom of Page)"/>
        <w:docPartUnique/>
      </w:docPartObj>
    </w:sdtPr>
    <w:sdtContent>
      <w:p w14:paraId="186B2232" w14:textId="7DE4CD01" w:rsidR="00D92449" w:rsidRDefault="00D92449">
        <w:pPr>
          <w:pStyle w:val="Stopka"/>
          <w:jc w:val="center"/>
        </w:pPr>
        <w:r>
          <w:fldChar w:fldCharType="begin"/>
        </w:r>
        <w:r>
          <w:instrText>PAGE   \* MERGEFORMAT</w:instrText>
        </w:r>
        <w:r>
          <w:fldChar w:fldCharType="separate"/>
        </w:r>
        <w:r>
          <w:t>2</w:t>
        </w:r>
        <w:r>
          <w:fldChar w:fldCharType="end"/>
        </w:r>
      </w:p>
    </w:sdtContent>
  </w:sdt>
  <w:p w14:paraId="3FA06CB4" w14:textId="77777777" w:rsidR="00D92449" w:rsidRDefault="00D92449">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FAEB701" w14:textId="77777777" w:rsidR="005A1738" w:rsidRDefault="005A1738" w:rsidP="003772B3">
      <w:pPr>
        <w:spacing w:after="0" w:line="240" w:lineRule="auto"/>
      </w:pPr>
      <w:r>
        <w:separator/>
      </w:r>
    </w:p>
  </w:footnote>
  <w:footnote w:type="continuationSeparator" w:id="0">
    <w:p w14:paraId="15F06ACB" w14:textId="77777777" w:rsidR="005A1738" w:rsidRDefault="005A1738" w:rsidP="003772B3">
      <w:pPr>
        <w:spacing w:after="0" w:line="240" w:lineRule="auto"/>
      </w:pPr>
      <w:r>
        <w:continuationSeparator/>
      </w:r>
    </w:p>
  </w:footnote>
  <w:footnote w:type="continuationNotice" w:id="1">
    <w:p w14:paraId="2DB54103" w14:textId="77777777" w:rsidR="005A1738" w:rsidRDefault="005A1738">
      <w:pPr>
        <w:spacing w:after="0" w:line="240" w:lineRule="auto"/>
      </w:pPr>
    </w:p>
  </w:footnote>
  <w:footnote w:id="2">
    <w:p w14:paraId="1192836D" w14:textId="7CFF9B71" w:rsidR="00FA05D7" w:rsidRPr="004856F9" w:rsidRDefault="00FA05D7">
      <w:pPr>
        <w:pStyle w:val="Tekstprzypisudolnego"/>
        <w:rPr>
          <w:sz w:val="18"/>
          <w:szCs w:val="18"/>
        </w:rPr>
      </w:pPr>
      <w:r w:rsidRPr="004856F9">
        <w:rPr>
          <w:rStyle w:val="Odwoanieprzypisudolnego"/>
          <w:sz w:val="18"/>
          <w:szCs w:val="18"/>
        </w:rPr>
        <w:footnoteRef/>
      </w:r>
      <w:r w:rsidRPr="004856F9">
        <w:rPr>
          <w:sz w:val="18"/>
          <w:szCs w:val="18"/>
        </w:rPr>
        <w:t xml:space="preserve"> W Polsce stos</w:t>
      </w:r>
      <w:r w:rsidR="006B783C" w:rsidRPr="004856F9">
        <w:rPr>
          <w:sz w:val="18"/>
          <w:szCs w:val="18"/>
        </w:rPr>
        <w:t>owany jest</w:t>
      </w:r>
      <w:r w:rsidRPr="004856F9">
        <w:rPr>
          <w:sz w:val="18"/>
          <w:szCs w:val="18"/>
        </w:rPr>
        <w:t xml:space="preserve"> skrót KPEiK, zaś w nomenklaturze międzynarodowej przyjęto skrót NECP</w:t>
      </w:r>
      <w:r w:rsidR="006324C5" w:rsidRPr="004856F9">
        <w:rPr>
          <w:sz w:val="18"/>
          <w:szCs w:val="18"/>
        </w:rPr>
        <w:t xml:space="preserve"> (ang. </w:t>
      </w:r>
      <w:r w:rsidR="006324C5" w:rsidRPr="004856F9">
        <w:rPr>
          <w:i/>
          <w:iCs/>
          <w:sz w:val="18"/>
          <w:szCs w:val="18"/>
        </w:rPr>
        <w:t>National Energy and Climate Plan</w:t>
      </w:r>
      <w:r w:rsidR="006324C5" w:rsidRPr="004856F9">
        <w:rPr>
          <w:sz w:val="18"/>
          <w:szCs w:val="18"/>
        </w:rPr>
        <w:t>)</w:t>
      </w:r>
      <w:r w:rsidR="006B783C" w:rsidRPr="004856F9">
        <w:rPr>
          <w:sz w:val="18"/>
          <w:szCs w:val="18"/>
        </w:rPr>
        <w:t>.</w:t>
      </w:r>
    </w:p>
  </w:footnote>
  <w:footnote w:id="3">
    <w:p w14:paraId="6D28E0AA" w14:textId="77777777" w:rsidR="00530C4D" w:rsidRPr="004856F9" w:rsidRDefault="00530C4D" w:rsidP="00530C4D">
      <w:pPr>
        <w:pStyle w:val="Tekstprzypisudolnego"/>
        <w:rPr>
          <w:sz w:val="18"/>
          <w:szCs w:val="18"/>
        </w:rPr>
      </w:pPr>
      <w:r w:rsidRPr="004856F9">
        <w:rPr>
          <w:rStyle w:val="Odwoanieprzypisudolnego"/>
          <w:sz w:val="18"/>
          <w:szCs w:val="18"/>
        </w:rPr>
        <w:footnoteRef/>
      </w:r>
      <w:r w:rsidRPr="004856F9">
        <w:rPr>
          <w:sz w:val="18"/>
          <w:szCs w:val="18"/>
        </w:rPr>
        <w:t xml:space="preserve"> W rozporządzeniu 2018/1999 użyto słowa ang. </w:t>
      </w:r>
      <w:r w:rsidRPr="004856F9">
        <w:rPr>
          <w:i/>
          <w:iCs/>
          <w:sz w:val="18"/>
          <w:szCs w:val="18"/>
        </w:rPr>
        <w:t>measures</w:t>
      </w:r>
      <w:r w:rsidRPr="004856F9">
        <w:rPr>
          <w:sz w:val="18"/>
          <w:szCs w:val="18"/>
        </w:rPr>
        <w:t>, czyli „środki”. W aKPEiK zastąpiono je słowem „działania”, ponieważ pojęcie „środki” jest wieloznaczne i może powodować niejasności.</w:t>
      </w:r>
    </w:p>
  </w:footnote>
  <w:footnote w:id="4">
    <w:p w14:paraId="40EAE201" w14:textId="67FB3EC6" w:rsidR="0036616A" w:rsidRPr="004856F9" w:rsidRDefault="0036616A">
      <w:pPr>
        <w:pStyle w:val="Tekstprzypisudolnego"/>
        <w:rPr>
          <w:sz w:val="18"/>
          <w:szCs w:val="18"/>
        </w:rPr>
      </w:pPr>
      <w:r w:rsidRPr="004856F9">
        <w:rPr>
          <w:rStyle w:val="Odwoanieprzypisudolnego"/>
          <w:sz w:val="18"/>
          <w:szCs w:val="18"/>
        </w:rPr>
        <w:footnoteRef/>
      </w:r>
      <w:r w:rsidRPr="004856F9">
        <w:rPr>
          <w:sz w:val="18"/>
          <w:szCs w:val="18"/>
        </w:rPr>
        <w:t xml:space="preserve"> Dane historyczne dotyczące emisji GC oraz zanieczyszczeń powietrza </w:t>
      </w:r>
      <w:r w:rsidR="00B939DE" w:rsidRPr="004856F9">
        <w:rPr>
          <w:sz w:val="18"/>
          <w:szCs w:val="18"/>
        </w:rPr>
        <w:t>publikowane są</w:t>
      </w:r>
      <w:r w:rsidRPr="004856F9">
        <w:rPr>
          <w:sz w:val="18"/>
          <w:szCs w:val="18"/>
        </w:rPr>
        <w:t xml:space="preserve"> w Krajowych raportach inwentaryzacyjnych, opracowywanych przez Krajowy Ośrodek Zarządzania i Bilansowania Emisji, </w:t>
      </w:r>
      <w:hyperlink r:id="rId1" w:history="1">
        <w:r w:rsidRPr="004856F9">
          <w:rPr>
            <w:rStyle w:val="Hipercze"/>
            <w:sz w:val="18"/>
            <w:szCs w:val="18"/>
          </w:rPr>
          <w:t>link</w:t>
        </w:r>
      </w:hyperlink>
      <w:r w:rsidRPr="004856F9">
        <w:rPr>
          <w:sz w:val="18"/>
          <w:szCs w:val="18"/>
        </w:rPr>
        <w:t>.</w:t>
      </w:r>
    </w:p>
  </w:footnote>
  <w:footnote w:id="5">
    <w:p w14:paraId="445B9226" w14:textId="14E22B71" w:rsidR="00783334" w:rsidRPr="004856F9" w:rsidRDefault="00783334">
      <w:pPr>
        <w:pStyle w:val="Tekstprzypisudolnego"/>
        <w:rPr>
          <w:sz w:val="18"/>
          <w:szCs w:val="18"/>
        </w:rPr>
      </w:pPr>
      <w:r w:rsidRPr="004856F9">
        <w:rPr>
          <w:rStyle w:val="Odwoanieprzypisudolnego"/>
          <w:sz w:val="18"/>
          <w:szCs w:val="18"/>
        </w:rPr>
        <w:footnoteRef/>
      </w:r>
      <w:r w:rsidRPr="004856F9">
        <w:rPr>
          <w:sz w:val="18"/>
          <w:szCs w:val="18"/>
        </w:rPr>
        <w:t xml:space="preserve"> Art. 4 rozporządzenia UE 2021/1119</w:t>
      </w:r>
      <w:r w:rsidR="002D38AA" w:rsidRPr="004856F9">
        <w:rPr>
          <w:sz w:val="18"/>
          <w:szCs w:val="18"/>
        </w:rPr>
        <w:t>.</w:t>
      </w:r>
    </w:p>
  </w:footnote>
  <w:footnote w:id="6">
    <w:p w14:paraId="5FFE5F7F" w14:textId="40EE2928" w:rsidR="001473F6" w:rsidRPr="004856F9" w:rsidRDefault="001473F6">
      <w:pPr>
        <w:pStyle w:val="Tekstprzypisudolnego"/>
        <w:rPr>
          <w:sz w:val="18"/>
          <w:szCs w:val="18"/>
        </w:rPr>
      </w:pPr>
      <w:r w:rsidRPr="004856F9">
        <w:rPr>
          <w:rStyle w:val="Odwoanieprzypisudolnego"/>
          <w:sz w:val="18"/>
          <w:szCs w:val="18"/>
        </w:rPr>
        <w:footnoteRef/>
      </w:r>
      <w:r w:rsidRPr="004856F9">
        <w:rPr>
          <w:sz w:val="18"/>
          <w:szCs w:val="18"/>
        </w:rPr>
        <w:t xml:space="preserve"> </w:t>
      </w:r>
      <w:r w:rsidR="006D1B23" w:rsidRPr="004856F9">
        <w:rPr>
          <w:sz w:val="18"/>
          <w:szCs w:val="18"/>
        </w:rPr>
        <w:t xml:space="preserve">Pkt 39 preambuły do </w:t>
      </w:r>
      <w:r w:rsidRPr="004856F9">
        <w:rPr>
          <w:sz w:val="18"/>
          <w:szCs w:val="18"/>
        </w:rPr>
        <w:t>dyrektywy</w:t>
      </w:r>
      <w:r w:rsidR="006E3DFB" w:rsidRPr="004856F9">
        <w:rPr>
          <w:sz w:val="18"/>
          <w:szCs w:val="18"/>
        </w:rPr>
        <w:t xml:space="preserve"> ETS</w:t>
      </w:r>
      <w:r w:rsidR="006D1B23" w:rsidRPr="004856F9">
        <w:rPr>
          <w:sz w:val="18"/>
          <w:szCs w:val="18"/>
        </w:rPr>
        <w:t xml:space="preserve"> – 2023/959/UE</w:t>
      </w:r>
      <w:r w:rsidR="00A93D92" w:rsidRPr="004856F9">
        <w:rPr>
          <w:sz w:val="18"/>
          <w:szCs w:val="18"/>
        </w:rPr>
        <w:t>.</w:t>
      </w:r>
    </w:p>
  </w:footnote>
  <w:footnote w:id="7">
    <w:p w14:paraId="4550226E" w14:textId="7E2F01B8" w:rsidR="006E3DFB" w:rsidRPr="004856F9" w:rsidRDefault="006E3DFB">
      <w:pPr>
        <w:pStyle w:val="Tekstprzypisudolnego"/>
        <w:rPr>
          <w:sz w:val="18"/>
          <w:szCs w:val="18"/>
        </w:rPr>
      </w:pPr>
      <w:r w:rsidRPr="004856F9">
        <w:rPr>
          <w:rStyle w:val="Odwoanieprzypisudolnego"/>
          <w:sz w:val="18"/>
          <w:szCs w:val="18"/>
        </w:rPr>
        <w:footnoteRef/>
      </w:r>
      <w:r w:rsidRPr="004856F9">
        <w:rPr>
          <w:sz w:val="18"/>
          <w:szCs w:val="18"/>
        </w:rPr>
        <w:t xml:space="preserve"> Art. 1 rozporządzenia ESR</w:t>
      </w:r>
      <w:r w:rsidR="00A93D92" w:rsidRPr="004856F9">
        <w:rPr>
          <w:sz w:val="18"/>
          <w:szCs w:val="18"/>
        </w:rPr>
        <w:t>.</w:t>
      </w:r>
    </w:p>
  </w:footnote>
  <w:footnote w:id="8">
    <w:p w14:paraId="3B86BFC8" w14:textId="6C61E900" w:rsidR="001473F6" w:rsidRPr="004856F9" w:rsidRDefault="001473F6">
      <w:pPr>
        <w:pStyle w:val="Tekstprzypisudolnego"/>
        <w:rPr>
          <w:sz w:val="18"/>
          <w:szCs w:val="18"/>
        </w:rPr>
      </w:pPr>
      <w:r w:rsidRPr="004856F9">
        <w:rPr>
          <w:rStyle w:val="Odwoanieprzypisudolnego"/>
          <w:sz w:val="18"/>
          <w:szCs w:val="18"/>
        </w:rPr>
        <w:footnoteRef/>
      </w:r>
      <w:r w:rsidRPr="004856F9">
        <w:rPr>
          <w:sz w:val="18"/>
          <w:szCs w:val="18"/>
        </w:rPr>
        <w:t xml:space="preserve"> </w:t>
      </w:r>
      <w:r w:rsidR="006E3DFB" w:rsidRPr="004856F9">
        <w:rPr>
          <w:sz w:val="18"/>
          <w:szCs w:val="18"/>
        </w:rPr>
        <w:t>Załącznik 1 pkt 1</w:t>
      </w:r>
      <w:r w:rsidRPr="004856F9">
        <w:rPr>
          <w:sz w:val="18"/>
          <w:szCs w:val="18"/>
        </w:rPr>
        <w:t xml:space="preserve"> </w:t>
      </w:r>
      <w:r w:rsidR="006E3DFB" w:rsidRPr="004856F9">
        <w:rPr>
          <w:sz w:val="18"/>
          <w:szCs w:val="18"/>
        </w:rPr>
        <w:t>rozporządzenia ESR</w:t>
      </w:r>
      <w:r w:rsidR="00A93D92" w:rsidRPr="004856F9">
        <w:rPr>
          <w:sz w:val="18"/>
          <w:szCs w:val="18"/>
        </w:rPr>
        <w:t>.</w:t>
      </w:r>
    </w:p>
  </w:footnote>
  <w:footnote w:id="9">
    <w:p w14:paraId="4CD46876" w14:textId="533BFBBD" w:rsidR="00616B1C" w:rsidRPr="004856F9" w:rsidRDefault="00616B1C">
      <w:pPr>
        <w:pStyle w:val="Tekstprzypisudolnego"/>
        <w:rPr>
          <w:sz w:val="18"/>
          <w:szCs w:val="18"/>
        </w:rPr>
      </w:pPr>
      <w:r w:rsidRPr="004856F9">
        <w:rPr>
          <w:rStyle w:val="Odwoanieprzypisudolnego"/>
          <w:sz w:val="18"/>
          <w:szCs w:val="18"/>
        </w:rPr>
        <w:footnoteRef/>
      </w:r>
      <w:r w:rsidRPr="004856F9">
        <w:rPr>
          <w:sz w:val="18"/>
          <w:szCs w:val="18"/>
        </w:rPr>
        <w:t xml:space="preserve"> System ETS-2 ma obejmować także kilka dodatkowych, </w:t>
      </w:r>
      <w:r w:rsidR="001A45B6" w:rsidRPr="004856F9">
        <w:rPr>
          <w:sz w:val="18"/>
          <w:szCs w:val="18"/>
        </w:rPr>
        <w:t>szczegółowych działalności, np. ogrzewanie obiektów przemysłowych</w:t>
      </w:r>
      <w:r w:rsidR="00A93D92" w:rsidRPr="004856F9">
        <w:rPr>
          <w:sz w:val="18"/>
          <w:szCs w:val="18"/>
        </w:rPr>
        <w:t>.</w:t>
      </w:r>
    </w:p>
  </w:footnote>
  <w:footnote w:id="10">
    <w:p w14:paraId="19A0E58A" w14:textId="4331CBC5" w:rsidR="00616B1C" w:rsidRPr="004856F9" w:rsidRDefault="00616B1C">
      <w:pPr>
        <w:pStyle w:val="Tekstprzypisudolnego"/>
        <w:rPr>
          <w:sz w:val="18"/>
          <w:szCs w:val="18"/>
        </w:rPr>
      </w:pPr>
      <w:r w:rsidRPr="004856F9">
        <w:rPr>
          <w:rStyle w:val="Odwoanieprzypisudolnego"/>
          <w:sz w:val="18"/>
          <w:szCs w:val="18"/>
        </w:rPr>
        <w:footnoteRef/>
      </w:r>
      <w:r w:rsidRPr="004856F9">
        <w:rPr>
          <w:sz w:val="18"/>
          <w:szCs w:val="18"/>
        </w:rPr>
        <w:t xml:space="preserve"> Art. </w:t>
      </w:r>
      <w:r w:rsidR="006E3DFB" w:rsidRPr="004856F9">
        <w:rPr>
          <w:sz w:val="18"/>
          <w:szCs w:val="18"/>
        </w:rPr>
        <w:t>1 pkt 29</w:t>
      </w:r>
      <w:r w:rsidRPr="004856F9">
        <w:rPr>
          <w:sz w:val="18"/>
          <w:szCs w:val="18"/>
        </w:rPr>
        <w:t xml:space="preserve"> dyrektywy</w:t>
      </w:r>
      <w:r w:rsidR="006E3DFB" w:rsidRPr="004856F9">
        <w:rPr>
          <w:sz w:val="18"/>
          <w:szCs w:val="18"/>
        </w:rPr>
        <w:t xml:space="preserve"> </w:t>
      </w:r>
      <w:r w:rsidR="006D1B23" w:rsidRPr="004856F9">
        <w:rPr>
          <w:sz w:val="18"/>
          <w:szCs w:val="18"/>
        </w:rPr>
        <w:t xml:space="preserve">ETS </w:t>
      </w:r>
      <w:r w:rsidR="006E3DFB" w:rsidRPr="004856F9">
        <w:rPr>
          <w:sz w:val="18"/>
          <w:szCs w:val="18"/>
        </w:rPr>
        <w:t>– dodanie art. 30a–30k w dyrektywie 2003/87/WE</w:t>
      </w:r>
      <w:r w:rsidR="00A93D92" w:rsidRPr="004856F9">
        <w:rPr>
          <w:sz w:val="18"/>
          <w:szCs w:val="18"/>
        </w:rPr>
        <w:t>.</w:t>
      </w:r>
    </w:p>
  </w:footnote>
  <w:footnote w:id="11">
    <w:p w14:paraId="1A3C0D5B" w14:textId="13C40D30" w:rsidR="00A26E30" w:rsidRPr="004856F9" w:rsidRDefault="00A26E30">
      <w:pPr>
        <w:pStyle w:val="Tekstprzypisudolnego"/>
        <w:rPr>
          <w:sz w:val="18"/>
          <w:szCs w:val="18"/>
        </w:rPr>
      </w:pPr>
      <w:r w:rsidRPr="004856F9">
        <w:rPr>
          <w:rStyle w:val="Odwoanieprzypisudolnego"/>
          <w:sz w:val="18"/>
          <w:szCs w:val="18"/>
        </w:rPr>
        <w:footnoteRef/>
      </w:r>
      <w:r w:rsidRPr="004856F9">
        <w:rPr>
          <w:sz w:val="18"/>
          <w:szCs w:val="18"/>
        </w:rPr>
        <w:t xml:space="preserve"> Art. 3 dyrektywy RED II.</w:t>
      </w:r>
    </w:p>
  </w:footnote>
  <w:footnote w:id="12">
    <w:p w14:paraId="3BD94673" w14:textId="24311E9F" w:rsidR="00A26E30" w:rsidRPr="004856F9" w:rsidRDefault="00A26E30">
      <w:pPr>
        <w:pStyle w:val="Tekstprzypisudolnego"/>
        <w:rPr>
          <w:sz w:val="18"/>
          <w:szCs w:val="18"/>
        </w:rPr>
      </w:pPr>
      <w:r w:rsidRPr="004856F9">
        <w:rPr>
          <w:rStyle w:val="Odwoanieprzypisudolnego"/>
          <w:sz w:val="18"/>
          <w:szCs w:val="18"/>
        </w:rPr>
        <w:footnoteRef/>
      </w:r>
      <w:r w:rsidRPr="004856F9">
        <w:rPr>
          <w:sz w:val="18"/>
          <w:szCs w:val="18"/>
        </w:rPr>
        <w:t xml:space="preserve"> Art. 1 pkt 2 lit. a dyrektywy RED III.</w:t>
      </w:r>
    </w:p>
  </w:footnote>
  <w:footnote w:id="13">
    <w:p w14:paraId="727D281C" w14:textId="019DDA3C" w:rsidR="003D1AD6" w:rsidRPr="004856F9" w:rsidRDefault="003D1AD6">
      <w:pPr>
        <w:pStyle w:val="Tekstprzypisudolnego"/>
        <w:rPr>
          <w:sz w:val="18"/>
          <w:szCs w:val="18"/>
          <w:lang w:val="en-US"/>
        </w:rPr>
      </w:pPr>
      <w:r w:rsidRPr="004856F9">
        <w:rPr>
          <w:rStyle w:val="Odwoanieprzypisudolnego"/>
          <w:sz w:val="18"/>
          <w:szCs w:val="18"/>
        </w:rPr>
        <w:footnoteRef/>
      </w:r>
      <w:r w:rsidRPr="004856F9">
        <w:rPr>
          <w:sz w:val="18"/>
          <w:szCs w:val="18"/>
          <w:lang w:val="en-US"/>
        </w:rPr>
        <w:t xml:space="preserve">  </w:t>
      </w:r>
      <w:r w:rsidRPr="004856F9">
        <w:rPr>
          <w:i/>
          <w:iCs/>
          <w:sz w:val="18"/>
          <w:szCs w:val="18"/>
          <w:lang w:val="en-US"/>
        </w:rPr>
        <w:t>Impact Assessment Report Accompanying the Proposal for a Directive of the European Parliament and the Council amending Directive (EU) 2018/2001 of the European Parliament and of the Council, Regulation (EU) 2018/1999 of the European Parliament and of the Council and Directive 98/70/EC of the European Parliament and of the Council as regards the promotion of energy from renewable sources, and repealing Council Directive (EU) 2015/652</w:t>
      </w:r>
      <w:r w:rsidRPr="004856F9">
        <w:rPr>
          <w:sz w:val="18"/>
          <w:szCs w:val="18"/>
          <w:lang w:val="en-US"/>
        </w:rPr>
        <w:t>, tabela</w:t>
      </w:r>
      <w:r w:rsidR="00A36950" w:rsidRPr="004856F9">
        <w:rPr>
          <w:sz w:val="18"/>
          <w:szCs w:val="18"/>
          <w:lang w:val="en-US"/>
        </w:rPr>
        <w:t> </w:t>
      </w:r>
      <w:r w:rsidRPr="004856F9">
        <w:rPr>
          <w:sz w:val="18"/>
          <w:szCs w:val="18"/>
          <w:lang w:val="en-US"/>
        </w:rPr>
        <w:t xml:space="preserve">11, </w:t>
      </w:r>
      <w:hyperlink r:id="rId2" w:history="1">
        <w:r w:rsidRPr="004856F9">
          <w:rPr>
            <w:rStyle w:val="Hipercze"/>
            <w:sz w:val="18"/>
            <w:szCs w:val="18"/>
            <w:lang w:val="en-US"/>
          </w:rPr>
          <w:t>link</w:t>
        </w:r>
      </w:hyperlink>
    </w:p>
  </w:footnote>
  <w:footnote w:id="14">
    <w:p w14:paraId="23B3C839" w14:textId="77777777" w:rsidR="00D370E2" w:rsidRPr="004856F9" w:rsidRDefault="00D370E2" w:rsidP="00D370E2">
      <w:pPr>
        <w:pStyle w:val="Tekstprzypisudolnego"/>
        <w:rPr>
          <w:sz w:val="18"/>
          <w:szCs w:val="18"/>
        </w:rPr>
      </w:pPr>
      <w:r w:rsidRPr="004856F9">
        <w:rPr>
          <w:rStyle w:val="Odwoanieprzypisudolnego"/>
          <w:sz w:val="18"/>
          <w:szCs w:val="18"/>
        </w:rPr>
        <w:footnoteRef/>
      </w:r>
      <w:r w:rsidRPr="004856F9">
        <w:rPr>
          <w:sz w:val="18"/>
          <w:szCs w:val="18"/>
        </w:rPr>
        <w:t xml:space="preserve"> Łączne zużycie OZE w końcowym zużyciu energii brutto może wynieść ok. 21,7 Mtoe w 2030 r., a łączne zużycie energii finalnej w oparciu, o które ustala się wskaźnik ok. 66,7 Mtoe. Ponieważ do obliczania udziału w podsektorach wykorzystuje się odpowiednie mnożniki, suma wartości w tekście przewyższa wartość 21,7 Mtoe. </w:t>
      </w:r>
    </w:p>
  </w:footnote>
  <w:footnote w:id="15">
    <w:p w14:paraId="46101DA3" w14:textId="77777777" w:rsidR="008B1E6B" w:rsidRPr="004856F9" w:rsidRDefault="008B1E6B" w:rsidP="008B1E6B">
      <w:pPr>
        <w:pStyle w:val="Tekstprzypisudolnego"/>
        <w:rPr>
          <w:sz w:val="18"/>
          <w:szCs w:val="18"/>
        </w:rPr>
      </w:pPr>
      <w:r w:rsidRPr="004856F9">
        <w:rPr>
          <w:rStyle w:val="Odwoanieprzypisudolnego"/>
          <w:sz w:val="18"/>
          <w:szCs w:val="18"/>
        </w:rPr>
        <w:footnoteRef/>
      </w:r>
      <w:r w:rsidRPr="004856F9">
        <w:rPr>
          <w:sz w:val="18"/>
          <w:szCs w:val="18"/>
        </w:rPr>
        <w:t xml:space="preserve"> Odnosi się do kategorii określonej według metodyki IPCC – 1A1aii </w:t>
      </w:r>
      <w:r w:rsidRPr="004856F9">
        <w:rPr>
          <w:i/>
          <w:iCs/>
          <w:sz w:val="18"/>
          <w:szCs w:val="18"/>
        </w:rPr>
        <w:t>Skojarzona produkcja energii elektrycznej i ciepła</w:t>
      </w:r>
      <w:r w:rsidRPr="004856F9">
        <w:rPr>
          <w:sz w:val="18"/>
          <w:szCs w:val="18"/>
        </w:rPr>
        <w:t>, która obejmuje energię produkowaną w elektrowniach i elektrociepłowniach.</w:t>
      </w:r>
    </w:p>
  </w:footnote>
  <w:footnote w:id="16">
    <w:p w14:paraId="518C36FE" w14:textId="4CE91E3E" w:rsidR="00A92592" w:rsidRPr="004856F9" w:rsidRDefault="00A92592">
      <w:pPr>
        <w:pStyle w:val="Tekstprzypisudolnego"/>
        <w:rPr>
          <w:sz w:val="18"/>
          <w:szCs w:val="18"/>
        </w:rPr>
      </w:pPr>
      <w:r w:rsidRPr="004856F9">
        <w:rPr>
          <w:rStyle w:val="Odwoanieprzypisudolnego"/>
          <w:sz w:val="18"/>
          <w:szCs w:val="18"/>
        </w:rPr>
        <w:footnoteRef/>
      </w:r>
      <w:r w:rsidRPr="004856F9">
        <w:rPr>
          <w:sz w:val="18"/>
          <w:szCs w:val="18"/>
        </w:rPr>
        <w:t xml:space="preserve"> Emisyjność wytwarzania energii elektrycznej to suma wyemitowanych emisji GC przez jednostki wytwórcze (emisja całkowit</w:t>
      </w:r>
      <w:r w:rsidR="00B626B4" w:rsidRPr="004856F9">
        <w:rPr>
          <w:sz w:val="18"/>
          <w:szCs w:val="18"/>
        </w:rPr>
        <w:t>a</w:t>
      </w:r>
      <w:r w:rsidRPr="004856F9">
        <w:rPr>
          <w:sz w:val="18"/>
          <w:szCs w:val="18"/>
        </w:rPr>
        <w:t>) podzielona przez sumę wytworzonej energii elektrycznej.</w:t>
      </w:r>
    </w:p>
  </w:footnote>
  <w:footnote w:id="17">
    <w:p w14:paraId="1ADBEAE2" w14:textId="6AB0B8D7" w:rsidR="00CD32A0" w:rsidRPr="004856F9" w:rsidRDefault="00CD32A0" w:rsidP="00CD32A0">
      <w:pPr>
        <w:pStyle w:val="Tekstprzypisudolnego"/>
        <w:rPr>
          <w:sz w:val="18"/>
          <w:szCs w:val="18"/>
        </w:rPr>
      </w:pPr>
      <w:r w:rsidRPr="004856F9">
        <w:rPr>
          <w:rStyle w:val="Odwoanieprzypisudolnego"/>
          <w:sz w:val="18"/>
          <w:szCs w:val="18"/>
        </w:rPr>
        <w:footnoteRef/>
      </w:r>
      <w:r w:rsidRPr="004856F9">
        <w:rPr>
          <w:sz w:val="18"/>
          <w:szCs w:val="18"/>
        </w:rPr>
        <w:t xml:space="preserve"> </w:t>
      </w:r>
      <w:r w:rsidR="00A36950" w:rsidRPr="004856F9">
        <w:rPr>
          <w:i/>
          <w:iCs/>
          <w:sz w:val="18"/>
          <w:szCs w:val="18"/>
        </w:rPr>
        <w:t>Informacja statystyczna o energii elektrycznej. Biuletyn miesięczny</w:t>
      </w:r>
      <w:r w:rsidR="00E30DFC" w:rsidRPr="004856F9">
        <w:rPr>
          <w:i/>
          <w:iCs/>
          <w:sz w:val="18"/>
          <w:szCs w:val="18"/>
        </w:rPr>
        <w:t xml:space="preserve"> – grudzień 2023</w:t>
      </w:r>
      <w:r w:rsidR="00A36950" w:rsidRPr="004856F9">
        <w:rPr>
          <w:sz w:val="18"/>
          <w:szCs w:val="18"/>
        </w:rPr>
        <w:t>, nr 1</w:t>
      </w:r>
      <w:r w:rsidR="00E30DFC" w:rsidRPr="004856F9">
        <w:rPr>
          <w:sz w:val="18"/>
          <w:szCs w:val="18"/>
        </w:rPr>
        <w:t>2</w:t>
      </w:r>
      <w:r w:rsidR="00A36950" w:rsidRPr="004856F9">
        <w:rPr>
          <w:sz w:val="18"/>
          <w:szCs w:val="18"/>
        </w:rPr>
        <w:t xml:space="preserve"> (3</w:t>
      </w:r>
      <w:r w:rsidR="00E30DFC" w:rsidRPr="004856F9">
        <w:rPr>
          <w:sz w:val="18"/>
          <w:szCs w:val="18"/>
        </w:rPr>
        <w:t>60</w:t>
      </w:r>
      <w:r w:rsidR="00A36950" w:rsidRPr="004856F9">
        <w:rPr>
          <w:sz w:val="18"/>
          <w:szCs w:val="18"/>
        </w:rPr>
        <w:t>),</w:t>
      </w:r>
      <w:r w:rsidR="00E30DFC" w:rsidRPr="004856F9">
        <w:rPr>
          <w:sz w:val="18"/>
          <w:szCs w:val="18"/>
        </w:rPr>
        <w:t xml:space="preserve"> tabela 14,</w:t>
      </w:r>
      <w:r w:rsidR="00A36950" w:rsidRPr="004856F9">
        <w:rPr>
          <w:sz w:val="18"/>
          <w:szCs w:val="18"/>
        </w:rPr>
        <w:t xml:space="preserve"> ARE S.A.</w:t>
      </w:r>
      <w:r w:rsidR="00E30DFC" w:rsidRPr="004856F9">
        <w:rPr>
          <w:sz w:val="18"/>
          <w:szCs w:val="18"/>
        </w:rPr>
        <w:t xml:space="preserve"> w imieniu MKiŚ i URE.</w:t>
      </w:r>
    </w:p>
  </w:footnote>
  <w:footnote w:id="18">
    <w:p w14:paraId="3452F9F8" w14:textId="32297034" w:rsidR="00B34B5F" w:rsidRPr="004856F9" w:rsidRDefault="00B34B5F" w:rsidP="00B34B5F">
      <w:pPr>
        <w:pStyle w:val="Tekstprzypisudolnego"/>
        <w:rPr>
          <w:sz w:val="18"/>
          <w:szCs w:val="18"/>
        </w:rPr>
      </w:pPr>
      <w:r w:rsidRPr="004856F9">
        <w:rPr>
          <w:rStyle w:val="Odwoanieprzypisudolnego"/>
          <w:sz w:val="18"/>
          <w:szCs w:val="18"/>
        </w:rPr>
        <w:footnoteRef/>
      </w:r>
      <w:r w:rsidRPr="004856F9">
        <w:rPr>
          <w:sz w:val="18"/>
          <w:szCs w:val="18"/>
        </w:rPr>
        <w:t xml:space="preserve"> Zgodnie z art. 10 dyrektywy 2024/1275 o efektywności energetycznej budynków.</w:t>
      </w:r>
    </w:p>
  </w:footnote>
  <w:footnote w:id="19">
    <w:p w14:paraId="70DFBCE0" w14:textId="0606D72C" w:rsidR="000748F8" w:rsidRPr="004856F9" w:rsidRDefault="000748F8">
      <w:pPr>
        <w:pStyle w:val="Tekstprzypisudolnego"/>
        <w:rPr>
          <w:sz w:val="18"/>
          <w:szCs w:val="18"/>
        </w:rPr>
      </w:pPr>
      <w:r w:rsidRPr="004856F9">
        <w:rPr>
          <w:rStyle w:val="Odwoanieprzypisudolnego"/>
          <w:sz w:val="18"/>
          <w:szCs w:val="18"/>
        </w:rPr>
        <w:footnoteRef/>
      </w:r>
      <w:r w:rsidRPr="004856F9">
        <w:rPr>
          <w:sz w:val="18"/>
          <w:szCs w:val="18"/>
        </w:rPr>
        <w:t xml:space="preserve"> Szerzej o CCS w części </w:t>
      </w:r>
      <w:r w:rsidRPr="004856F9">
        <w:rPr>
          <w:sz w:val="18"/>
          <w:szCs w:val="18"/>
        </w:rPr>
        <w:fldChar w:fldCharType="begin"/>
      </w:r>
      <w:r w:rsidRPr="004856F9">
        <w:rPr>
          <w:sz w:val="18"/>
          <w:szCs w:val="18"/>
        </w:rPr>
        <w:instrText xml:space="preserve"> REF _Ref159313182 \w \h  \* MERGEFORMAT </w:instrText>
      </w:r>
      <w:r w:rsidRPr="004856F9">
        <w:rPr>
          <w:sz w:val="18"/>
          <w:szCs w:val="18"/>
        </w:rPr>
      </w:r>
      <w:r w:rsidRPr="004856F9">
        <w:rPr>
          <w:sz w:val="18"/>
          <w:szCs w:val="18"/>
        </w:rPr>
        <w:fldChar w:fldCharType="separate"/>
      </w:r>
      <w:r w:rsidR="003E2A17" w:rsidRPr="004856F9">
        <w:rPr>
          <w:sz w:val="18"/>
          <w:szCs w:val="18"/>
        </w:rPr>
        <w:t>Cel. 1.2.4</w:t>
      </w:r>
      <w:r w:rsidRPr="004856F9">
        <w:rPr>
          <w:sz w:val="18"/>
          <w:szCs w:val="18"/>
        </w:rPr>
        <w:fldChar w:fldCharType="end"/>
      </w:r>
      <w:r w:rsidRPr="004856F9">
        <w:rPr>
          <w:sz w:val="18"/>
          <w:szCs w:val="18"/>
        </w:rPr>
        <w:t xml:space="preserve">. </w:t>
      </w:r>
      <w:r w:rsidRPr="004856F9">
        <w:rPr>
          <w:sz w:val="18"/>
          <w:szCs w:val="18"/>
        </w:rPr>
        <w:fldChar w:fldCharType="begin"/>
      </w:r>
      <w:r w:rsidRPr="004856F9">
        <w:rPr>
          <w:sz w:val="18"/>
          <w:szCs w:val="18"/>
        </w:rPr>
        <w:instrText xml:space="preserve"> REF _Ref159313182 \h  \* MERGEFORMAT </w:instrText>
      </w:r>
      <w:r w:rsidRPr="004856F9">
        <w:rPr>
          <w:sz w:val="18"/>
          <w:szCs w:val="18"/>
        </w:rPr>
      </w:r>
      <w:r w:rsidRPr="004856F9">
        <w:rPr>
          <w:sz w:val="18"/>
          <w:szCs w:val="18"/>
        </w:rPr>
        <w:fldChar w:fldCharType="separate"/>
      </w:r>
      <w:r w:rsidR="003E2A17" w:rsidRPr="004856F9">
        <w:rPr>
          <w:color w:val="70AD47" w:themeColor="accent6"/>
          <w:sz w:val="18"/>
          <w:szCs w:val="18"/>
        </w:rPr>
        <w:t>Redukcja emisji GC w przemyśle</w:t>
      </w:r>
      <w:r w:rsidRPr="004856F9">
        <w:rPr>
          <w:sz w:val="18"/>
          <w:szCs w:val="18"/>
        </w:rPr>
        <w:fldChar w:fldCharType="end"/>
      </w:r>
      <w:r w:rsidRPr="004856F9">
        <w:rPr>
          <w:sz w:val="18"/>
          <w:szCs w:val="18"/>
        </w:rPr>
        <w:t xml:space="preserve">, ponieważ CCS/CCUS prawdopodobniej szybciej zastosowanie znajdzie w sektorze przemysłu. </w:t>
      </w:r>
    </w:p>
  </w:footnote>
  <w:footnote w:id="20">
    <w:p w14:paraId="76AF9D5E" w14:textId="79177ECC" w:rsidR="005F43D4" w:rsidRPr="004856F9" w:rsidRDefault="005F43D4" w:rsidP="005F43D4">
      <w:pPr>
        <w:pStyle w:val="Tekstprzypisudolnego"/>
        <w:rPr>
          <w:sz w:val="18"/>
          <w:szCs w:val="18"/>
        </w:rPr>
      </w:pPr>
      <w:r w:rsidRPr="004856F9">
        <w:rPr>
          <w:rStyle w:val="Odwoanieprzypisudolnego"/>
          <w:sz w:val="18"/>
          <w:szCs w:val="18"/>
        </w:rPr>
        <w:footnoteRef/>
      </w:r>
      <w:r w:rsidRPr="004856F9">
        <w:rPr>
          <w:sz w:val="18"/>
          <w:szCs w:val="18"/>
        </w:rPr>
        <w:t xml:space="preserve"> W a</w:t>
      </w:r>
      <w:r w:rsidR="008F731E" w:rsidRPr="004856F9">
        <w:rPr>
          <w:sz w:val="18"/>
          <w:szCs w:val="18"/>
        </w:rPr>
        <w:t>K</w:t>
      </w:r>
      <w:r w:rsidRPr="004856F9">
        <w:rPr>
          <w:sz w:val="18"/>
          <w:szCs w:val="18"/>
        </w:rPr>
        <w:t xml:space="preserve">PEiK ten cel wskazano w części dot. jakości powietrza. </w:t>
      </w:r>
    </w:p>
  </w:footnote>
  <w:footnote w:id="21">
    <w:p w14:paraId="407C689D" w14:textId="09B64CD2" w:rsidR="0063646F" w:rsidRDefault="0063646F">
      <w:pPr>
        <w:pStyle w:val="Tekstprzypisudolnego"/>
      </w:pPr>
      <w:r>
        <w:rPr>
          <w:rStyle w:val="Odwoanieprzypisudolnego"/>
        </w:rPr>
        <w:footnoteRef/>
      </w:r>
      <w:r>
        <w:t xml:space="preserve"> Zgodnie z dyrektywą EPBD.</w:t>
      </w:r>
    </w:p>
  </w:footnote>
  <w:footnote w:id="22">
    <w:p w14:paraId="5E9B5DFF" w14:textId="77777777" w:rsidR="00EF61BE" w:rsidRPr="004856F9" w:rsidRDefault="00EF61BE" w:rsidP="00EF61BE">
      <w:pPr>
        <w:pStyle w:val="Tekstprzypisudolnego"/>
        <w:rPr>
          <w:sz w:val="18"/>
          <w:szCs w:val="18"/>
        </w:rPr>
      </w:pPr>
      <w:r w:rsidRPr="004856F9">
        <w:rPr>
          <w:rStyle w:val="Odwoanieprzypisudolnego"/>
          <w:sz w:val="18"/>
          <w:szCs w:val="18"/>
        </w:rPr>
        <w:footnoteRef/>
      </w:r>
      <w:r w:rsidRPr="004856F9">
        <w:rPr>
          <w:sz w:val="18"/>
          <w:szCs w:val="18"/>
        </w:rPr>
        <w:t xml:space="preserve"> Art. 23 dyrektywy RED III.</w:t>
      </w:r>
    </w:p>
  </w:footnote>
  <w:footnote w:id="23">
    <w:p w14:paraId="773180D4" w14:textId="77777777" w:rsidR="005E16E5" w:rsidRPr="004856F9" w:rsidRDefault="005E16E5" w:rsidP="005E16E5">
      <w:pPr>
        <w:pStyle w:val="Tekstprzypisudolnego"/>
        <w:rPr>
          <w:sz w:val="18"/>
          <w:szCs w:val="18"/>
        </w:rPr>
      </w:pPr>
      <w:r w:rsidRPr="004856F9">
        <w:rPr>
          <w:rStyle w:val="Odwoanieprzypisudolnego"/>
          <w:sz w:val="18"/>
          <w:szCs w:val="18"/>
        </w:rPr>
        <w:footnoteRef/>
      </w:r>
      <w:r w:rsidRPr="004856F9">
        <w:rPr>
          <w:sz w:val="18"/>
          <w:szCs w:val="18"/>
        </w:rPr>
        <w:t xml:space="preserve"> Art. 24 dyrektywy RED III.</w:t>
      </w:r>
    </w:p>
  </w:footnote>
  <w:footnote w:id="24">
    <w:p w14:paraId="16846889" w14:textId="25C6CDAF" w:rsidR="00291A48" w:rsidRPr="004856F9" w:rsidRDefault="00291A48">
      <w:pPr>
        <w:pStyle w:val="Tekstprzypisudolnego"/>
        <w:rPr>
          <w:sz w:val="18"/>
          <w:szCs w:val="18"/>
        </w:rPr>
      </w:pPr>
      <w:r w:rsidRPr="004856F9">
        <w:rPr>
          <w:rStyle w:val="Odwoanieprzypisudolnego"/>
          <w:sz w:val="18"/>
          <w:szCs w:val="18"/>
        </w:rPr>
        <w:footnoteRef/>
      </w:r>
      <w:r w:rsidRPr="004856F9">
        <w:rPr>
          <w:sz w:val="18"/>
          <w:szCs w:val="18"/>
        </w:rPr>
        <w:t xml:space="preserve"> Art. 15a dyrektyw RED III.</w:t>
      </w:r>
    </w:p>
  </w:footnote>
  <w:footnote w:id="25">
    <w:p w14:paraId="437D915A" w14:textId="10486B08" w:rsidR="00291A48" w:rsidRPr="004856F9" w:rsidRDefault="00291A48">
      <w:pPr>
        <w:pStyle w:val="Tekstprzypisudolnego"/>
        <w:rPr>
          <w:sz w:val="18"/>
          <w:szCs w:val="18"/>
        </w:rPr>
      </w:pPr>
      <w:r w:rsidRPr="004856F9">
        <w:rPr>
          <w:rStyle w:val="Odwoanieprzypisudolnego"/>
          <w:sz w:val="18"/>
          <w:szCs w:val="18"/>
        </w:rPr>
        <w:footnoteRef/>
      </w:r>
      <w:r w:rsidRPr="004856F9">
        <w:rPr>
          <w:sz w:val="18"/>
          <w:szCs w:val="18"/>
        </w:rPr>
        <w:t xml:space="preserve"> Aktualnie nie istnieje oficjalna metodyka określania udziału OZE w końcowym zużyciu energii w budynkach, dlatego podawana wartość ma charakter orientacyjny i może ulec nawet istotnej zmianie.</w:t>
      </w:r>
    </w:p>
  </w:footnote>
  <w:footnote w:id="26">
    <w:p w14:paraId="48F9B71E" w14:textId="77777777" w:rsidR="00FA794D" w:rsidRPr="004856F9" w:rsidRDefault="00FA794D" w:rsidP="00FA794D">
      <w:pPr>
        <w:pStyle w:val="Tekstprzypisudolnego"/>
        <w:rPr>
          <w:sz w:val="18"/>
          <w:szCs w:val="18"/>
        </w:rPr>
      </w:pPr>
      <w:r w:rsidRPr="004856F9">
        <w:rPr>
          <w:rStyle w:val="Odwoanieprzypisudolnego"/>
          <w:sz w:val="18"/>
          <w:szCs w:val="18"/>
        </w:rPr>
        <w:footnoteRef/>
      </w:r>
      <w:r w:rsidRPr="004856F9">
        <w:rPr>
          <w:sz w:val="18"/>
          <w:szCs w:val="18"/>
        </w:rPr>
        <w:t xml:space="preserve"> Dotyczy to w szczególności elektromobilności, która w statystyce dotyczącej OZE w transporcie jest uwzględniana w sposób pośredni, w przeciwieństwie do rachunku emisji GC z sektora.</w:t>
      </w:r>
    </w:p>
  </w:footnote>
  <w:footnote w:id="27">
    <w:p w14:paraId="2EF2D4B7" w14:textId="06BFD489" w:rsidR="00FA794D" w:rsidRPr="004856F9" w:rsidRDefault="00FA794D" w:rsidP="00FA794D">
      <w:pPr>
        <w:pStyle w:val="Tekstprzypisudolnego"/>
        <w:rPr>
          <w:sz w:val="18"/>
          <w:szCs w:val="18"/>
        </w:rPr>
      </w:pPr>
      <w:r w:rsidRPr="004856F9">
        <w:rPr>
          <w:rStyle w:val="Odwoanieprzypisudolnego"/>
          <w:sz w:val="18"/>
          <w:szCs w:val="18"/>
        </w:rPr>
        <w:footnoteRef/>
      </w:r>
      <w:r w:rsidRPr="004856F9">
        <w:rPr>
          <w:sz w:val="18"/>
          <w:szCs w:val="18"/>
        </w:rPr>
        <w:t>Art. 25 dyrektywy RED III</w:t>
      </w:r>
      <w:r w:rsidR="00354F4F" w:rsidRPr="004856F9">
        <w:rPr>
          <w:sz w:val="18"/>
          <w:szCs w:val="18"/>
        </w:rPr>
        <w:t xml:space="preserve">. Cel redukcyjny wyznacza się w porównaniu poziomem bazowym </w:t>
      </w:r>
      <w:r w:rsidR="003D3560" w:rsidRPr="004856F9">
        <w:rPr>
          <w:sz w:val="18"/>
          <w:szCs w:val="18"/>
        </w:rPr>
        <w:t>określon</w:t>
      </w:r>
      <w:r w:rsidR="00354F4F" w:rsidRPr="004856F9">
        <w:rPr>
          <w:sz w:val="18"/>
          <w:szCs w:val="18"/>
        </w:rPr>
        <w:t>ym</w:t>
      </w:r>
      <w:r w:rsidR="003D3560" w:rsidRPr="004856F9">
        <w:rPr>
          <w:sz w:val="18"/>
          <w:szCs w:val="18"/>
        </w:rPr>
        <w:t xml:space="preserve"> w art. 27 ust. 1 lit. </w:t>
      </w:r>
      <w:r w:rsidR="00354F4F" w:rsidRPr="004856F9">
        <w:rPr>
          <w:sz w:val="18"/>
          <w:szCs w:val="18"/>
        </w:rPr>
        <w:t>B dyrektywy RED III.</w:t>
      </w:r>
    </w:p>
  </w:footnote>
  <w:footnote w:id="28">
    <w:p w14:paraId="0387759A" w14:textId="77777777" w:rsidR="00A24793" w:rsidRPr="004856F9" w:rsidRDefault="00A24793" w:rsidP="00A24793">
      <w:pPr>
        <w:pStyle w:val="Tekstprzypisudolnego"/>
        <w:rPr>
          <w:sz w:val="18"/>
          <w:szCs w:val="18"/>
        </w:rPr>
      </w:pPr>
      <w:r w:rsidRPr="004856F9">
        <w:rPr>
          <w:rStyle w:val="Odwoanieprzypisudolnego"/>
          <w:sz w:val="18"/>
          <w:szCs w:val="18"/>
        </w:rPr>
        <w:footnoteRef/>
      </w:r>
      <w:r w:rsidRPr="004856F9">
        <w:rPr>
          <w:sz w:val="18"/>
          <w:szCs w:val="18"/>
        </w:rPr>
        <w:t xml:space="preserve"> Prognozy nie uwzględniały bunkrowania morskiego i lotniczego, gdyż metodyka raportowania statystycznego nie obejmowała dotychczas tych elementów.</w:t>
      </w:r>
    </w:p>
  </w:footnote>
  <w:footnote w:id="29">
    <w:p w14:paraId="0CA89334" w14:textId="52C6B55F" w:rsidR="003D3560" w:rsidRPr="004856F9" w:rsidRDefault="003D3560">
      <w:pPr>
        <w:pStyle w:val="Tekstprzypisudolnego"/>
        <w:rPr>
          <w:sz w:val="18"/>
          <w:szCs w:val="18"/>
        </w:rPr>
      </w:pPr>
      <w:r w:rsidRPr="004856F9">
        <w:rPr>
          <w:rStyle w:val="Odwoanieprzypisudolnego"/>
          <w:sz w:val="18"/>
          <w:szCs w:val="18"/>
        </w:rPr>
        <w:footnoteRef/>
      </w:r>
      <w:r w:rsidRPr="004856F9">
        <w:rPr>
          <w:sz w:val="18"/>
          <w:szCs w:val="18"/>
        </w:rPr>
        <w:t xml:space="preserve"> W 2022 r. średnia dla UE-28 nie przekraczała 10%. Podsumowanie Eurostat: </w:t>
      </w:r>
      <w:hyperlink r:id="rId3" w:history="1">
        <w:r w:rsidRPr="004856F9">
          <w:rPr>
            <w:rStyle w:val="Hipercze"/>
            <w:sz w:val="18"/>
            <w:szCs w:val="18"/>
          </w:rPr>
          <w:t>link</w:t>
        </w:r>
      </w:hyperlink>
      <w:r w:rsidRPr="004856F9">
        <w:rPr>
          <w:sz w:val="18"/>
          <w:szCs w:val="18"/>
        </w:rPr>
        <w:t>.</w:t>
      </w:r>
    </w:p>
  </w:footnote>
  <w:footnote w:id="30">
    <w:p w14:paraId="3D65B5D9" w14:textId="51804820" w:rsidR="00FA794D" w:rsidRPr="004856F9" w:rsidRDefault="00FA794D" w:rsidP="00FA794D">
      <w:pPr>
        <w:pStyle w:val="Tekstprzypisudolnego"/>
        <w:rPr>
          <w:sz w:val="18"/>
          <w:szCs w:val="18"/>
        </w:rPr>
      </w:pPr>
      <w:r w:rsidRPr="004856F9">
        <w:rPr>
          <w:rStyle w:val="Odwoanieprzypisudolnego"/>
          <w:sz w:val="18"/>
          <w:szCs w:val="18"/>
        </w:rPr>
        <w:footnoteRef/>
      </w:r>
      <w:r w:rsidRPr="004856F9">
        <w:rPr>
          <w:sz w:val="18"/>
          <w:szCs w:val="18"/>
        </w:rPr>
        <w:t xml:space="preserve"> Dotyczy biopaliw i biogazu wyprodukowanych z surowców wymienionych w załączniku IX część A dyrektywy RED</w:t>
      </w:r>
      <w:r w:rsidR="003D3560" w:rsidRPr="004856F9">
        <w:rPr>
          <w:sz w:val="18"/>
          <w:szCs w:val="18"/>
        </w:rPr>
        <w:t> </w:t>
      </w:r>
      <w:r w:rsidRPr="004856F9">
        <w:rPr>
          <w:sz w:val="18"/>
          <w:szCs w:val="18"/>
        </w:rPr>
        <w:t>II.</w:t>
      </w:r>
    </w:p>
  </w:footnote>
  <w:footnote w:id="31">
    <w:p w14:paraId="07E3C7B3" w14:textId="04DBE1CC" w:rsidR="009900B2" w:rsidRPr="004856F9" w:rsidRDefault="009900B2">
      <w:pPr>
        <w:pStyle w:val="Tekstprzypisudolnego"/>
        <w:rPr>
          <w:sz w:val="18"/>
          <w:szCs w:val="18"/>
        </w:rPr>
      </w:pPr>
      <w:r w:rsidRPr="004856F9">
        <w:rPr>
          <w:rStyle w:val="Odwoanieprzypisudolnego"/>
          <w:sz w:val="18"/>
          <w:szCs w:val="18"/>
        </w:rPr>
        <w:footnoteRef/>
      </w:r>
      <w:r w:rsidRPr="004856F9">
        <w:rPr>
          <w:sz w:val="18"/>
          <w:szCs w:val="18"/>
        </w:rPr>
        <w:t xml:space="preserve"> W przypadku, gdy zakłady produkcyjne wytwarzają energię </w:t>
      </w:r>
      <w:r w:rsidR="00BC1BDA" w:rsidRPr="004856F9">
        <w:rPr>
          <w:sz w:val="18"/>
          <w:szCs w:val="18"/>
        </w:rPr>
        <w:t xml:space="preserve">elektryczną i cieplną </w:t>
      </w:r>
      <w:r w:rsidRPr="004856F9">
        <w:rPr>
          <w:sz w:val="18"/>
          <w:szCs w:val="18"/>
        </w:rPr>
        <w:t>na własne potrzeby, wówczas emisje gazów cieplarnianych</w:t>
      </w:r>
      <w:r w:rsidR="00BC1BDA" w:rsidRPr="004856F9">
        <w:rPr>
          <w:sz w:val="18"/>
          <w:szCs w:val="18"/>
        </w:rPr>
        <w:t xml:space="preserve"> towarzyszące produkcji tej energii</w:t>
      </w:r>
      <w:r w:rsidRPr="004856F9">
        <w:rPr>
          <w:sz w:val="18"/>
          <w:szCs w:val="18"/>
        </w:rPr>
        <w:t xml:space="preserve"> s</w:t>
      </w:r>
      <w:r w:rsidR="00BC1BDA" w:rsidRPr="004856F9">
        <w:rPr>
          <w:sz w:val="18"/>
          <w:szCs w:val="18"/>
        </w:rPr>
        <w:t>ą przypisane bezpośrednio do sektora przemysłu</w:t>
      </w:r>
      <w:r w:rsidR="00F42EF7" w:rsidRPr="004856F9">
        <w:rPr>
          <w:sz w:val="18"/>
          <w:szCs w:val="18"/>
        </w:rPr>
        <w:t xml:space="preserve">. </w:t>
      </w:r>
    </w:p>
  </w:footnote>
  <w:footnote w:id="32">
    <w:p w14:paraId="58E3AACF" w14:textId="77777777" w:rsidR="000C0215" w:rsidRPr="004856F9" w:rsidRDefault="000C0215" w:rsidP="000C0215">
      <w:pPr>
        <w:pStyle w:val="Tekstprzypisudolnego"/>
        <w:rPr>
          <w:sz w:val="18"/>
          <w:szCs w:val="18"/>
        </w:rPr>
      </w:pPr>
      <w:r w:rsidRPr="004856F9">
        <w:rPr>
          <w:rStyle w:val="Odwoanieprzypisudolnego"/>
          <w:sz w:val="18"/>
          <w:szCs w:val="18"/>
        </w:rPr>
        <w:footnoteRef/>
      </w:r>
      <w:r w:rsidRPr="004856F9">
        <w:rPr>
          <w:sz w:val="18"/>
          <w:szCs w:val="18"/>
        </w:rPr>
        <w:t xml:space="preserve"> Zgodnie z dyrektywa ETS – 2023/959/UE.</w:t>
      </w:r>
    </w:p>
  </w:footnote>
  <w:footnote w:id="33">
    <w:p w14:paraId="311CBC3D" w14:textId="77777777" w:rsidR="000C0215" w:rsidRPr="004856F9" w:rsidRDefault="000C0215" w:rsidP="000C0215">
      <w:pPr>
        <w:pStyle w:val="Tekstprzypisudolnego"/>
        <w:rPr>
          <w:sz w:val="18"/>
          <w:szCs w:val="18"/>
        </w:rPr>
      </w:pPr>
      <w:r w:rsidRPr="004856F9">
        <w:rPr>
          <w:rStyle w:val="Odwoanieprzypisudolnego"/>
          <w:sz w:val="18"/>
          <w:szCs w:val="18"/>
        </w:rPr>
        <w:footnoteRef/>
      </w:r>
      <w:r w:rsidRPr="004856F9">
        <w:rPr>
          <w:sz w:val="18"/>
          <w:szCs w:val="18"/>
        </w:rPr>
        <w:t xml:space="preserve"> CBAM (ang. </w:t>
      </w:r>
      <w:r w:rsidRPr="004856F9">
        <w:rPr>
          <w:i/>
          <w:iCs/>
          <w:sz w:val="18"/>
          <w:szCs w:val="18"/>
        </w:rPr>
        <w:t>Carbon Border Adjustment Mechanism</w:t>
      </w:r>
      <w:r w:rsidRPr="004856F9">
        <w:rPr>
          <w:sz w:val="18"/>
          <w:szCs w:val="18"/>
        </w:rPr>
        <w:t>) to mechanizm dostosowywania cen na granicach z uwzględnieniem emisji CO</w:t>
      </w:r>
      <w:r w:rsidRPr="004856F9">
        <w:rPr>
          <w:sz w:val="18"/>
          <w:szCs w:val="18"/>
          <w:vertAlign w:val="subscript"/>
        </w:rPr>
        <w:t>2</w:t>
      </w:r>
      <w:r w:rsidRPr="004856F9">
        <w:rPr>
          <w:sz w:val="18"/>
          <w:szCs w:val="18"/>
        </w:rPr>
        <w:t>, który będzie miał zastosowanie przy imporcie do UE wybranych towarów wytworzonych w branżach wysokoemisyjnych, pochodzących z państw trzecich.</w:t>
      </w:r>
    </w:p>
  </w:footnote>
  <w:footnote w:id="34">
    <w:p w14:paraId="5A98A911" w14:textId="1F6A5BBB" w:rsidR="002D26C3" w:rsidRPr="004856F9" w:rsidRDefault="002D26C3" w:rsidP="002D26C3">
      <w:pPr>
        <w:pStyle w:val="Tekstprzypisudolnego"/>
        <w:rPr>
          <w:sz w:val="18"/>
          <w:szCs w:val="18"/>
        </w:rPr>
      </w:pPr>
      <w:r w:rsidRPr="004856F9">
        <w:rPr>
          <w:rStyle w:val="Odwoanieprzypisudolnego"/>
          <w:sz w:val="18"/>
          <w:szCs w:val="18"/>
        </w:rPr>
        <w:footnoteRef/>
      </w:r>
      <w:r w:rsidRPr="004856F9">
        <w:rPr>
          <w:sz w:val="18"/>
          <w:szCs w:val="18"/>
        </w:rPr>
        <w:t xml:space="preserve"> </w:t>
      </w:r>
      <w:r w:rsidR="005E46E4" w:rsidRPr="004856F9">
        <w:rPr>
          <w:sz w:val="18"/>
          <w:szCs w:val="18"/>
        </w:rPr>
        <w:t>Wartości odnoszą się do kategorii</w:t>
      </w:r>
      <w:r w:rsidRPr="004856F9">
        <w:rPr>
          <w:sz w:val="18"/>
          <w:szCs w:val="18"/>
        </w:rPr>
        <w:t xml:space="preserve"> 2. Procesy przemysłowe</w:t>
      </w:r>
      <w:r w:rsidR="005E46E4" w:rsidRPr="004856F9">
        <w:rPr>
          <w:sz w:val="18"/>
          <w:szCs w:val="18"/>
        </w:rPr>
        <w:t xml:space="preserve"> i użytkowanie produktów</w:t>
      </w:r>
      <w:r w:rsidRPr="004856F9">
        <w:rPr>
          <w:sz w:val="18"/>
          <w:szCs w:val="18"/>
        </w:rPr>
        <w:t xml:space="preserve"> (produkty mineralne</w:t>
      </w:r>
      <w:r w:rsidR="005E46E4" w:rsidRPr="004856F9">
        <w:rPr>
          <w:sz w:val="18"/>
          <w:szCs w:val="18"/>
        </w:rPr>
        <w:t>;</w:t>
      </w:r>
      <w:r w:rsidRPr="004856F9">
        <w:rPr>
          <w:sz w:val="18"/>
          <w:szCs w:val="18"/>
        </w:rPr>
        <w:t xml:space="preserve"> przemysł chemiczny</w:t>
      </w:r>
      <w:r w:rsidR="005E46E4" w:rsidRPr="004856F9">
        <w:rPr>
          <w:sz w:val="18"/>
          <w:szCs w:val="18"/>
        </w:rPr>
        <w:t>;</w:t>
      </w:r>
      <w:r w:rsidRPr="004856F9">
        <w:rPr>
          <w:sz w:val="18"/>
          <w:szCs w:val="18"/>
        </w:rPr>
        <w:t xml:space="preserve"> produkcja metali</w:t>
      </w:r>
      <w:r w:rsidR="005E46E4" w:rsidRPr="004856F9">
        <w:rPr>
          <w:sz w:val="18"/>
          <w:szCs w:val="18"/>
        </w:rPr>
        <w:t>;</w:t>
      </w:r>
      <w:r w:rsidRPr="004856F9">
        <w:rPr>
          <w:sz w:val="18"/>
          <w:szCs w:val="18"/>
        </w:rPr>
        <w:t xml:space="preserve"> </w:t>
      </w:r>
      <w:r w:rsidR="005E46E4" w:rsidRPr="004856F9">
        <w:rPr>
          <w:sz w:val="18"/>
          <w:szCs w:val="18"/>
        </w:rPr>
        <w:t xml:space="preserve">produkcja i użytkowanie innych wyrobów </w:t>
      </w:r>
      <w:r w:rsidRPr="004856F9">
        <w:rPr>
          <w:sz w:val="18"/>
          <w:szCs w:val="18"/>
        </w:rPr>
        <w:t>produkty nieenergetyczne ze zużycia paliw i rozpuszczalników</w:t>
      </w:r>
      <w:r w:rsidR="005E46E4" w:rsidRPr="004856F9">
        <w:rPr>
          <w:sz w:val="18"/>
          <w:szCs w:val="18"/>
        </w:rPr>
        <w:t>; inne</w:t>
      </w:r>
      <w:r w:rsidRPr="004856F9">
        <w:rPr>
          <w:sz w:val="18"/>
          <w:szCs w:val="18"/>
        </w:rPr>
        <w:t>)</w:t>
      </w:r>
      <w:r w:rsidR="005E46E4" w:rsidRPr="004856F9">
        <w:rPr>
          <w:sz w:val="18"/>
          <w:szCs w:val="18"/>
        </w:rPr>
        <w:t>, zgodnie z klasyfikacją IPCC.</w:t>
      </w:r>
      <w:r w:rsidR="00F52AFC" w:rsidRPr="004856F9">
        <w:rPr>
          <w:sz w:val="18"/>
          <w:szCs w:val="18"/>
        </w:rPr>
        <w:t xml:space="preserve"> Oddzielnie rozliczane są emisje</w:t>
      </w:r>
      <w:r w:rsidR="005E39EB">
        <w:rPr>
          <w:sz w:val="18"/>
          <w:szCs w:val="18"/>
        </w:rPr>
        <w:t xml:space="preserve"> ze spalania paliw na wytarzanie energii w przemyśle, czyli generowanych przez energetykę przemysłową.</w:t>
      </w:r>
      <w:r w:rsidR="00F52AFC" w:rsidRPr="004856F9">
        <w:rPr>
          <w:sz w:val="18"/>
          <w:szCs w:val="18"/>
        </w:rPr>
        <w:t xml:space="preserve"> </w:t>
      </w:r>
    </w:p>
  </w:footnote>
  <w:footnote w:id="35">
    <w:p w14:paraId="1D9D7B98" w14:textId="3F3D213F" w:rsidR="00BD1024" w:rsidRPr="004856F9" w:rsidRDefault="00BD1024">
      <w:pPr>
        <w:pStyle w:val="Tekstprzypisudolnego"/>
        <w:rPr>
          <w:sz w:val="18"/>
          <w:szCs w:val="18"/>
        </w:rPr>
      </w:pPr>
      <w:r w:rsidRPr="004856F9">
        <w:rPr>
          <w:rStyle w:val="Odwoanieprzypisudolnego"/>
          <w:sz w:val="18"/>
          <w:szCs w:val="18"/>
        </w:rPr>
        <w:footnoteRef/>
      </w:r>
      <w:r w:rsidRPr="004856F9">
        <w:rPr>
          <w:sz w:val="18"/>
          <w:szCs w:val="18"/>
        </w:rPr>
        <w:t xml:space="preserve"> Na podstawie dyrektywy PE i Rady (UE) 2022/2464 z dnia 14 grudnia 2022 r. w sprawie zmiany rozporządzenia (UE) nr 537/2014, dyrektywy 2004/109/WE, dyrektywy 2006/43/WE oraz dyrektywy 2013/34/UE w odniesieniu do sprawozdawczości przedsiębiorstw w zakresie zrównoważonego rozwoju</w:t>
      </w:r>
      <w:r w:rsidR="00BD5D4F" w:rsidRPr="004856F9">
        <w:rPr>
          <w:sz w:val="18"/>
          <w:szCs w:val="18"/>
        </w:rPr>
        <w:t>, tzw. dyrektywa CSRD</w:t>
      </w:r>
      <w:r w:rsidRPr="004856F9">
        <w:rPr>
          <w:sz w:val="18"/>
          <w:szCs w:val="18"/>
        </w:rPr>
        <w:t>.</w:t>
      </w:r>
    </w:p>
  </w:footnote>
  <w:footnote w:id="36">
    <w:p w14:paraId="653AEAEB" w14:textId="77777777" w:rsidR="00093D74" w:rsidRPr="004856F9" w:rsidRDefault="00093D74" w:rsidP="00093D74">
      <w:pPr>
        <w:pStyle w:val="Tekstprzypisudolnego"/>
        <w:rPr>
          <w:sz w:val="18"/>
          <w:szCs w:val="18"/>
        </w:rPr>
      </w:pPr>
      <w:r w:rsidRPr="004856F9">
        <w:rPr>
          <w:rStyle w:val="Odwoanieprzypisudolnego"/>
          <w:sz w:val="18"/>
          <w:szCs w:val="18"/>
        </w:rPr>
        <w:footnoteRef/>
      </w:r>
      <w:r w:rsidRPr="004856F9">
        <w:rPr>
          <w:sz w:val="18"/>
          <w:szCs w:val="18"/>
        </w:rPr>
        <w:t xml:space="preserve"> Art. 22a dyrektywy RED III. </w:t>
      </w:r>
    </w:p>
  </w:footnote>
  <w:footnote w:id="37">
    <w:p w14:paraId="03AD04E9" w14:textId="77777777" w:rsidR="00030513" w:rsidRPr="004856F9" w:rsidRDefault="00030513" w:rsidP="00030513">
      <w:pPr>
        <w:pStyle w:val="Tekstprzypisudolnego"/>
        <w:rPr>
          <w:sz w:val="18"/>
          <w:szCs w:val="18"/>
        </w:rPr>
      </w:pPr>
      <w:r w:rsidRPr="004856F9">
        <w:rPr>
          <w:rStyle w:val="Odwoanieprzypisudolnego"/>
          <w:sz w:val="18"/>
          <w:szCs w:val="18"/>
        </w:rPr>
        <w:footnoteRef/>
      </w:r>
      <w:r w:rsidRPr="004856F9">
        <w:rPr>
          <w:sz w:val="18"/>
          <w:szCs w:val="18"/>
        </w:rPr>
        <w:t xml:space="preserve"> Aktualnie nie istnieje oficjalna metodyka określania udziału OZE w końcowym zużyciu energii w przemyśle, dlatego podawana wartość ma charakter orientacyjny i może ulec nawet istotnej zmianie. </w:t>
      </w:r>
    </w:p>
  </w:footnote>
  <w:footnote w:id="38">
    <w:p w14:paraId="081AADEF" w14:textId="3C267833" w:rsidR="004B517D" w:rsidRPr="004856F9" w:rsidRDefault="004B517D">
      <w:pPr>
        <w:pStyle w:val="Tekstprzypisudolnego"/>
        <w:rPr>
          <w:sz w:val="18"/>
          <w:szCs w:val="18"/>
        </w:rPr>
      </w:pPr>
      <w:r w:rsidRPr="004856F9">
        <w:rPr>
          <w:rStyle w:val="Odwoanieprzypisudolnego"/>
          <w:sz w:val="18"/>
          <w:szCs w:val="18"/>
        </w:rPr>
        <w:footnoteRef/>
      </w:r>
      <w:r w:rsidRPr="004856F9">
        <w:rPr>
          <w:sz w:val="18"/>
          <w:szCs w:val="18"/>
        </w:rPr>
        <w:t xml:space="preserve"> Możliwe będzie w następstwie finansowania w ramach środków pochodzących z Instrumentu na rzecz Odbudowy i Zwiększania Odporności (</w:t>
      </w:r>
      <w:r w:rsidR="00C1115D" w:rsidRPr="004856F9">
        <w:rPr>
          <w:sz w:val="18"/>
          <w:szCs w:val="18"/>
        </w:rPr>
        <w:t xml:space="preserve">RRF, </w:t>
      </w:r>
      <w:r w:rsidRPr="004856F9">
        <w:rPr>
          <w:sz w:val="18"/>
          <w:szCs w:val="18"/>
        </w:rPr>
        <w:t>ang. </w:t>
      </w:r>
      <w:r w:rsidRPr="004856F9">
        <w:rPr>
          <w:i/>
          <w:iCs/>
          <w:sz w:val="18"/>
          <w:szCs w:val="18"/>
        </w:rPr>
        <w:t>Recovery and Resilience Facility</w:t>
      </w:r>
      <w:r w:rsidRPr="004856F9">
        <w:rPr>
          <w:sz w:val="18"/>
          <w:szCs w:val="18"/>
        </w:rPr>
        <w:t>) w ramach Krajowego Planu Odbudowy.</w:t>
      </w:r>
    </w:p>
  </w:footnote>
  <w:footnote w:id="39">
    <w:p w14:paraId="27069CA1" w14:textId="0819454F" w:rsidR="004B517D" w:rsidRPr="004856F9" w:rsidRDefault="004B517D">
      <w:pPr>
        <w:pStyle w:val="Tekstprzypisudolnego"/>
        <w:rPr>
          <w:sz w:val="18"/>
          <w:szCs w:val="18"/>
        </w:rPr>
      </w:pPr>
      <w:r w:rsidRPr="004856F9">
        <w:rPr>
          <w:rStyle w:val="Odwoanieprzypisudolnego"/>
          <w:sz w:val="18"/>
          <w:szCs w:val="18"/>
        </w:rPr>
        <w:footnoteRef/>
      </w:r>
      <w:r w:rsidRPr="004856F9">
        <w:rPr>
          <w:sz w:val="18"/>
          <w:szCs w:val="18"/>
        </w:rPr>
        <w:t xml:space="preserve"> </w:t>
      </w:r>
      <w:r w:rsidR="00C1115D" w:rsidRPr="004856F9">
        <w:rPr>
          <w:sz w:val="18"/>
          <w:szCs w:val="18"/>
        </w:rPr>
        <w:t>Szerszy kontekst p</w:t>
      </w:r>
      <w:r w:rsidRPr="004856F9">
        <w:rPr>
          <w:sz w:val="18"/>
          <w:szCs w:val="18"/>
        </w:rPr>
        <w:t>okryci</w:t>
      </w:r>
      <w:r w:rsidR="00C1115D" w:rsidRPr="004856F9">
        <w:rPr>
          <w:sz w:val="18"/>
          <w:szCs w:val="18"/>
        </w:rPr>
        <w:t>a</w:t>
      </w:r>
      <w:r w:rsidRPr="004856F9">
        <w:rPr>
          <w:sz w:val="18"/>
          <w:szCs w:val="18"/>
        </w:rPr>
        <w:t xml:space="preserve"> zapotrzebowania na wodór został omówion</w:t>
      </w:r>
      <w:r w:rsidR="00C1115D" w:rsidRPr="004856F9">
        <w:rPr>
          <w:sz w:val="18"/>
          <w:szCs w:val="18"/>
        </w:rPr>
        <w:t>y</w:t>
      </w:r>
      <w:r w:rsidRPr="004856F9">
        <w:rPr>
          <w:sz w:val="18"/>
          <w:szCs w:val="18"/>
        </w:rPr>
        <w:t xml:space="preserve"> w ramach wymiaru 3.</w:t>
      </w:r>
    </w:p>
  </w:footnote>
  <w:footnote w:id="40">
    <w:p w14:paraId="69A25C72" w14:textId="04F9FFD7" w:rsidR="005F6F53" w:rsidRPr="004856F9" w:rsidRDefault="005F6F53">
      <w:pPr>
        <w:pStyle w:val="Tekstprzypisudolnego"/>
        <w:rPr>
          <w:sz w:val="18"/>
          <w:szCs w:val="18"/>
        </w:rPr>
      </w:pPr>
      <w:r w:rsidRPr="004856F9">
        <w:rPr>
          <w:rStyle w:val="Odwoanieprzypisudolnego"/>
          <w:sz w:val="18"/>
          <w:szCs w:val="18"/>
        </w:rPr>
        <w:footnoteRef/>
      </w:r>
      <w:r w:rsidRPr="004856F9">
        <w:rPr>
          <w:sz w:val="18"/>
          <w:szCs w:val="18"/>
        </w:rPr>
        <w:t xml:space="preserve"> Sytuacja, w której </w:t>
      </w:r>
      <w:r w:rsidR="00363592" w:rsidRPr="004856F9">
        <w:rPr>
          <w:sz w:val="18"/>
          <w:szCs w:val="18"/>
        </w:rPr>
        <w:t>produkcja – a tym samym emisja gazów cieplarnianych – przenoszona jest do innych krajów w celu uniknięcia ostrzejszych norm</w:t>
      </w:r>
      <w:r w:rsidR="00545600" w:rsidRPr="004856F9">
        <w:rPr>
          <w:sz w:val="18"/>
          <w:szCs w:val="18"/>
        </w:rPr>
        <w:t>.</w:t>
      </w:r>
    </w:p>
  </w:footnote>
  <w:footnote w:id="41">
    <w:p w14:paraId="0E016B21" w14:textId="45897A47" w:rsidR="00AD1570" w:rsidRPr="004856F9" w:rsidRDefault="00AD1570" w:rsidP="00AD1570">
      <w:pPr>
        <w:pStyle w:val="Tekstprzypisudolnego"/>
        <w:rPr>
          <w:sz w:val="18"/>
          <w:szCs w:val="18"/>
        </w:rPr>
      </w:pPr>
      <w:r w:rsidRPr="004856F9">
        <w:rPr>
          <w:rStyle w:val="Odwoanieprzypisudolnego"/>
          <w:sz w:val="18"/>
          <w:szCs w:val="18"/>
        </w:rPr>
        <w:footnoteRef/>
      </w:r>
      <w:r w:rsidRPr="004856F9">
        <w:rPr>
          <w:sz w:val="18"/>
          <w:szCs w:val="18"/>
        </w:rPr>
        <w:t xml:space="preserve"> Część obszarów objętych sektorem LULUCF generuje emisje jak np. działalność rolnicza, dlatego cele odnoszą się do salda netto.</w:t>
      </w:r>
    </w:p>
  </w:footnote>
  <w:footnote w:id="42">
    <w:p w14:paraId="5279C4B3" w14:textId="71A70B1E" w:rsidR="00946F60" w:rsidRPr="004856F9" w:rsidRDefault="00946F60">
      <w:pPr>
        <w:pStyle w:val="Tekstprzypisudolnego"/>
        <w:rPr>
          <w:sz w:val="18"/>
          <w:szCs w:val="18"/>
        </w:rPr>
      </w:pPr>
      <w:r w:rsidRPr="004856F9">
        <w:rPr>
          <w:rStyle w:val="Odwoanieprzypisudolnego"/>
          <w:sz w:val="18"/>
          <w:szCs w:val="18"/>
        </w:rPr>
        <w:footnoteRef/>
      </w:r>
      <w:r w:rsidRPr="004856F9">
        <w:rPr>
          <w:sz w:val="18"/>
          <w:szCs w:val="18"/>
        </w:rPr>
        <w:t xml:space="preserve"> </w:t>
      </w:r>
      <w:r w:rsidR="00320A0A" w:rsidRPr="004856F9">
        <w:rPr>
          <w:sz w:val="18"/>
          <w:szCs w:val="18"/>
        </w:rPr>
        <w:t xml:space="preserve">Art. 4 oraz </w:t>
      </w:r>
      <w:r w:rsidRPr="004856F9">
        <w:rPr>
          <w:sz w:val="18"/>
          <w:szCs w:val="18"/>
        </w:rPr>
        <w:t>Załącznik IIa do rozporządzenia LULUCF II</w:t>
      </w:r>
      <w:r w:rsidR="00CA4545" w:rsidRPr="004856F9">
        <w:rPr>
          <w:sz w:val="18"/>
          <w:szCs w:val="18"/>
        </w:rPr>
        <w:t>.</w:t>
      </w:r>
    </w:p>
  </w:footnote>
  <w:footnote w:id="43">
    <w:p w14:paraId="63965BAB" w14:textId="67D2ACC7" w:rsidR="00F13215" w:rsidRPr="004856F9" w:rsidRDefault="00F13215">
      <w:pPr>
        <w:pStyle w:val="Tekstprzypisudolnego"/>
        <w:rPr>
          <w:sz w:val="18"/>
          <w:szCs w:val="18"/>
        </w:rPr>
      </w:pPr>
      <w:r w:rsidRPr="004856F9">
        <w:rPr>
          <w:rStyle w:val="Odwoanieprzypisudolnego"/>
          <w:sz w:val="18"/>
          <w:szCs w:val="18"/>
        </w:rPr>
        <w:footnoteRef/>
      </w:r>
      <w:r w:rsidRPr="004856F9">
        <w:rPr>
          <w:sz w:val="18"/>
          <w:szCs w:val="18"/>
        </w:rPr>
        <w:t xml:space="preserve"> Dane dotyczące emisji za 2023 r. będą dostępne w 2025 r., dlatego nie jest możliwe określenie tej trajektorii.</w:t>
      </w:r>
    </w:p>
  </w:footnote>
  <w:footnote w:id="44">
    <w:p w14:paraId="1E254FFF" w14:textId="000F4442" w:rsidR="00964D22" w:rsidRPr="004856F9" w:rsidRDefault="00964D22">
      <w:pPr>
        <w:pStyle w:val="Tekstprzypisudolnego"/>
        <w:rPr>
          <w:sz w:val="18"/>
          <w:szCs w:val="18"/>
        </w:rPr>
      </w:pPr>
      <w:r w:rsidRPr="004856F9">
        <w:rPr>
          <w:rStyle w:val="Odwoanieprzypisudolnego"/>
          <w:sz w:val="18"/>
          <w:szCs w:val="18"/>
        </w:rPr>
        <w:footnoteRef/>
      </w:r>
      <w:r w:rsidRPr="004856F9">
        <w:rPr>
          <w:sz w:val="18"/>
          <w:szCs w:val="18"/>
        </w:rPr>
        <w:t xml:space="preserve"> </w:t>
      </w:r>
      <w:r w:rsidR="006126F9" w:rsidRPr="004856F9">
        <w:rPr>
          <w:sz w:val="18"/>
          <w:szCs w:val="18"/>
        </w:rPr>
        <w:t>M</w:t>
      </w:r>
      <w:r w:rsidRPr="004856F9">
        <w:rPr>
          <w:sz w:val="18"/>
          <w:szCs w:val="18"/>
        </w:rPr>
        <w:t>ożliwość wykorzystania dodatkowej limitowanej puli pochłaniania netto, pochodzącej z wygenerowanego w</w:t>
      </w:r>
      <w:r w:rsidR="006126F9" w:rsidRPr="004856F9">
        <w:rPr>
          <w:sz w:val="18"/>
          <w:szCs w:val="18"/>
        </w:rPr>
        <w:t> </w:t>
      </w:r>
      <w:r w:rsidRPr="004856F9">
        <w:rPr>
          <w:sz w:val="18"/>
          <w:szCs w:val="18"/>
        </w:rPr>
        <w:t>sektorze LULUCF pochłaniania netto, osobno w pięciolatkach 2021-2025 i 2026-2030</w:t>
      </w:r>
      <w:r w:rsidR="006126F9" w:rsidRPr="004856F9">
        <w:rPr>
          <w:sz w:val="18"/>
          <w:szCs w:val="18"/>
        </w:rPr>
        <w:t>.</w:t>
      </w:r>
      <w:r w:rsidR="0079136B" w:rsidRPr="004856F9">
        <w:rPr>
          <w:sz w:val="18"/>
          <w:szCs w:val="18"/>
        </w:rPr>
        <w:t xml:space="preserve"> </w:t>
      </w:r>
    </w:p>
  </w:footnote>
  <w:footnote w:id="45">
    <w:p w14:paraId="68DC74EC" w14:textId="61DD5D7C" w:rsidR="00835078" w:rsidRPr="004856F9" w:rsidRDefault="00835078" w:rsidP="00835078">
      <w:pPr>
        <w:pStyle w:val="Tekstprzypisudolnego"/>
        <w:rPr>
          <w:sz w:val="18"/>
          <w:szCs w:val="18"/>
        </w:rPr>
      </w:pPr>
      <w:r w:rsidRPr="004856F9">
        <w:rPr>
          <w:rStyle w:val="Odwoanieprzypisudolnego"/>
          <w:sz w:val="18"/>
          <w:szCs w:val="18"/>
        </w:rPr>
        <w:footnoteRef/>
      </w:r>
      <w:r w:rsidRPr="004856F9">
        <w:rPr>
          <w:sz w:val="18"/>
          <w:szCs w:val="18"/>
        </w:rPr>
        <w:t xml:space="preserve"> </w:t>
      </w:r>
      <w:r w:rsidRPr="004856F9">
        <w:rPr>
          <w:i/>
          <w:iCs/>
          <w:sz w:val="18"/>
          <w:szCs w:val="18"/>
        </w:rPr>
        <w:t>Wielkoobszarowa inwentaryzacja stanu lasów</w:t>
      </w:r>
      <w:r w:rsidRPr="004856F9">
        <w:rPr>
          <w:sz w:val="18"/>
          <w:szCs w:val="18"/>
        </w:rPr>
        <w:t xml:space="preserve">, Biuro Urządzania Lasu i Geodezji Leśnej 2023, </w:t>
      </w:r>
      <w:hyperlink r:id="rId4" w:history="1">
        <w:r w:rsidRPr="004856F9">
          <w:rPr>
            <w:rStyle w:val="Hipercze"/>
            <w:sz w:val="18"/>
            <w:szCs w:val="18"/>
          </w:rPr>
          <w:t>link</w:t>
        </w:r>
      </w:hyperlink>
    </w:p>
  </w:footnote>
  <w:footnote w:id="46">
    <w:p w14:paraId="6A3FD4DC" w14:textId="6BDEF6A7" w:rsidR="00135E47" w:rsidRPr="004856F9" w:rsidRDefault="00135E47" w:rsidP="00135E47">
      <w:pPr>
        <w:pStyle w:val="Tekstprzypisudolnego"/>
        <w:rPr>
          <w:sz w:val="18"/>
          <w:szCs w:val="18"/>
        </w:rPr>
      </w:pPr>
      <w:r w:rsidRPr="004856F9">
        <w:rPr>
          <w:rStyle w:val="Odwoanieprzypisudolnego"/>
          <w:sz w:val="18"/>
          <w:szCs w:val="18"/>
        </w:rPr>
        <w:footnoteRef/>
      </w:r>
      <w:r w:rsidRPr="004856F9">
        <w:rPr>
          <w:sz w:val="18"/>
          <w:szCs w:val="18"/>
        </w:rPr>
        <w:t xml:space="preserve"> Potwierdzają to dane historyczne dotyczące pochłaniania, por. </w:t>
      </w:r>
      <w:r w:rsidRPr="004856F9">
        <w:rPr>
          <w:i/>
          <w:iCs/>
          <w:sz w:val="18"/>
          <w:szCs w:val="18"/>
        </w:rPr>
        <w:t>Krajowy Raport Inwentaryzacyjny 2024. Inwentaryzacja emisji i pochłaniania gazów cieplarnianych w Polsce dla lat 1988-2022, KOBiZE 2024</w:t>
      </w:r>
      <w:r w:rsidR="00950278" w:rsidRPr="004856F9">
        <w:rPr>
          <w:i/>
          <w:iCs/>
          <w:sz w:val="18"/>
          <w:szCs w:val="18"/>
        </w:rPr>
        <w:t>.</w:t>
      </w:r>
      <w:r w:rsidRPr="004856F9">
        <w:rPr>
          <w:i/>
          <w:iCs/>
          <w:sz w:val="18"/>
          <w:szCs w:val="18"/>
        </w:rPr>
        <w:t xml:space="preserve"> </w:t>
      </w:r>
    </w:p>
  </w:footnote>
  <w:footnote w:id="47">
    <w:p w14:paraId="48042AB3" w14:textId="4868808C" w:rsidR="00D52113" w:rsidRPr="004856F9" w:rsidRDefault="00D52113">
      <w:pPr>
        <w:pStyle w:val="Tekstprzypisudolnego"/>
        <w:rPr>
          <w:i/>
          <w:iCs/>
          <w:sz w:val="18"/>
          <w:szCs w:val="18"/>
        </w:rPr>
      </w:pPr>
      <w:r w:rsidRPr="004856F9">
        <w:rPr>
          <w:rStyle w:val="Odwoanieprzypisudolnego"/>
          <w:sz w:val="18"/>
          <w:szCs w:val="18"/>
        </w:rPr>
        <w:footnoteRef/>
      </w:r>
      <w:r w:rsidRPr="004856F9">
        <w:rPr>
          <w:sz w:val="18"/>
          <w:szCs w:val="18"/>
        </w:rPr>
        <w:t xml:space="preserve"> Prognozy przedstawione we wstępnej wersji projektu aktualizacji KPEiK z 02.2024 r. wskazywały na pochłanianie na poziomie 6,8 mln t ekw. CO</w:t>
      </w:r>
      <w:r w:rsidRPr="004856F9">
        <w:rPr>
          <w:sz w:val="18"/>
          <w:szCs w:val="18"/>
          <w:vertAlign w:val="subscript"/>
        </w:rPr>
        <w:t>2</w:t>
      </w:r>
      <w:r w:rsidRPr="004856F9">
        <w:rPr>
          <w:sz w:val="18"/>
          <w:szCs w:val="18"/>
        </w:rPr>
        <w:t xml:space="preserve">. Prognoza opierała się na danych </w:t>
      </w:r>
      <w:r w:rsidR="00561A0F" w:rsidRPr="004856F9">
        <w:rPr>
          <w:sz w:val="18"/>
          <w:szCs w:val="18"/>
        </w:rPr>
        <w:t>z 2021 r., w którym pochłanianie wynosiło poziomie -24,1 mln t ekw. CO</w:t>
      </w:r>
      <w:r w:rsidR="00561A0F" w:rsidRPr="004856F9">
        <w:rPr>
          <w:sz w:val="18"/>
          <w:szCs w:val="18"/>
          <w:vertAlign w:val="subscript"/>
        </w:rPr>
        <w:t>2</w:t>
      </w:r>
      <w:r w:rsidR="00075A9C" w:rsidRPr="004856F9">
        <w:rPr>
          <w:sz w:val="18"/>
          <w:szCs w:val="18"/>
          <w:vertAlign w:val="subscript"/>
        </w:rPr>
        <w:t xml:space="preserve">. </w:t>
      </w:r>
      <w:r w:rsidR="00075A9C" w:rsidRPr="004856F9">
        <w:rPr>
          <w:sz w:val="18"/>
          <w:szCs w:val="18"/>
        </w:rPr>
        <w:t xml:space="preserve">Nowe prognozy (także dla scenariusza WEM) opierają się na danych za 2022 r., w którym poziom pochłaniania znacznie wzrósł </w:t>
      </w:r>
      <w:r w:rsidR="00800282" w:rsidRPr="004856F9">
        <w:rPr>
          <w:sz w:val="18"/>
          <w:szCs w:val="18"/>
        </w:rPr>
        <w:t xml:space="preserve">w szczególności </w:t>
      </w:r>
      <w:r w:rsidR="00075A9C" w:rsidRPr="004856F9">
        <w:rPr>
          <w:sz w:val="18"/>
          <w:szCs w:val="18"/>
        </w:rPr>
        <w:t>ze względu na intensywny przyrost grubizny drzew oraz niewielkie skutki zdarzeń katastrofalnych.</w:t>
      </w:r>
    </w:p>
  </w:footnote>
  <w:footnote w:id="48">
    <w:p w14:paraId="416486A8" w14:textId="7D34844F" w:rsidR="000E6C24" w:rsidRPr="004856F9" w:rsidRDefault="000E6C24">
      <w:pPr>
        <w:pStyle w:val="Tekstprzypisudolnego"/>
        <w:rPr>
          <w:sz w:val="18"/>
          <w:szCs w:val="18"/>
        </w:rPr>
      </w:pPr>
      <w:r w:rsidRPr="004856F9">
        <w:rPr>
          <w:rStyle w:val="Odwoanieprzypisudolnego"/>
          <w:sz w:val="18"/>
          <w:szCs w:val="18"/>
        </w:rPr>
        <w:footnoteRef/>
      </w:r>
      <w:r w:rsidRPr="004856F9">
        <w:rPr>
          <w:sz w:val="18"/>
          <w:szCs w:val="18"/>
        </w:rPr>
        <w:t xml:space="preserve"> GUS.</w:t>
      </w:r>
    </w:p>
  </w:footnote>
  <w:footnote w:id="49">
    <w:p w14:paraId="1EDE12FE" w14:textId="5BE5F8E1" w:rsidR="00731619" w:rsidRPr="004856F9" w:rsidRDefault="00731619" w:rsidP="00731619">
      <w:pPr>
        <w:pStyle w:val="Tekstprzypisudolnego"/>
        <w:rPr>
          <w:sz w:val="18"/>
          <w:szCs w:val="18"/>
        </w:rPr>
      </w:pPr>
      <w:r w:rsidRPr="004856F9">
        <w:rPr>
          <w:rStyle w:val="Odwoanieprzypisudolnego"/>
          <w:sz w:val="18"/>
          <w:szCs w:val="18"/>
        </w:rPr>
        <w:footnoteRef/>
      </w:r>
      <w:r w:rsidRPr="004856F9">
        <w:rPr>
          <w:sz w:val="18"/>
          <w:szCs w:val="18"/>
        </w:rPr>
        <w:t xml:space="preserve"> Załącznik 2 dyrektywy NEC</w:t>
      </w:r>
      <w:r w:rsidR="00D1447B" w:rsidRPr="004856F9">
        <w:rPr>
          <w:sz w:val="18"/>
          <w:szCs w:val="18"/>
        </w:rPr>
        <w:t>.</w:t>
      </w:r>
    </w:p>
  </w:footnote>
  <w:footnote w:id="50">
    <w:p w14:paraId="5551E758" w14:textId="7CB782E2" w:rsidR="00100A8A" w:rsidRPr="004856F9" w:rsidRDefault="00100A8A" w:rsidP="00100A8A">
      <w:pPr>
        <w:rPr>
          <w:sz w:val="18"/>
          <w:szCs w:val="18"/>
        </w:rPr>
      </w:pPr>
      <w:r w:rsidRPr="004856F9">
        <w:rPr>
          <w:rStyle w:val="Odwoanieprzypisudolnego"/>
          <w:sz w:val="18"/>
          <w:szCs w:val="18"/>
        </w:rPr>
        <w:footnoteRef/>
      </w:r>
      <w:r w:rsidRPr="004856F9">
        <w:rPr>
          <w:sz w:val="18"/>
          <w:szCs w:val="18"/>
        </w:rPr>
        <w:t xml:space="preserve"> </w:t>
      </w:r>
      <w:r w:rsidR="00DE59BF" w:rsidRPr="004856F9">
        <w:rPr>
          <w:sz w:val="18"/>
          <w:szCs w:val="18"/>
        </w:rPr>
        <w:t>W</w:t>
      </w:r>
      <w:r w:rsidRPr="004856F9">
        <w:rPr>
          <w:sz w:val="18"/>
          <w:szCs w:val="18"/>
        </w:rPr>
        <w:t xml:space="preserve"> glebie znajduje się około 1 500 m</w:t>
      </w:r>
      <w:r w:rsidR="00DE59BF" w:rsidRPr="004856F9">
        <w:rPr>
          <w:sz w:val="18"/>
          <w:szCs w:val="18"/>
        </w:rPr>
        <w:t>ld</w:t>
      </w:r>
      <w:r w:rsidRPr="004856F9">
        <w:rPr>
          <w:sz w:val="18"/>
          <w:szCs w:val="18"/>
        </w:rPr>
        <w:t xml:space="preserve"> t węgla</w:t>
      </w:r>
      <w:r w:rsidR="00DE59BF" w:rsidRPr="004856F9">
        <w:rPr>
          <w:sz w:val="18"/>
          <w:szCs w:val="18"/>
        </w:rPr>
        <w:t xml:space="preserve"> w ujęciu globalnym</w:t>
      </w:r>
      <w:r w:rsidRPr="004856F9">
        <w:rPr>
          <w:sz w:val="18"/>
          <w:szCs w:val="18"/>
        </w:rPr>
        <w:t xml:space="preserve">. Gleby są drugim co do wielkości aktywnym magazynem węgla po oceanach (40 000 </w:t>
      </w:r>
      <w:r w:rsidR="00DE59BF" w:rsidRPr="004856F9">
        <w:rPr>
          <w:sz w:val="18"/>
          <w:szCs w:val="18"/>
        </w:rPr>
        <w:t>mld t</w:t>
      </w:r>
      <w:r w:rsidRPr="004856F9">
        <w:rPr>
          <w:sz w:val="18"/>
          <w:szCs w:val="18"/>
        </w:rPr>
        <w:t xml:space="preserve">). </w:t>
      </w:r>
      <w:r w:rsidR="00DE59BF" w:rsidRPr="004856F9">
        <w:rPr>
          <w:sz w:val="18"/>
          <w:szCs w:val="18"/>
        </w:rPr>
        <w:t xml:space="preserve">Jest w nich </w:t>
      </w:r>
      <w:r w:rsidRPr="004856F9">
        <w:rPr>
          <w:sz w:val="18"/>
          <w:szCs w:val="18"/>
        </w:rPr>
        <w:t>magazynowane więcej węgla niż łącznie w atmosferze (760</w:t>
      </w:r>
      <w:r w:rsidR="006D2C1D" w:rsidRPr="004856F9">
        <w:rPr>
          <w:sz w:val="18"/>
          <w:szCs w:val="18"/>
        </w:rPr>
        <w:t> </w:t>
      </w:r>
      <w:r w:rsidR="00DE59BF" w:rsidRPr="004856F9">
        <w:rPr>
          <w:sz w:val="18"/>
          <w:szCs w:val="18"/>
        </w:rPr>
        <w:t>mld t</w:t>
      </w:r>
      <w:r w:rsidRPr="004856F9">
        <w:rPr>
          <w:sz w:val="18"/>
          <w:szCs w:val="18"/>
        </w:rPr>
        <w:t xml:space="preserve">) oraz roślinności (560 </w:t>
      </w:r>
      <w:r w:rsidR="00DE59BF" w:rsidRPr="004856F9">
        <w:rPr>
          <w:sz w:val="18"/>
          <w:szCs w:val="18"/>
        </w:rPr>
        <w:t>mld t</w:t>
      </w:r>
      <w:r w:rsidRPr="004856F9">
        <w:rPr>
          <w:sz w:val="18"/>
          <w:szCs w:val="18"/>
        </w:rPr>
        <w:t xml:space="preserve">). Źródło: </w:t>
      </w:r>
      <w:r w:rsidR="00054704" w:rsidRPr="004856F9">
        <w:rPr>
          <w:sz w:val="18"/>
          <w:szCs w:val="18"/>
        </w:rPr>
        <w:t>Europejska Agencja Środowiska</w:t>
      </w:r>
      <w:r w:rsidRPr="004856F9">
        <w:rPr>
          <w:sz w:val="18"/>
          <w:szCs w:val="18"/>
        </w:rPr>
        <w:t>.</w:t>
      </w:r>
    </w:p>
    <w:p w14:paraId="4224FC73" w14:textId="77777777" w:rsidR="00100A8A" w:rsidRPr="004856F9" w:rsidRDefault="00100A8A" w:rsidP="00100A8A">
      <w:pPr>
        <w:pStyle w:val="Tekstprzypisudolnego"/>
        <w:rPr>
          <w:sz w:val="18"/>
          <w:szCs w:val="18"/>
        </w:rPr>
      </w:pPr>
    </w:p>
  </w:footnote>
  <w:footnote w:id="51">
    <w:p w14:paraId="17C911BF" w14:textId="598125A4" w:rsidR="00841A3E" w:rsidRPr="004856F9" w:rsidRDefault="00841A3E">
      <w:pPr>
        <w:pStyle w:val="Tekstprzypisudolnego"/>
        <w:rPr>
          <w:sz w:val="18"/>
          <w:szCs w:val="18"/>
        </w:rPr>
      </w:pPr>
      <w:r w:rsidRPr="004856F9">
        <w:rPr>
          <w:rStyle w:val="Odwoanieprzypisudolnego"/>
          <w:sz w:val="18"/>
          <w:szCs w:val="18"/>
        </w:rPr>
        <w:footnoteRef/>
      </w:r>
      <w:r w:rsidRPr="004856F9">
        <w:rPr>
          <w:sz w:val="18"/>
          <w:szCs w:val="18"/>
        </w:rPr>
        <w:t xml:space="preserve"> Cele redukcji wytwarzania odpadów opakowaniowych na mieszkańca będą mogły zostać wyznaczone po zakończeniu prac nad rozporządzeniem PE i Rady w sprawie opakowań i odpadów opakowaniowych, zmieniające rozporządzenie (UE) 2019/1020 i dyrektywę (UE) 2019/904 oraz uchylające dyrektywę 94/62/WE (tzw. PPWR).</w:t>
      </w:r>
    </w:p>
  </w:footnote>
  <w:footnote w:id="52">
    <w:p w14:paraId="73FF221E" w14:textId="052F655D" w:rsidR="00041A35" w:rsidRPr="004856F9" w:rsidRDefault="00041A35">
      <w:pPr>
        <w:pStyle w:val="Tekstprzypisudolnego"/>
        <w:rPr>
          <w:sz w:val="18"/>
          <w:szCs w:val="18"/>
        </w:rPr>
      </w:pPr>
      <w:r w:rsidRPr="004856F9">
        <w:rPr>
          <w:rStyle w:val="Odwoanieprzypisudolnego"/>
          <w:sz w:val="18"/>
          <w:szCs w:val="18"/>
        </w:rPr>
        <w:footnoteRef/>
      </w:r>
      <w:r w:rsidRPr="004856F9">
        <w:rPr>
          <w:sz w:val="18"/>
          <w:szCs w:val="18"/>
        </w:rPr>
        <w:t xml:space="preserve"> Więcej w opisie wymiaru 3. oraz w </w:t>
      </w:r>
      <w:r w:rsidRPr="004856F9">
        <w:rPr>
          <w:sz w:val="18"/>
          <w:szCs w:val="18"/>
        </w:rPr>
        <w:fldChar w:fldCharType="begin"/>
      </w:r>
      <w:r w:rsidRPr="004856F9">
        <w:rPr>
          <w:sz w:val="18"/>
          <w:szCs w:val="18"/>
        </w:rPr>
        <w:instrText xml:space="preserve"> REF _Ref175329735 \r \h </w:instrText>
      </w:r>
      <w:r w:rsidR="00B34B5F" w:rsidRPr="004856F9">
        <w:rPr>
          <w:sz w:val="18"/>
          <w:szCs w:val="18"/>
        </w:rPr>
        <w:instrText xml:space="preserve"> \* MERGEFORMAT </w:instrText>
      </w:r>
      <w:r w:rsidRPr="004856F9">
        <w:rPr>
          <w:sz w:val="18"/>
          <w:szCs w:val="18"/>
        </w:rPr>
      </w:r>
      <w:r w:rsidRPr="004856F9">
        <w:rPr>
          <w:sz w:val="18"/>
          <w:szCs w:val="18"/>
        </w:rPr>
        <w:fldChar w:fldCharType="separate"/>
      </w:r>
      <w:r w:rsidRPr="004856F9">
        <w:rPr>
          <w:sz w:val="18"/>
          <w:szCs w:val="18"/>
        </w:rPr>
        <w:t>Celu. 3.1.2</w:t>
      </w:r>
      <w:r w:rsidRPr="004856F9">
        <w:rPr>
          <w:sz w:val="18"/>
          <w:szCs w:val="18"/>
        </w:rPr>
        <w:fldChar w:fldCharType="end"/>
      </w:r>
      <w:r w:rsidRPr="004856F9">
        <w:rPr>
          <w:sz w:val="18"/>
          <w:szCs w:val="18"/>
        </w:rPr>
        <w:t xml:space="preserve">. </w:t>
      </w:r>
    </w:p>
  </w:footnote>
  <w:footnote w:id="53">
    <w:p w14:paraId="2E82E729" w14:textId="77777777" w:rsidR="00B36A7E" w:rsidRPr="004856F9" w:rsidRDefault="00B36A7E" w:rsidP="00B36A7E">
      <w:pPr>
        <w:pStyle w:val="Tekstprzypisudolnego"/>
        <w:rPr>
          <w:sz w:val="18"/>
          <w:szCs w:val="18"/>
        </w:rPr>
      </w:pPr>
      <w:r w:rsidRPr="004856F9">
        <w:rPr>
          <w:rStyle w:val="Odwoanieprzypisudolnego"/>
          <w:sz w:val="18"/>
          <w:szCs w:val="18"/>
        </w:rPr>
        <w:footnoteRef/>
      </w:r>
      <w:r w:rsidRPr="004856F9">
        <w:rPr>
          <w:sz w:val="18"/>
          <w:szCs w:val="18"/>
        </w:rPr>
        <w:t xml:space="preserve"> Komunikat Komisji do Parlamentu Europejskiego, Rady, Europejskiego Komitetu Ekonomiczno-Społecznego i Komitetu Regionów, COM (2021) 82 final.</w:t>
      </w:r>
    </w:p>
  </w:footnote>
  <w:footnote w:id="54">
    <w:p w14:paraId="2486EB55" w14:textId="14006F43" w:rsidR="00A10FDD" w:rsidRPr="004856F9" w:rsidRDefault="00A10FDD" w:rsidP="00A10FDD">
      <w:pPr>
        <w:pStyle w:val="Tekstprzypisudolnego"/>
        <w:rPr>
          <w:sz w:val="18"/>
          <w:szCs w:val="18"/>
        </w:rPr>
      </w:pPr>
      <w:r w:rsidRPr="004856F9">
        <w:rPr>
          <w:rStyle w:val="Odwoanieprzypisudolnego"/>
          <w:sz w:val="18"/>
          <w:szCs w:val="18"/>
        </w:rPr>
        <w:footnoteRef/>
      </w:r>
      <w:r w:rsidRPr="004856F9">
        <w:rPr>
          <w:sz w:val="18"/>
          <w:szCs w:val="18"/>
        </w:rPr>
        <w:t xml:space="preserve"> Scenariusz referencyjny pokazuje prognozy ogólnogospodarcze i klimatyczno-energetyczne w oparciu o ramy polityczne wprowadzone do 2020 r. W odniesieniu do Polski prognozy są zbliżone do tych, które prezentuje scenariusz WAM w KPEiK przekazanym Komisji Europejskiej w 2019 r.</w:t>
      </w:r>
    </w:p>
  </w:footnote>
  <w:footnote w:id="55">
    <w:p w14:paraId="4D781538" w14:textId="79C0A4C8" w:rsidR="00F4429F" w:rsidRPr="004856F9" w:rsidRDefault="00F4429F" w:rsidP="00F4429F">
      <w:pPr>
        <w:pStyle w:val="Tekstprzypisudolnego"/>
        <w:rPr>
          <w:sz w:val="18"/>
          <w:szCs w:val="18"/>
        </w:rPr>
      </w:pPr>
      <w:r w:rsidRPr="004856F9">
        <w:rPr>
          <w:rStyle w:val="Odwoanieprzypisudolnego"/>
          <w:sz w:val="18"/>
          <w:szCs w:val="18"/>
        </w:rPr>
        <w:footnoteRef/>
      </w:r>
      <w:r w:rsidRPr="004856F9">
        <w:rPr>
          <w:sz w:val="18"/>
          <w:szCs w:val="18"/>
        </w:rPr>
        <w:t xml:space="preserve"> Cele dotyczące poprawy efektywności energetycznej określone w KPEiK z 2019 r. odnosiły się do scenariusza PRIMES 2007,</w:t>
      </w:r>
      <w:r w:rsidR="009A2A0C" w:rsidRPr="004856F9">
        <w:rPr>
          <w:sz w:val="18"/>
          <w:szCs w:val="18"/>
        </w:rPr>
        <w:t xml:space="preserve"> natomiast zgodnie ze zrewidowaną dyrektywą EED w aKPEiK cele są wyznaczane w stosunku do scenariusza PRIMES 2020.</w:t>
      </w:r>
    </w:p>
  </w:footnote>
  <w:footnote w:id="56">
    <w:p w14:paraId="67F77E8C" w14:textId="023B360B" w:rsidR="00DE71B3" w:rsidRPr="004856F9" w:rsidRDefault="00DE71B3">
      <w:pPr>
        <w:pStyle w:val="Tekstprzypisudolnego"/>
        <w:rPr>
          <w:sz w:val="18"/>
          <w:szCs w:val="18"/>
          <w:lang w:val="en-US"/>
        </w:rPr>
      </w:pPr>
      <w:r w:rsidRPr="004856F9">
        <w:rPr>
          <w:rStyle w:val="Odwoanieprzypisudolnego"/>
          <w:sz w:val="18"/>
          <w:szCs w:val="18"/>
        </w:rPr>
        <w:footnoteRef/>
      </w:r>
      <w:r w:rsidRPr="004856F9">
        <w:rPr>
          <w:sz w:val="18"/>
          <w:szCs w:val="18"/>
        </w:rPr>
        <w:t xml:space="preserve"> </w:t>
      </w:r>
      <w:r w:rsidR="00474177" w:rsidRPr="004856F9">
        <w:rPr>
          <w:sz w:val="18"/>
          <w:szCs w:val="18"/>
        </w:rPr>
        <w:t>O</w:t>
      </w:r>
      <w:r w:rsidRPr="004856F9">
        <w:rPr>
          <w:sz w:val="18"/>
          <w:szCs w:val="18"/>
        </w:rPr>
        <w:t xml:space="preserve">cena projektów aKPEiK przekazanych przez państwa członkowskie, </w:t>
      </w:r>
      <w:r w:rsidR="009A2A0C" w:rsidRPr="004856F9">
        <w:rPr>
          <w:sz w:val="18"/>
          <w:szCs w:val="18"/>
        </w:rPr>
        <w:t>wskazuje na znaczącą lukę w realizacji celów dot. redukcji zużycia energii pierwotnej i finalnej ze względu na ograniczone możliwości poszczególnych krajów</w:t>
      </w:r>
      <w:r w:rsidRPr="004856F9">
        <w:rPr>
          <w:sz w:val="18"/>
          <w:szCs w:val="18"/>
        </w:rPr>
        <w:t xml:space="preserve">. </w:t>
      </w:r>
      <w:r w:rsidRPr="004856F9">
        <w:rPr>
          <w:i/>
          <w:iCs/>
          <w:sz w:val="18"/>
          <w:szCs w:val="18"/>
          <w:lang w:val="en-US"/>
        </w:rPr>
        <w:t>Communication from the Commission to the European Parliament, the Council, the European Economic and Social Committee and the Committee of the Regions – EU wide assessment of the draft updated National Energy and Climate Plans An important step towards the more ambitious 2030 energy and climate objectives under the European Green Deal and RePowerEU</w:t>
      </w:r>
      <w:r w:rsidRPr="004856F9">
        <w:rPr>
          <w:sz w:val="18"/>
          <w:szCs w:val="18"/>
          <w:lang w:val="en-US"/>
        </w:rPr>
        <w:t xml:space="preserve">, </w:t>
      </w:r>
      <w:hyperlink r:id="rId5" w:history="1">
        <w:r w:rsidRPr="004856F9">
          <w:rPr>
            <w:rStyle w:val="Hipercze"/>
            <w:sz w:val="18"/>
            <w:szCs w:val="18"/>
            <w:lang w:val="en-US"/>
          </w:rPr>
          <w:t>link</w:t>
        </w:r>
      </w:hyperlink>
    </w:p>
  </w:footnote>
  <w:footnote w:id="57">
    <w:p w14:paraId="378B2FC0" w14:textId="77777777" w:rsidR="00A160DC" w:rsidRPr="004856F9" w:rsidRDefault="00A160DC" w:rsidP="00A160DC">
      <w:pPr>
        <w:pStyle w:val="Tekstprzypisudolnego"/>
        <w:rPr>
          <w:sz w:val="18"/>
          <w:szCs w:val="18"/>
        </w:rPr>
      </w:pPr>
      <w:r w:rsidRPr="004856F9">
        <w:rPr>
          <w:rStyle w:val="Odwoanieprzypisudolnego"/>
          <w:sz w:val="18"/>
          <w:szCs w:val="18"/>
        </w:rPr>
        <w:footnoteRef/>
      </w:r>
      <w:r w:rsidRPr="004856F9">
        <w:rPr>
          <w:sz w:val="18"/>
          <w:szCs w:val="18"/>
        </w:rPr>
        <w:t xml:space="preserve"> Art. 4 dyrektywy EED.</w:t>
      </w:r>
    </w:p>
  </w:footnote>
  <w:footnote w:id="58">
    <w:p w14:paraId="60C9AA5F" w14:textId="0AB1B862" w:rsidR="00B739CC" w:rsidRPr="004856F9" w:rsidRDefault="00B739CC">
      <w:pPr>
        <w:pStyle w:val="Tekstprzypisudolnego"/>
        <w:rPr>
          <w:sz w:val="18"/>
          <w:szCs w:val="18"/>
        </w:rPr>
      </w:pPr>
      <w:r w:rsidRPr="004856F9">
        <w:rPr>
          <w:rStyle w:val="Odwoanieprzypisudolnego"/>
          <w:sz w:val="18"/>
          <w:szCs w:val="18"/>
        </w:rPr>
        <w:footnoteRef/>
      </w:r>
      <w:r w:rsidRPr="004856F9">
        <w:rPr>
          <w:sz w:val="18"/>
          <w:szCs w:val="18"/>
        </w:rPr>
        <w:t xml:space="preserve"> W odniesieniu do PRIMES 2007 prognozy z aKPEiK wskazują na redukcję -26% (-37,9 Mtoe).</w:t>
      </w:r>
    </w:p>
  </w:footnote>
  <w:footnote w:id="59">
    <w:p w14:paraId="3358ED07" w14:textId="77777777" w:rsidR="00FA2C84" w:rsidRPr="004856F9" w:rsidRDefault="00FA2C84" w:rsidP="00FA2C84">
      <w:pPr>
        <w:pStyle w:val="Tekstprzypisudolnego"/>
        <w:rPr>
          <w:sz w:val="18"/>
          <w:szCs w:val="18"/>
        </w:rPr>
      </w:pPr>
      <w:r w:rsidRPr="004856F9">
        <w:rPr>
          <w:rStyle w:val="Odwoanieprzypisudolnego"/>
          <w:sz w:val="18"/>
          <w:szCs w:val="18"/>
        </w:rPr>
        <w:footnoteRef/>
      </w:r>
      <w:r w:rsidRPr="004856F9">
        <w:rPr>
          <w:sz w:val="18"/>
          <w:szCs w:val="18"/>
        </w:rPr>
        <w:t xml:space="preserve"> Art. 4 dyrektywy EED.</w:t>
      </w:r>
    </w:p>
  </w:footnote>
  <w:footnote w:id="60">
    <w:p w14:paraId="3E5579CC" w14:textId="797FBBCB" w:rsidR="00C728BB" w:rsidRPr="004856F9" w:rsidRDefault="00C728BB" w:rsidP="00C728BB">
      <w:pPr>
        <w:pStyle w:val="Tekstprzypisudolnego"/>
        <w:rPr>
          <w:sz w:val="18"/>
          <w:szCs w:val="18"/>
        </w:rPr>
      </w:pPr>
      <w:r w:rsidRPr="004856F9">
        <w:rPr>
          <w:rStyle w:val="Odwoanieprzypisudolnego"/>
          <w:sz w:val="18"/>
          <w:szCs w:val="18"/>
        </w:rPr>
        <w:footnoteRef/>
      </w:r>
      <w:r w:rsidRPr="004856F9">
        <w:rPr>
          <w:sz w:val="18"/>
          <w:szCs w:val="18"/>
        </w:rPr>
        <w:t xml:space="preserve"> </w:t>
      </w:r>
      <w:r w:rsidR="00B76156" w:rsidRPr="004856F9">
        <w:rPr>
          <w:sz w:val="18"/>
          <w:szCs w:val="18"/>
        </w:rPr>
        <w:t xml:space="preserve">Skorygowany scenariusz PRIMES 2020 ze stycznia 2024 r. </w:t>
      </w:r>
      <w:r w:rsidRPr="004856F9">
        <w:rPr>
          <w:sz w:val="18"/>
          <w:szCs w:val="18"/>
        </w:rPr>
        <w:t>Przed korektą prognoz na 2030 r. przekazaną przez KE w styczniu 2024 r. wartość wynosiła 12,6%.</w:t>
      </w:r>
    </w:p>
  </w:footnote>
  <w:footnote w:id="61">
    <w:p w14:paraId="52FD0A35" w14:textId="77777777" w:rsidR="00EC1DCF" w:rsidRPr="004856F9" w:rsidRDefault="00EC1DCF" w:rsidP="00EC1DCF">
      <w:pPr>
        <w:pStyle w:val="Tekstprzypisudolnego"/>
        <w:rPr>
          <w:sz w:val="18"/>
          <w:szCs w:val="18"/>
        </w:rPr>
      </w:pPr>
      <w:r w:rsidRPr="004856F9">
        <w:rPr>
          <w:rStyle w:val="Odwoanieprzypisudolnego"/>
          <w:sz w:val="18"/>
          <w:szCs w:val="18"/>
        </w:rPr>
        <w:footnoteRef/>
      </w:r>
      <w:r w:rsidRPr="004856F9">
        <w:rPr>
          <w:sz w:val="18"/>
          <w:szCs w:val="18"/>
        </w:rPr>
        <w:t xml:space="preserve"> W 2019 r. zużycie energii per capita: Polska – 2 751 kgoe/rok, UE – 3349 kgoe/rok, Źródło: Eurostat.</w:t>
      </w:r>
    </w:p>
  </w:footnote>
  <w:footnote w:id="62">
    <w:p w14:paraId="24AF2536" w14:textId="43C86E0A" w:rsidR="00ED09DE" w:rsidRPr="004856F9" w:rsidRDefault="00ED09DE">
      <w:pPr>
        <w:pStyle w:val="Tekstprzypisudolnego"/>
        <w:rPr>
          <w:sz w:val="18"/>
          <w:szCs w:val="18"/>
        </w:rPr>
      </w:pPr>
      <w:r w:rsidRPr="004856F9">
        <w:rPr>
          <w:rStyle w:val="Odwoanieprzypisudolnego"/>
          <w:sz w:val="18"/>
          <w:szCs w:val="18"/>
        </w:rPr>
        <w:footnoteRef/>
      </w:r>
      <w:r w:rsidRPr="004856F9">
        <w:rPr>
          <w:sz w:val="18"/>
          <w:szCs w:val="18"/>
        </w:rPr>
        <w:t xml:space="preserve"> W odniesieniu do PRIMES 2007 prognozy z aKPEiK wskazują na redukcję -25% (-21,4 Mtoe).</w:t>
      </w:r>
    </w:p>
  </w:footnote>
  <w:footnote w:id="63">
    <w:p w14:paraId="43A31635" w14:textId="49124801" w:rsidR="00C569F5" w:rsidRPr="004856F9" w:rsidRDefault="00C569F5">
      <w:pPr>
        <w:pStyle w:val="Tekstprzypisudolnego"/>
        <w:rPr>
          <w:sz w:val="18"/>
          <w:szCs w:val="18"/>
        </w:rPr>
      </w:pPr>
      <w:r w:rsidRPr="004856F9">
        <w:rPr>
          <w:rStyle w:val="Odwoanieprzypisudolnego"/>
          <w:sz w:val="18"/>
          <w:szCs w:val="18"/>
        </w:rPr>
        <w:footnoteRef/>
      </w:r>
      <w:r w:rsidRPr="004856F9">
        <w:rPr>
          <w:sz w:val="18"/>
          <w:szCs w:val="18"/>
        </w:rPr>
        <w:t xml:space="preserve"> Podstawą jest dyrektywą </w:t>
      </w:r>
      <w:r w:rsidR="00A64AE3" w:rsidRPr="004856F9">
        <w:rPr>
          <w:sz w:val="18"/>
          <w:szCs w:val="18"/>
        </w:rPr>
        <w:t xml:space="preserve">PE i Rady (UE) </w:t>
      </w:r>
      <w:r w:rsidRPr="004856F9">
        <w:rPr>
          <w:sz w:val="18"/>
          <w:szCs w:val="18"/>
        </w:rPr>
        <w:t>2009/125/WE ustanawiającą ogólne zasady ustalania wymogów dotyczących ekoprojektu dla produktów związanych z energią</w:t>
      </w:r>
      <w:r w:rsidR="00A64AE3" w:rsidRPr="004856F9">
        <w:rPr>
          <w:sz w:val="18"/>
          <w:szCs w:val="18"/>
        </w:rPr>
        <w:t>.</w:t>
      </w:r>
    </w:p>
  </w:footnote>
  <w:footnote w:id="64">
    <w:p w14:paraId="1F5AEE0B" w14:textId="072A4907" w:rsidR="00DA67E6" w:rsidRPr="004856F9" w:rsidRDefault="00DA67E6">
      <w:pPr>
        <w:pStyle w:val="Tekstprzypisudolnego"/>
        <w:rPr>
          <w:sz w:val="18"/>
          <w:szCs w:val="18"/>
        </w:rPr>
      </w:pPr>
      <w:r w:rsidRPr="004856F9">
        <w:rPr>
          <w:rStyle w:val="Odwoanieprzypisudolnego"/>
          <w:sz w:val="18"/>
          <w:szCs w:val="18"/>
        </w:rPr>
        <w:footnoteRef/>
      </w:r>
      <w:r w:rsidRPr="004856F9">
        <w:rPr>
          <w:sz w:val="18"/>
          <w:szCs w:val="18"/>
        </w:rPr>
        <w:t xml:space="preserve"> Podstawą jest rozporządzenie PE i Rady (UE) 2017/1369 z dnia 4 lipca 2017 r. ustanawiające ramy etykietowania energetycznego i uchylające dyrektywę 2010/30/UE.</w:t>
      </w:r>
    </w:p>
  </w:footnote>
  <w:footnote w:id="65">
    <w:p w14:paraId="24B47BA1" w14:textId="20BAF659" w:rsidR="00DA2210" w:rsidRPr="004856F9" w:rsidRDefault="00DA2210">
      <w:pPr>
        <w:pStyle w:val="Tekstprzypisudolnego"/>
        <w:rPr>
          <w:sz w:val="18"/>
          <w:szCs w:val="18"/>
        </w:rPr>
      </w:pPr>
      <w:r w:rsidRPr="004856F9">
        <w:rPr>
          <w:rStyle w:val="Odwoanieprzypisudolnego"/>
          <w:sz w:val="18"/>
          <w:szCs w:val="18"/>
        </w:rPr>
        <w:footnoteRef/>
      </w:r>
      <w:r w:rsidRPr="004856F9">
        <w:rPr>
          <w:sz w:val="18"/>
          <w:szCs w:val="18"/>
        </w:rPr>
        <w:t xml:space="preserve"> </w:t>
      </w:r>
      <w:r w:rsidR="00E616AC" w:rsidRPr="004856F9">
        <w:rPr>
          <w:sz w:val="18"/>
          <w:szCs w:val="18"/>
        </w:rPr>
        <w:t>D</w:t>
      </w:r>
      <w:r w:rsidRPr="004856F9">
        <w:rPr>
          <w:sz w:val="18"/>
          <w:szCs w:val="18"/>
        </w:rPr>
        <w:t xml:space="preserve">la okresu </w:t>
      </w:r>
      <w:r w:rsidR="00E616AC" w:rsidRPr="004856F9">
        <w:rPr>
          <w:sz w:val="18"/>
          <w:szCs w:val="18"/>
        </w:rPr>
        <w:t>2021–2023 na podstawie art. 7 dyrektywy w sprawie efektywności energetycznej 2012/27/UE, a dla okresu 2024–2030 na podstawie dyrektywy EED – art. 8.</w:t>
      </w:r>
    </w:p>
  </w:footnote>
  <w:footnote w:id="66">
    <w:p w14:paraId="37CFA06D" w14:textId="1E7D73A7" w:rsidR="001B7693" w:rsidRPr="004856F9" w:rsidRDefault="001B7693">
      <w:pPr>
        <w:pStyle w:val="Tekstprzypisudolnego"/>
        <w:rPr>
          <w:sz w:val="18"/>
          <w:szCs w:val="18"/>
        </w:rPr>
      </w:pPr>
      <w:r w:rsidRPr="004856F9">
        <w:rPr>
          <w:rStyle w:val="Odwoanieprzypisudolnego"/>
          <w:sz w:val="18"/>
          <w:szCs w:val="18"/>
        </w:rPr>
        <w:footnoteRef/>
      </w:r>
      <w:r w:rsidRPr="004856F9">
        <w:rPr>
          <w:sz w:val="18"/>
          <w:szCs w:val="18"/>
        </w:rPr>
        <w:t xml:space="preserve"> Na podstawie: </w:t>
      </w:r>
      <w:r w:rsidRPr="004856F9">
        <w:rPr>
          <w:i/>
          <w:iCs/>
          <w:sz w:val="18"/>
          <w:szCs w:val="18"/>
        </w:rPr>
        <w:t>Complete energy balances</w:t>
      </w:r>
      <w:r w:rsidRPr="004856F9">
        <w:rPr>
          <w:sz w:val="18"/>
          <w:szCs w:val="18"/>
        </w:rPr>
        <w:t xml:space="preserve"> (NRG_IND_EFF), Eurostat</w:t>
      </w:r>
      <w:r w:rsidR="00BD4DED" w:rsidRPr="004856F9">
        <w:rPr>
          <w:sz w:val="18"/>
          <w:szCs w:val="18"/>
        </w:rPr>
        <w:t>.</w:t>
      </w:r>
      <w:r w:rsidR="00E616AC" w:rsidRPr="004856F9">
        <w:rPr>
          <w:sz w:val="18"/>
          <w:szCs w:val="18"/>
        </w:rPr>
        <w:t xml:space="preserve"> W odniesieniu do obowiązku dla lat 2021–2030 podstawa jest inna ze względu na korekty statystyczne.   </w:t>
      </w:r>
    </w:p>
  </w:footnote>
  <w:footnote w:id="67">
    <w:p w14:paraId="54C7D9FE" w14:textId="55FDD9DD" w:rsidR="00EC2390" w:rsidRPr="004856F9" w:rsidRDefault="00EC2390">
      <w:pPr>
        <w:pStyle w:val="Tekstprzypisudolnego"/>
        <w:rPr>
          <w:sz w:val="18"/>
          <w:szCs w:val="18"/>
        </w:rPr>
      </w:pPr>
      <w:r w:rsidRPr="004856F9">
        <w:rPr>
          <w:rStyle w:val="Odwoanieprzypisudolnego"/>
          <w:sz w:val="18"/>
          <w:szCs w:val="18"/>
        </w:rPr>
        <w:footnoteRef/>
      </w:r>
      <w:r w:rsidRPr="004856F9">
        <w:rPr>
          <w:sz w:val="18"/>
          <w:szCs w:val="18"/>
        </w:rPr>
        <w:t xml:space="preserve"> Wskaźniki oraz ich poziomy za 2019 r. wskazano w części </w:t>
      </w:r>
      <w:r w:rsidRPr="004856F9">
        <w:rPr>
          <w:sz w:val="18"/>
          <w:szCs w:val="18"/>
        </w:rPr>
        <w:fldChar w:fldCharType="begin"/>
      </w:r>
      <w:r w:rsidRPr="004856F9">
        <w:rPr>
          <w:sz w:val="18"/>
          <w:szCs w:val="18"/>
        </w:rPr>
        <w:instrText xml:space="preserve"> REF _Ref174547854 \n \h  \* MERGEFORMAT </w:instrText>
      </w:r>
      <w:r w:rsidRPr="004856F9">
        <w:rPr>
          <w:sz w:val="18"/>
          <w:szCs w:val="18"/>
        </w:rPr>
      </w:r>
      <w:r w:rsidRPr="004856F9">
        <w:rPr>
          <w:sz w:val="18"/>
          <w:szCs w:val="18"/>
        </w:rPr>
        <w:fldChar w:fldCharType="separate"/>
      </w:r>
      <w:r w:rsidR="003E2A17" w:rsidRPr="004856F9">
        <w:rPr>
          <w:sz w:val="18"/>
          <w:szCs w:val="18"/>
        </w:rPr>
        <w:t>Cel. 4.5.1</w:t>
      </w:r>
      <w:r w:rsidRPr="004856F9">
        <w:rPr>
          <w:sz w:val="18"/>
          <w:szCs w:val="18"/>
        </w:rPr>
        <w:fldChar w:fldCharType="end"/>
      </w:r>
      <w:r w:rsidRPr="004856F9">
        <w:rPr>
          <w:sz w:val="18"/>
          <w:szCs w:val="18"/>
        </w:rPr>
        <w:t xml:space="preserve">. </w:t>
      </w:r>
      <w:r w:rsidRPr="004856F9">
        <w:rPr>
          <w:sz w:val="18"/>
          <w:szCs w:val="18"/>
        </w:rPr>
        <w:fldChar w:fldCharType="begin"/>
      </w:r>
      <w:r w:rsidRPr="004856F9">
        <w:rPr>
          <w:sz w:val="18"/>
          <w:szCs w:val="18"/>
        </w:rPr>
        <w:instrText xml:space="preserve"> REF _Ref174547858 \h  \* MERGEFORMAT </w:instrText>
      </w:r>
      <w:r w:rsidRPr="004856F9">
        <w:rPr>
          <w:sz w:val="18"/>
          <w:szCs w:val="18"/>
        </w:rPr>
      </w:r>
      <w:r w:rsidRPr="004856F9">
        <w:rPr>
          <w:sz w:val="18"/>
          <w:szCs w:val="18"/>
        </w:rPr>
        <w:fldChar w:fldCharType="separate"/>
      </w:r>
      <w:r w:rsidR="003E2A17" w:rsidRPr="004856F9">
        <w:rPr>
          <w:color w:val="FFC000" w:themeColor="accent4"/>
          <w:sz w:val="18"/>
          <w:szCs w:val="18"/>
        </w:rPr>
        <w:t>Redukcja ubóstwa energetycznego</w:t>
      </w:r>
      <w:r w:rsidRPr="004856F9">
        <w:rPr>
          <w:sz w:val="18"/>
          <w:szCs w:val="18"/>
        </w:rPr>
        <w:fldChar w:fldCharType="end"/>
      </w:r>
      <w:r w:rsidRPr="004856F9">
        <w:rPr>
          <w:sz w:val="18"/>
          <w:szCs w:val="18"/>
        </w:rPr>
        <w:t>.</w:t>
      </w:r>
    </w:p>
  </w:footnote>
  <w:footnote w:id="68">
    <w:p w14:paraId="408BD35C" w14:textId="77777777" w:rsidR="00AF5B65" w:rsidRPr="004856F9" w:rsidRDefault="00AF5B65" w:rsidP="00AF5B65">
      <w:pPr>
        <w:pStyle w:val="Tekstprzypisudolnego"/>
        <w:rPr>
          <w:sz w:val="18"/>
          <w:szCs w:val="18"/>
        </w:rPr>
      </w:pPr>
      <w:r w:rsidRPr="004856F9">
        <w:rPr>
          <w:rStyle w:val="Odwoanieprzypisudolnego"/>
          <w:sz w:val="18"/>
          <w:szCs w:val="18"/>
        </w:rPr>
        <w:footnoteRef/>
      </w:r>
      <w:r w:rsidRPr="004856F9">
        <w:rPr>
          <w:sz w:val="18"/>
          <w:szCs w:val="18"/>
        </w:rPr>
        <w:t xml:space="preserve"> Opracowana na podstawie art. 2a dyrektywy 2010/31/UE w sprawie charakterystyki </w:t>
      </w:r>
      <w:r w:rsidR="000871B5" w:rsidRPr="004856F9">
        <w:rPr>
          <w:sz w:val="18"/>
          <w:szCs w:val="18"/>
        </w:rPr>
        <w:t>efektywności e</w:t>
      </w:r>
      <w:r w:rsidRPr="004856F9">
        <w:rPr>
          <w:sz w:val="18"/>
          <w:szCs w:val="18"/>
        </w:rPr>
        <w:t>nergetycznej budynków (tzw. dyrektywa EPBD)</w:t>
      </w:r>
      <w:r w:rsidR="00EC0A0F" w:rsidRPr="004856F9">
        <w:rPr>
          <w:sz w:val="18"/>
          <w:szCs w:val="18"/>
        </w:rPr>
        <w:t>.</w:t>
      </w:r>
      <w:r w:rsidRPr="004856F9">
        <w:rPr>
          <w:sz w:val="18"/>
          <w:szCs w:val="18"/>
        </w:rPr>
        <w:t xml:space="preserve">  </w:t>
      </w:r>
    </w:p>
  </w:footnote>
  <w:footnote w:id="69">
    <w:p w14:paraId="20DC80EF" w14:textId="77777777" w:rsidR="00EC0A0F" w:rsidRPr="004856F9" w:rsidRDefault="00EC0A0F" w:rsidP="00EC0A0F">
      <w:pPr>
        <w:pStyle w:val="Tekstprzypisudolnego"/>
        <w:rPr>
          <w:sz w:val="18"/>
          <w:szCs w:val="18"/>
        </w:rPr>
      </w:pPr>
      <w:r w:rsidRPr="004856F9">
        <w:rPr>
          <w:rStyle w:val="Odwoanieprzypisudolnego"/>
          <w:sz w:val="18"/>
          <w:szCs w:val="18"/>
        </w:rPr>
        <w:footnoteRef/>
      </w:r>
      <w:r w:rsidRPr="004856F9">
        <w:rPr>
          <w:sz w:val="18"/>
          <w:szCs w:val="18"/>
        </w:rPr>
        <w:t xml:space="preserve"> Art. 3 dyrektywy 2024/1275 w sprawie charakterystyki energetycznej budynków (tzw. nowej dyrektywy EPBD).</w:t>
      </w:r>
    </w:p>
  </w:footnote>
  <w:footnote w:id="70">
    <w:p w14:paraId="53C7E21C" w14:textId="77777777" w:rsidR="001B70EF" w:rsidRPr="004856F9" w:rsidRDefault="001B70EF" w:rsidP="001B70EF">
      <w:pPr>
        <w:pStyle w:val="Tekstprzypisudolnego"/>
        <w:rPr>
          <w:sz w:val="18"/>
          <w:szCs w:val="18"/>
        </w:rPr>
      </w:pPr>
      <w:r w:rsidRPr="004856F9">
        <w:rPr>
          <w:rStyle w:val="Odwoanieprzypisudolnego"/>
          <w:sz w:val="18"/>
          <w:szCs w:val="18"/>
        </w:rPr>
        <w:footnoteRef/>
      </w:r>
      <w:r w:rsidRPr="004856F9">
        <w:rPr>
          <w:sz w:val="18"/>
          <w:szCs w:val="18"/>
        </w:rPr>
        <w:t xml:space="preserve"> Parametry określone w rozporządzeniu Ministra Infrastruktury z dnia 12 kwietnia 2002 r. w sprawie warunków technicznych, jakim powinny odpowiadać budynki i ich usytuowanie</w:t>
      </w:r>
    </w:p>
  </w:footnote>
  <w:footnote w:id="71">
    <w:p w14:paraId="234F7A2F" w14:textId="355EB877" w:rsidR="009441AA" w:rsidRPr="004856F9" w:rsidRDefault="009441AA">
      <w:pPr>
        <w:pStyle w:val="Tekstprzypisudolnego"/>
        <w:rPr>
          <w:sz w:val="18"/>
          <w:szCs w:val="18"/>
        </w:rPr>
      </w:pPr>
      <w:r w:rsidRPr="004856F9">
        <w:rPr>
          <w:rStyle w:val="Odwoanieprzypisudolnego"/>
          <w:sz w:val="18"/>
          <w:szCs w:val="18"/>
        </w:rPr>
        <w:footnoteRef/>
      </w:r>
      <w:r w:rsidRPr="004856F9">
        <w:rPr>
          <w:sz w:val="18"/>
          <w:szCs w:val="18"/>
        </w:rPr>
        <w:t xml:space="preserve"> </w:t>
      </w:r>
      <w:r w:rsidR="004856F9" w:rsidRPr="004856F9">
        <w:rPr>
          <w:i/>
          <w:iCs/>
          <w:sz w:val="18"/>
          <w:szCs w:val="18"/>
        </w:rPr>
        <w:t>Charakterystyka energetyczna</w:t>
      </w:r>
      <w:r w:rsidR="004856F9">
        <w:rPr>
          <w:sz w:val="18"/>
          <w:szCs w:val="18"/>
        </w:rPr>
        <w:t xml:space="preserve"> </w:t>
      </w:r>
      <w:r w:rsidRPr="004856F9">
        <w:rPr>
          <w:sz w:val="18"/>
          <w:szCs w:val="18"/>
        </w:rPr>
        <w:t>oznacza obliczoną lub opomiarowaną ilość energii potrzebnej do zaspokojenia zapotrzebowania na energię związanego z typowym użytkowaniem budynku, która obejmuje energię zużytą na potrzeby ogrzewania, chłodzenia, wentylacji, ciepłej wody użytkowej i oświetlenia;</w:t>
      </w:r>
    </w:p>
  </w:footnote>
  <w:footnote w:id="72">
    <w:p w14:paraId="0602A0A9" w14:textId="77777777" w:rsidR="0034179E" w:rsidRPr="004856F9" w:rsidRDefault="0034179E" w:rsidP="0034179E">
      <w:pPr>
        <w:pStyle w:val="Tekstprzypisudolnego"/>
        <w:rPr>
          <w:sz w:val="18"/>
          <w:szCs w:val="18"/>
        </w:rPr>
      </w:pPr>
      <w:r w:rsidRPr="004856F9">
        <w:rPr>
          <w:rStyle w:val="Odwoanieprzypisudolnego"/>
          <w:sz w:val="18"/>
          <w:szCs w:val="18"/>
        </w:rPr>
        <w:footnoteRef/>
      </w:r>
      <w:r w:rsidRPr="004856F9">
        <w:rPr>
          <w:sz w:val="18"/>
          <w:szCs w:val="18"/>
        </w:rPr>
        <w:t xml:space="preserve"> Zgodnie z art. 3 pkt 16 ustawy – Prawo energetyczne.</w:t>
      </w:r>
    </w:p>
  </w:footnote>
  <w:footnote w:id="73">
    <w:p w14:paraId="7671D570" w14:textId="0A9F26E4" w:rsidR="00546ECB" w:rsidRDefault="00546ECB">
      <w:pPr>
        <w:pStyle w:val="Tekstprzypisudolnego"/>
      </w:pPr>
      <w:r>
        <w:rPr>
          <w:rStyle w:val="Odwoanieprzypisudolnego"/>
        </w:rPr>
        <w:footnoteRef/>
      </w:r>
      <w:r>
        <w:t xml:space="preserve"> </w:t>
      </w:r>
      <w:r w:rsidRPr="00546ECB">
        <w:rPr>
          <w:sz w:val="18"/>
          <w:szCs w:val="18"/>
        </w:rPr>
        <w:t>Znaczenie strategiczne określa się na podstawie istotności surowca dla zielonej transformacji, technologii cyfrowych, zastosowań obronnych i kosmicznych.</w:t>
      </w:r>
    </w:p>
  </w:footnote>
  <w:footnote w:id="74">
    <w:p w14:paraId="7DCA67C7" w14:textId="77777777" w:rsidR="00C04D9C" w:rsidRPr="004856F9" w:rsidRDefault="00C04D9C" w:rsidP="00C04D9C">
      <w:pPr>
        <w:pStyle w:val="Tekstprzypisudolnego"/>
        <w:rPr>
          <w:sz w:val="18"/>
          <w:szCs w:val="18"/>
        </w:rPr>
      </w:pPr>
      <w:r w:rsidRPr="004856F9">
        <w:rPr>
          <w:rStyle w:val="Odwoanieprzypisudolnego"/>
          <w:sz w:val="18"/>
          <w:szCs w:val="18"/>
        </w:rPr>
        <w:footnoteRef/>
      </w:r>
      <w:r w:rsidRPr="004856F9">
        <w:rPr>
          <w:sz w:val="18"/>
          <w:szCs w:val="18"/>
        </w:rPr>
        <w:t xml:space="preserve"> </w:t>
      </w:r>
      <w:r w:rsidRPr="004856F9">
        <w:rPr>
          <w:i/>
          <w:iCs/>
          <w:sz w:val="18"/>
          <w:szCs w:val="18"/>
        </w:rPr>
        <w:t>Bilans Energii Pierwotnej</w:t>
      </w:r>
      <w:r w:rsidRPr="004856F9">
        <w:rPr>
          <w:sz w:val="18"/>
          <w:szCs w:val="18"/>
        </w:rPr>
        <w:t xml:space="preserve"> </w:t>
      </w:r>
      <w:r w:rsidRPr="004856F9">
        <w:rPr>
          <w:i/>
          <w:iCs/>
          <w:sz w:val="18"/>
          <w:szCs w:val="18"/>
        </w:rPr>
        <w:t>2022</w:t>
      </w:r>
      <w:r w:rsidRPr="004856F9">
        <w:rPr>
          <w:sz w:val="18"/>
          <w:szCs w:val="18"/>
        </w:rPr>
        <w:t xml:space="preserve">, ARE S.A. w imieniu MKiŚ 2023, </w:t>
      </w:r>
      <w:hyperlink r:id="rId6" w:anchor="bilans-energii-pierwotnej" w:history="1">
        <w:r w:rsidRPr="004856F9">
          <w:rPr>
            <w:rStyle w:val="Hipercze"/>
            <w:sz w:val="18"/>
            <w:szCs w:val="18"/>
          </w:rPr>
          <w:t>link</w:t>
        </w:r>
      </w:hyperlink>
    </w:p>
  </w:footnote>
  <w:footnote w:id="75">
    <w:p w14:paraId="58FC46DC" w14:textId="77777777" w:rsidR="00C04D9C" w:rsidRPr="004856F9" w:rsidRDefault="00C04D9C" w:rsidP="00C04D9C">
      <w:pPr>
        <w:pStyle w:val="Tekstprzypisudolnego"/>
        <w:rPr>
          <w:sz w:val="18"/>
          <w:szCs w:val="18"/>
        </w:rPr>
      </w:pPr>
      <w:r w:rsidRPr="004856F9">
        <w:rPr>
          <w:rStyle w:val="Odwoanieprzypisudolnego"/>
          <w:sz w:val="18"/>
          <w:szCs w:val="18"/>
        </w:rPr>
        <w:footnoteRef/>
      </w:r>
      <w:r w:rsidRPr="004856F9">
        <w:rPr>
          <w:sz w:val="18"/>
          <w:szCs w:val="18"/>
        </w:rPr>
        <w:t xml:space="preserve"> Aspekt sprawiedliwej transformacji regionów węglowych oraz tzw. umów społecznych został omówiony w 4. wymiarze.</w:t>
      </w:r>
    </w:p>
  </w:footnote>
  <w:footnote w:id="76">
    <w:p w14:paraId="613752A4" w14:textId="7EE09AA7" w:rsidR="00C04D9C" w:rsidRPr="004856F9" w:rsidRDefault="00C04D9C" w:rsidP="00F77BDA">
      <w:pPr>
        <w:pStyle w:val="Tekstprzypisudolnego"/>
        <w:rPr>
          <w:sz w:val="18"/>
          <w:szCs w:val="18"/>
        </w:rPr>
      </w:pPr>
      <w:r w:rsidRPr="004856F9">
        <w:rPr>
          <w:rStyle w:val="Odwoanieprzypisudolnego"/>
          <w:sz w:val="18"/>
          <w:szCs w:val="18"/>
        </w:rPr>
        <w:footnoteRef/>
      </w:r>
      <w:r w:rsidRPr="004856F9">
        <w:rPr>
          <w:sz w:val="18"/>
          <w:szCs w:val="18"/>
        </w:rPr>
        <w:t xml:space="preserve"> </w:t>
      </w:r>
      <w:r w:rsidR="00F77BDA" w:rsidRPr="004856F9">
        <w:rPr>
          <w:sz w:val="18"/>
          <w:szCs w:val="18"/>
        </w:rPr>
        <w:t xml:space="preserve">Umowa społeczna dotycząca transformacji sektora górnictwa węgla kamiennego oraz wybranych procesów transformacji województwa śląskiego </w:t>
      </w:r>
      <w:r w:rsidRPr="004856F9">
        <w:rPr>
          <w:sz w:val="18"/>
          <w:szCs w:val="18"/>
        </w:rPr>
        <w:t xml:space="preserve">z 2021 r. oraz </w:t>
      </w:r>
      <w:r w:rsidR="00F77BDA" w:rsidRPr="004856F9">
        <w:rPr>
          <w:sz w:val="18"/>
          <w:szCs w:val="18"/>
        </w:rPr>
        <w:t>U</w:t>
      </w:r>
      <w:r w:rsidRPr="004856F9">
        <w:rPr>
          <w:sz w:val="18"/>
          <w:szCs w:val="18"/>
        </w:rPr>
        <w:t>mowa społeczn</w:t>
      </w:r>
      <w:r w:rsidR="00F77BDA" w:rsidRPr="004856F9">
        <w:rPr>
          <w:sz w:val="18"/>
          <w:szCs w:val="18"/>
        </w:rPr>
        <w:t>a</w:t>
      </w:r>
      <w:r w:rsidRPr="004856F9">
        <w:rPr>
          <w:sz w:val="18"/>
          <w:szCs w:val="18"/>
        </w:rPr>
        <w:t xml:space="preserve"> dot. transformacji sektora elektroenergetycznego i branży górnictwa węgla brunatnego z 2022 r.</w:t>
      </w:r>
    </w:p>
  </w:footnote>
  <w:footnote w:id="77">
    <w:p w14:paraId="08E2D927" w14:textId="77777777" w:rsidR="00CB596F" w:rsidRPr="004856F9" w:rsidRDefault="00CB596F" w:rsidP="00CB596F">
      <w:pPr>
        <w:pStyle w:val="Tekstprzypisudolnego"/>
        <w:rPr>
          <w:sz w:val="18"/>
          <w:szCs w:val="18"/>
        </w:rPr>
      </w:pPr>
      <w:r w:rsidRPr="004856F9">
        <w:rPr>
          <w:rStyle w:val="Odwoanieprzypisudolnego"/>
          <w:sz w:val="18"/>
          <w:szCs w:val="18"/>
        </w:rPr>
        <w:footnoteRef/>
      </w:r>
      <w:r w:rsidRPr="004856F9">
        <w:rPr>
          <w:sz w:val="18"/>
          <w:szCs w:val="18"/>
        </w:rPr>
        <w:t xml:space="preserve"> </w:t>
      </w:r>
      <w:r w:rsidRPr="004856F9">
        <w:rPr>
          <w:i/>
          <w:iCs/>
          <w:sz w:val="18"/>
          <w:szCs w:val="18"/>
        </w:rPr>
        <w:t>Bilans Energii Pierwotnej</w:t>
      </w:r>
      <w:r w:rsidRPr="004856F9">
        <w:rPr>
          <w:sz w:val="18"/>
          <w:szCs w:val="18"/>
        </w:rPr>
        <w:t xml:space="preserve"> </w:t>
      </w:r>
      <w:r w:rsidRPr="004856F9">
        <w:rPr>
          <w:i/>
          <w:iCs/>
          <w:sz w:val="18"/>
          <w:szCs w:val="18"/>
        </w:rPr>
        <w:t>2022</w:t>
      </w:r>
      <w:r w:rsidRPr="004856F9">
        <w:rPr>
          <w:sz w:val="18"/>
          <w:szCs w:val="18"/>
        </w:rPr>
        <w:t xml:space="preserve">, ARE S.A. w imieniu MKiŚ 2023, </w:t>
      </w:r>
      <w:hyperlink r:id="rId7" w:anchor="bilans-energii-pierwotnej" w:history="1">
        <w:r w:rsidRPr="004856F9">
          <w:rPr>
            <w:rStyle w:val="Hipercze"/>
            <w:sz w:val="18"/>
            <w:szCs w:val="18"/>
          </w:rPr>
          <w:t>link</w:t>
        </w:r>
      </w:hyperlink>
    </w:p>
  </w:footnote>
  <w:footnote w:id="78">
    <w:p w14:paraId="38498919" w14:textId="3C15796C" w:rsidR="004938AB" w:rsidRPr="004856F9" w:rsidRDefault="004938AB" w:rsidP="004938AB">
      <w:pPr>
        <w:pStyle w:val="Tekstprzypisudolnego"/>
        <w:rPr>
          <w:sz w:val="18"/>
          <w:szCs w:val="18"/>
        </w:rPr>
      </w:pPr>
      <w:r w:rsidRPr="004856F9">
        <w:rPr>
          <w:rStyle w:val="Odwoanieprzypisudolnego"/>
          <w:sz w:val="18"/>
          <w:szCs w:val="18"/>
        </w:rPr>
        <w:footnoteRef/>
      </w:r>
      <w:r w:rsidRPr="004856F9">
        <w:rPr>
          <w:sz w:val="18"/>
          <w:szCs w:val="18"/>
        </w:rPr>
        <w:t xml:space="preserve"> </w:t>
      </w:r>
      <w:r w:rsidR="008D7A02" w:rsidRPr="004856F9">
        <w:rPr>
          <w:i/>
          <w:iCs/>
          <w:sz w:val="18"/>
          <w:szCs w:val="18"/>
        </w:rPr>
        <w:t>Badania statystyczne Ministra Klimatu i Środowiska</w:t>
      </w:r>
      <w:r w:rsidR="008D7A02" w:rsidRPr="004856F9">
        <w:rPr>
          <w:sz w:val="18"/>
          <w:szCs w:val="18"/>
        </w:rPr>
        <w:t xml:space="preserve">, </w:t>
      </w:r>
      <w:hyperlink r:id="rId8" w:anchor="bilans-energii-pierwotnej" w:history="1">
        <w:r w:rsidR="008D7A02" w:rsidRPr="004856F9">
          <w:rPr>
            <w:rStyle w:val="Hipercze"/>
            <w:sz w:val="18"/>
            <w:szCs w:val="18"/>
          </w:rPr>
          <w:t>link</w:t>
        </w:r>
      </w:hyperlink>
    </w:p>
  </w:footnote>
  <w:footnote w:id="79">
    <w:p w14:paraId="1A7B1A31" w14:textId="66A4BDCB" w:rsidR="004C6E01" w:rsidRPr="004856F9" w:rsidRDefault="004C6E01">
      <w:pPr>
        <w:pStyle w:val="Tekstprzypisudolnego"/>
        <w:rPr>
          <w:sz w:val="18"/>
          <w:szCs w:val="18"/>
          <w:lang w:val="en-US"/>
        </w:rPr>
      </w:pPr>
      <w:r w:rsidRPr="004856F9">
        <w:rPr>
          <w:rStyle w:val="Odwoanieprzypisudolnego"/>
          <w:sz w:val="18"/>
          <w:szCs w:val="18"/>
        </w:rPr>
        <w:footnoteRef/>
      </w:r>
      <w:r w:rsidR="009B419F" w:rsidRPr="004856F9">
        <w:rPr>
          <w:sz w:val="18"/>
          <w:szCs w:val="18"/>
          <w:lang w:val="en-US"/>
        </w:rPr>
        <w:t xml:space="preserve"> </w:t>
      </w:r>
      <w:r w:rsidR="009B419F" w:rsidRPr="004856F9">
        <w:rPr>
          <w:i/>
          <w:iCs/>
          <w:sz w:val="18"/>
          <w:szCs w:val="18"/>
          <w:lang w:val="en-US"/>
        </w:rPr>
        <w:t>Clean Hydrogen Monitor 2022</w:t>
      </w:r>
      <w:r w:rsidR="009B419F" w:rsidRPr="004856F9">
        <w:rPr>
          <w:sz w:val="18"/>
          <w:szCs w:val="18"/>
          <w:lang w:val="en-US"/>
        </w:rPr>
        <w:t>, Hydrogen Europe 2022.</w:t>
      </w:r>
    </w:p>
  </w:footnote>
  <w:footnote w:id="80">
    <w:p w14:paraId="5CFC7D0D" w14:textId="626F5273" w:rsidR="000B393A" w:rsidRPr="004856F9" w:rsidRDefault="000B393A" w:rsidP="000B393A">
      <w:pPr>
        <w:pStyle w:val="Tekstprzypisudolnego"/>
        <w:rPr>
          <w:sz w:val="18"/>
          <w:szCs w:val="18"/>
        </w:rPr>
      </w:pPr>
      <w:r w:rsidRPr="004856F9">
        <w:rPr>
          <w:rStyle w:val="Odwoanieprzypisudolnego"/>
          <w:sz w:val="18"/>
          <w:szCs w:val="18"/>
        </w:rPr>
        <w:footnoteRef/>
      </w:r>
      <w:r w:rsidRPr="004856F9">
        <w:rPr>
          <w:sz w:val="18"/>
          <w:szCs w:val="18"/>
        </w:rPr>
        <w:t xml:space="preserve"> Art. 22a dyrektywy UE 2023/2413 – RED III.</w:t>
      </w:r>
    </w:p>
  </w:footnote>
  <w:footnote w:id="81">
    <w:p w14:paraId="3B842DEF" w14:textId="7ABFBA3D" w:rsidR="00C224B0" w:rsidRPr="004856F9" w:rsidRDefault="00C224B0">
      <w:pPr>
        <w:pStyle w:val="Tekstprzypisudolnego"/>
        <w:rPr>
          <w:sz w:val="18"/>
          <w:szCs w:val="18"/>
        </w:rPr>
      </w:pPr>
      <w:r w:rsidRPr="004856F9">
        <w:rPr>
          <w:rStyle w:val="Odwoanieprzypisudolnego"/>
          <w:sz w:val="18"/>
          <w:szCs w:val="18"/>
        </w:rPr>
        <w:footnoteRef/>
      </w:r>
      <w:r w:rsidRPr="004856F9">
        <w:rPr>
          <w:sz w:val="18"/>
          <w:szCs w:val="18"/>
        </w:rPr>
        <w:t xml:space="preserve"> Art. 25 ust. 1 lit. b dyrektywy UE 2023/2413 – RED III.</w:t>
      </w:r>
    </w:p>
  </w:footnote>
  <w:footnote w:id="82">
    <w:p w14:paraId="3124E42E" w14:textId="77777777" w:rsidR="007E3DFD" w:rsidRPr="004856F9" w:rsidRDefault="007E3DFD" w:rsidP="007E3DFD">
      <w:pPr>
        <w:pStyle w:val="Tekstprzypisudolnego"/>
        <w:rPr>
          <w:sz w:val="18"/>
          <w:szCs w:val="18"/>
        </w:rPr>
      </w:pPr>
      <w:r w:rsidRPr="004856F9">
        <w:rPr>
          <w:rStyle w:val="Odwoanieprzypisudolnego"/>
          <w:sz w:val="18"/>
          <w:szCs w:val="18"/>
        </w:rPr>
        <w:footnoteRef/>
      </w:r>
      <w:r w:rsidRPr="004856F9">
        <w:rPr>
          <w:sz w:val="18"/>
          <w:szCs w:val="18"/>
        </w:rPr>
        <w:t xml:space="preserve"> Taką ilość energii mogłoby wyprodukować ok. 6,7 GW mocy wiatrowych.</w:t>
      </w:r>
    </w:p>
  </w:footnote>
  <w:footnote w:id="83">
    <w:p w14:paraId="4FBA515C" w14:textId="004F8F24" w:rsidR="00C86C4E" w:rsidRPr="004856F9" w:rsidRDefault="00C86C4E" w:rsidP="00C86C4E">
      <w:pPr>
        <w:pStyle w:val="Tekstprzypisudolnego"/>
        <w:rPr>
          <w:sz w:val="18"/>
          <w:szCs w:val="18"/>
        </w:rPr>
      </w:pPr>
      <w:r w:rsidRPr="004856F9">
        <w:rPr>
          <w:rStyle w:val="Odwoanieprzypisudolnego"/>
          <w:sz w:val="18"/>
          <w:szCs w:val="18"/>
        </w:rPr>
        <w:footnoteRef/>
      </w:r>
      <w:r w:rsidRPr="004856F9">
        <w:rPr>
          <w:sz w:val="18"/>
          <w:szCs w:val="18"/>
        </w:rPr>
        <w:t xml:space="preserve"> Możliwe będzie w następstwie finansowania w ramach środków pochodzących z Instrumentu na rzecz Odbudowy i Zwiększania Odporności (RRF, ang. </w:t>
      </w:r>
      <w:r w:rsidRPr="004856F9">
        <w:rPr>
          <w:i/>
          <w:iCs/>
          <w:sz w:val="18"/>
          <w:szCs w:val="18"/>
        </w:rPr>
        <w:t>Recovery and Resilience Facility</w:t>
      </w:r>
      <w:r w:rsidRPr="004856F9">
        <w:rPr>
          <w:sz w:val="18"/>
          <w:szCs w:val="18"/>
        </w:rPr>
        <w:t>) w ramach Krajowego Planu Odbudowy.</w:t>
      </w:r>
      <w:r w:rsidR="001C6ABC" w:rsidRPr="004856F9">
        <w:rPr>
          <w:sz w:val="18"/>
          <w:szCs w:val="18"/>
        </w:rPr>
        <w:t xml:space="preserve"> Projekty wodorowe mogą korzystać formuły projektów IPCEI (ang. </w:t>
      </w:r>
      <w:r w:rsidR="001C6ABC" w:rsidRPr="004856F9">
        <w:rPr>
          <w:i/>
          <w:iCs/>
          <w:sz w:val="18"/>
          <w:szCs w:val="18"/>
        </w:rPr>
        <w:t>Important Projects of Common European Interest</w:t>
      </w:r>
      <w:r w:rsidR="001C6ABC" w:rsidRPr="004856F9">
        <w:rPr>
          <w:sz w:val="18"/>
          <w:szCs w:val="18"/>
        </w:rPr>
        <w:t>), ze względu na potencjalne duże znaczenie dla polityki gospodarczej, wzrostu konkurencyjności, cechowanie się wysoką innowacyjnością i pozytywny wpływ na środowisko.</w:t>
      </w:r>
    </w:p>
  </w:footnote>
  <w:footnote w:id="84">
    <w:p w14:paraId="08F802C6" w14:textId="179AD523" w:rsidR="006421E0" w:rsidRPr="004856F9" w:rsidRDefault="006421E0">
      <w:pPr>
        <w:pStyle w:val="Tekstprzypisudolnego"/>
        <w:rPr>
          <w:sz w:val="18"/>
          <w:szCs w:val="18"/>
        </w:rPr>
      </w:pPr>
      <w:r w:rsidRPr="004856F9">
        <w:rPr>
          <w:rStyle w:val="Odwoanieprzypisudolnego"/>
          <w:sz w:val="18"/>
          <w:szCs w:val="18"/>
        </w:rPr>
        <w:footnoteRef/>
      </w:r>
      <w:r w:rsidRPr="004856F9">
        <w:rPr>
          <w:sz w:val="18"/>
          <w:szCs w:val="18"/>
        </w:rPr>
        <w:t xml:space="preserve"> </w:t>
      </w:r>
      <w:r w:rsidR="00E30DFC" w:rsidRPr="004856F9">
        <w:rPr>
          <w:i/>
          <w:iCs/>
          <w:sz w:val="18"/>
          <w:szCs w:val="18"/>
        </w:rPr>
        <w:t>Informacja statystyczna o energii elektrycznej. Biuletyn miesięczny – grudzień 2023</w:t>
      </w:r>
      <w:r w:rsidR="00E30DFC" w:rsidRPr="004856F9">
        <w:rPr>
          <w:sz w:val="18"/>
          <w:szCs w:val="18"/>
        </w:rPr>
        <w:t>, nr 12 (360), tabela 24, ARE S.A. w imieniu MKiŚ i URE.</w:t>
      </w:r>
    </w:p>
  </w:footnote>
  <w:footnote w:id="85">
    <w:p w14:paraId="769F55C7" w14:textId="2E886965" w:rsidR="00ED63E6" w:rsidRPr="004856F9" w:rsidRDefault="00ED63E6">
      <w:pPr>
        <w:pStyle w:val="Tekstprzypisudolnego"/>
        <w:rPr>
          <w:sz w:val="18"/>
          <w:szCs w:val="18"/>
        </w:rPr>
      </w:pPr>
      <w:r w:rsidRPr="004856F9">
        <w:rPr>
          <w:rStyle w:val="Odwoanieprzypisudolnego"/>
          <w:sz w:val="18"/>
          <w:szCs w:val="18"/>
        </w:rPr>
        <w:footnoteRef/>
      </w:r>
      <w:r w:rsidRPr="004856F9">
        <w:rPr>
          <w:sz w:val="18"/>
          <w:szCs w:val="18"/>
        </w:rPr>
        <w:t xml:space="preserve"> Wówczas prosumenci korzystają z wyprodukowanej przez siebie energii i nie zwiększają zapotrzebowania. Tym samym szczytowe zapotrzebowanie jest niższe, co zmniejsza potrzeby w zakresie mocy rezerwowych, które muszą w tym celu występować w systemie i generują dodatkowe koszty.</w:t>
      </w:r>
    </w:p>
  </w:footnote>
  <w:footnote w:id="86">
    <w:p w14:paraId="1D748265" w14:textId="72EE0CAA" w:rsidR="008E10AC" w:rsidRPr="004856F9" w:rsidRDefault="008E10AC">
      <w:pPr>
        <w:pStyle w:val="Tekstprzypisudolnego"/>
        <w:rPr>
          <w:sz w:val="18"/>
          <w:szCs w:val="18"/>
        </w:rPr>
      </w:pPr>
      <w:r w:rsidRPr="004856F9">
        <w:rPr>
          <w:rStyle w:val="Odwoanieprzypisudolnego"/>
          <w:sz w:val="18"/>
          <w:szCs w:val="18"/>
        </w:rPr>
        <w:footnoteRef/>
      </w:r>
      <w:r w:rsidRPr="004856F9">
        <w:rPr>
          <w:sz w:val="18"/>
          <w:szCs w:val="18"/>
        </w:rPr>
        <w:t xml:space="preserve"> Art. 20–22 dyrektywy RED II.</w:t>
      </w:r>
    </w:p>
  </w:footnote>
  <w:footnote w:id="87">
    <w:p w14:paraId="32703854" w14:textId="442A44CA" w:rsidR="005B2997" w:rsidRPr="004856F9" w:rsidRDefault="005B2997" w:rsidP="005B2997">
      <w:pPr>
        <w:pStyle w:val="Tekstprzypisudolnego"/>
        <w:rPr>
          <w:sz w:val="18"/>
          <w:szCs w:val="18"/>
        </w:rPr>
      </w:pPr>
      <w:r w:rsidRPr="004856F9">
        <w:rPr>
          <w:rStyle w:val="Odwoanieprzypisudolnego"/>
          <w:sz w:val="18"/>
          <w:szCs w:val="18"/>
        </w:rPr>
        <w:footnoteRef/>
      </w:r>
      <w:r w:rsidRPr="004856F9">
        <w:rPr>
          <w:sz w:val="18"/>
          <w:szCs w:val="18"/>
        </w:rPr>
        <w:t xml:space="preserve"> Art. 2 pkt 52 i art. 8 ust. 3 dyrektywy EED.</w:t>
      </w:r>
    </w:p>
  </w:footnote>
  <w:footnote w:id="88">
    <w:p w14:paraId="05B93879" w14:textId="30F751EB" w:rsidR="00750D52" w:rsidRPr="004856F9" w:rsidRDefault="00750D52">
      <w:pPr>
        <w:pStyle w:val="Tekstprzypisudolnego"/>
        <w:rPr>
          <w:sz w:val="18"/>
          <w:szCs w:val="18"/>
        </w:rPr>
      </w:pPr>
      <w:r w:rsidRPr="004856F9">
        <w:rPr>
          <w:rStyle w:val="Odwoanieprzypisudolnego"/>
          <w:sz w:val="18"/>
          <w:szCs w:val="18"/>
        </w:rPr>
        <w:footnoteRef/>
      </w:r>
      <w:r w:rsidRPr="004856F9">
        <w:rPr>
          <w:sz w:val="18"/>
          <w:szCs w:val="18"/>
        </w:rPr>
        <w:t xml:space="preserve"> Dotychczasowy cel opierał się na metodyce krajowej. Z tego względu nie należy porównywać nowej </w:t>
      </w:r>
      <w:r w:rsidR="00E0697B" w:rsidRPr="004856F9">
        <w:rPr>
          <w:sz w:val="18"/>
          <w:szCs w:val="18"/>
        </w:rPr>
        <w:t>wartości</w:t>
      </w:r>
      <w:r w:rsidRPr="004856F9">
        <w:rPr>
          <w:sz w:val="18"/>
          <w:szCs w:val="18"/>
        </w:rPr>
        <w:t xml:space="preserve"> z</w:t>
      </w:r>
      <w:r w:rsidR="005A260F" w:rsidRPr="004856F9">
        <w:rPr>
          <w:sz w:val="18"/>
          <w:szCs w:val="18"/>
        </w:rPr>
        <w:t> </w:t>
      </w:r>
      <w:r w:rsidRPr="004856F9">
        <w:rPr>
          <w:sz w:val="18"/>
          <w:szCs w:val="18"/>
        </w:rPr>
        <w:t xml:space="preserve">celem wskazanym w projekcie aKPEiK z 29.02.2024 oraz </w:t>
      </w:r>
      <w:r w:rsidRPr="004856F9">
        <w:rPr>
          <w:i/>
          <w:iCs/>
          <w:sz w:val="18"/>
          <w:szCs w:val="18"/>
        </w:rPr>
        <w:t>Polity</w:t>
      </w:r>
      <w:r w:rsidR="00E0697B" w:rsidRPr="004856F9">
        <w:rPr>
          <w:i/>
          <w:iCs/>
          <w:sz w:val="18"/>
          <w:szCs w:val="18"/>
        </w:rPr>
        <w:t>ce</w:t>
      </w:r>
      <w:r w:rsidRPr="004856F9">
        <w:rPr>
          <w:i/>
          <w:iCs/>
          <w:sz w:val="18"/>
          <w:szCs w:val="18"/>
        </w:rPr>
        <w:t xml:space="preserve"> </w:t>
      </w:r>
      <w:r w:rsidR="00E0697B" w:rsidRPr="004856F9">
        <w:rPr>
          <w:i/>
          <w:iCs/>
          <w:sz w:val="18"/>
          <w:szCs w:val="18"/>
        </w:rPr>
        <w:t>energetycznej Polski</w:t>
      </w:r>
      <w:r w:rsidRPr="004856F9">
        <w:rPr>
          <w:i/>
          <w:iCs/>
          <w:sz w:val="18"/>
          <w:szCs w:val="18"/>
        </w:rPr>
        <w:t xml:space="preserve"> do 2040 r.</w:t>
      </w:r>
      <w:r w:rsidRPr="004856F9">
        <w:rPr>
          <w:sz w:val="18"/>
          <w:szCs w:val="18"/>
        </w:rPr>
        <w:t xml:space="preserve">  </w:t>
      </w:r>
    </w:p>
  </w:footnote>
  <w:footnote w:id="89">
    <w:p w14:paraId="69B2C78F" w14:textId="51D1E4CE" w:rsidR="00520B89" w:rsidRPr="004856F9" w:rsidRDefault="00520B89">
      <w:pPr>
        <w:pStyle w:val="Tekstprzypisudolnego"/>
        <w:rPr>
          <w:sz w:val="18"/>
          <w:szCs w:val="18"/>
        </w:rPr>
      </w:pPr>
      <w:r w:rsidRPr="004856F9">
        <w:rPr>
          <w:rStyle w:val="Odwoanieprzypisudolnego"/>
          <w:sz w:val="18"/>
          <w:szCs w:val="18"/>
        </w:rPr>
        <w:footnoteRef/>
      </w:r>
      <w:r w:rsidRPr="004856F9">
        <w:rPr>
          <w:sz w:val="18"/>
          <w:szCs w:val="18"/>
        </w:rPr>
        <w:t xml:space="preserve"> W następstwie dwóch ustaw o innowacyjności: ustawy z dnia 4 listopada 2016 r. o zmianie niektórych ustaw określających warunki prowadzenia działalności innowacyjnej (Dz. U. poz. 1933) oraz ustawy z dnia 9 listopada 2017 r. o zmianie niektórych ustaw w celu poprawy otoczenia prawnego działalności innowacyjnej (Dz.U. poz. 2201)</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E2FD1EE" w14:textId="512F6EC0" w:rsidR="006A39D0" w:rsidRDefault="006A39D0">
    <w:pPr>
      <w:pStyle w:val="Nagwek"/>
    </w:pPr>
    <w:r>
      <w:t xml:space="preserve"> </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2D32B28" w14:textId="59E544BF" w:rsidR="00CE5AEF" w:rsidRDefault="00CE5AEF">
    <w:pPr>
      <w:pStyle w:val="Nagwek"/>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B12F055" w14:textId="2E24A74D" w:rsidR="003C54AB" w:rsidRDefault="003C54AB">
    <w:pPr>
      <w:pStyle w:val="Nagwek"/>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B91AE94" w14:textId="4F3307B1" w:rsidR="003A4832" w:rsidRPr="00555118" w:rsidRDefault="003A4832" w:rsidP="003A4832">
    <w:pPr>
      <w:pStyle w:val="Nag-dziaania"/>
      <w:rPr>
        <w:color w:val="C00000"/>
      </w:rPr>
    </w:pPr>
    <w:r w:rsidRPr="00555118">
      <w:rPr>
        <w:color w:val="C00000"/>
      </w:rPr>
      <w:t xml:space="preserve">DZIAŁANIA – Wymiar 3. Bezpieczeństwo energetyczne </w:t>
    </w:r>
    <w:r w:rsidRPr="00555118">
      <w:rPr>
        <w:rFonts w:hint="eastAsia"/>
        <w:color w:val="C00000"/>
      </w:rPr>
      <w:t>■</w:t>
    </w:r>
  </w:p>
  <w:p w14:paraId="33153A0B" w14:textId="481766B1" w:rsidR="003C54AB" w:rsidRDefault="003C54AB">
    <w:pPr>
      <w:pStyle w:val="Nagwek"/>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62FD8EA" w14:textId="1527AD00" w:rsidR="00CE5AEF" w:rsidRDefault="00CE5AEF">
    <w:pPr>
      <w:pStyle w:val="Nagwek"/>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24BD66B" w14:textId="67E97292" w:rsidR="003C54AB" w:rsidRDefault="003C54AB">
    <w:pPr>
      <w:pStyle w:val="Nagwek"/>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76E9E57" w14:textId="01DD428E" w:rsidR="00156737" w:rsidRPr="00555118" w:rsidRDefault="00156737" w:rsidP="00156737">
    <w:pPr>
      <w:pStyle w:val="Nag-dziaania"/>
      <w:ind w:right="141"/>
      <w:rPr>
        <w:color w:val="FFC000"/>
      </w:rPr>
    </w:pPr>
    <w:r w:rsidRPr="00555118">
      <w:rPr>
        <w:color w:val="FFC000"/>
      </w:rPr>
      <w:t>DZIAŁANIA – Wymiar 4. Wewnątrzunijny rynek energii i społeczne aspekty transformacji</w:t>
    </w:r>
    <w:r w:rsidRPr="00555118">
      <w:rPr>
        <w:rFonts w:hint="eastAsia"/>
        <w:color w:val="FFC000"/>
      </w:rPr>
      <w:t>■</w:t>
    </w:r>
  </w:p>
  <w:p w14:paraId="1AF98D49" w14:textId="77777777" w:rsidR="009F667D" w:rsidRPr="009F667D" w:rsidRDefault="009F667D" w:rsidP="006404A9">
    <w:pPr>
      <w:pStyle w:val="Nag-dziaania"/>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5A3776A" w14:textId="73BAFF84" w:rsidR="00156737" w:rsidRDefault="00156737">
    <w:pPr>
      <w:pStyle w:val="Nagwek"/>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DEC2E00" w14:textId="0E7B6B3E" w:rsidR="003C54AB" w:rsidRDefault="003C54AB">
    <w:pPr>
      <w:pStyle w:val="Nagwek"/>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006FAF" w14:textId="2FCDE34B" w:rsidR="00156737" w:rsidRPr="00555118" w:rsidRDefault="00156737" w:rsidP="00156737">
    <w:pPr>
      <w:pStyle w:val="Nag-dziaania"/>
      <w:rPr>
        <w:color w:val="808080" w:themeColor="background1" w:themeShade="80"/>
      </w:rPr>
    </w:pPr>
    <w:r w:rsidRPr="00555118">
      <w:rPr>
        <w:color w:val="808080" w:themeColor="background1" w:themeShade="80"/>
      </w:rPr>
      <w:t xml:space="preserve">DZIAŁANIA – Wymiar 5. Badania naukowe, innowacyjność i konkurencyjność </w:t>
    </w:r>
    <w:r w:rsidRPr="00555118">
      <w:rPr>
        <w:rFonts w:hint="eastAsia"/>
        <w:color w:val="808080" w:themeColor="background1" w:themeShade="80"/>
      </w:rPr>
      <w:t>■</w:t>
    </w:r>
  </w:p>
  <w:p w14:paraId="7635C78F" w14:textId="77777777" w:rsidR="00CB6433" w:rsidRPr="00CB6433" w:rsidRDefault="00CB6433" w:rsidP="00CB6433">
    <w:pPr>
      <w:pStyle w:val="Nagwek"/>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6C94C3F" w14:textId="204EEA33" w:rsidR="003C54AB" w:rsidRDefault="003C54AB">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02C20F7" w14:textId="7E1B5352" w:rsidR="003C54AB" w:rsidRDefault="003C54AB">
    <w:pPr>
      <w:pStyle w:val="Nagwek"/>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9D51210" w14:textId="6CBAD0B0" w:rsidR="003C54AB" w:rsidRDefault="003C54AB">
    <w:pPr>
      <w:pStyle w:val="Nagwek"/>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EF83A65" w14:textId="0DF4D636" w:rsidR="00156737" w:rsidRDefault="002F6F65" w:rsidP="00156737">
    <w:pPr>
      <w:pStyle w:val="Nagwek"/>
      <w:jc w:val="right"/>
    </w:pPr>
    <w:r>
      <w:t>P</w:t>
    </w:r>
    <w:r w:rsidR="00156737">
      <w:t xml:space="preserve">rojekt aKPEiK </w:t>
    </w:r>
    <w:r w:rsidR="00156737" w:rsidRPr="008B282F">
      <w:rPr>
        <w:i/>
        <w:iCs/>
      </w:rPr>
      <w:t xml:space="preserve">– wersja </w:t>
    </w:r>
    <w:r>
      <w:rPr>
        <w:i/>
        <w:iCs/>
      </w:rPr>
      <w:t>z 09.2024</w:t>
    </w:r>
  </w:p>
  <w:p w14:paraId="5DEE79C1" w14:textId="77777777" w:rsidR="00156737" w:rsidRPr="00156737" w:rsidRDefault="00156737" w:rsidP="00156737">
    <w:pPr>
      <w:pStyle w:val="Nagwek"/>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28C61BF" w14:textId="08958FD0" w:rsidR="003C54AB" w:rsidRDefault="003C54AB">
    <w:pPr>
      <w:pStyle w:val="Nagwek"/>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E9B455" w14:textId="14D13162" w:rsidR="008B282F" w:rsidRDefault="008B282F" w:rsidP="008B282F">
    <w:pPr>
      <w:pStyle w:val="Nagwek"/>
      <w:jc w:val="right"/>
    </w:pPr>
    <w:r>
      <w:t xml:space="preserve">projekt aKPEiK </w:t>
    </w:r>
    <w:r w:rsidRPr="008B282F">
      <w:rPr>
        <w:i/>
        <w:iCs/>
      </w:rPr>
      <w:t xml:space="preserve">– wersja </w:t>
    </w:r>
    <w:r w:rsidR="00373114">
      <w:rPr>
        <w:i/>
        <w:iCs/>
      </w:rPr>
      <w:t>10</w:t>
    </w:r>
    <w:r w:rsidR="00FF362D">
      <w:rPr>
        <w:i/>
        <w:iCs/>
      </w:rPr>
      <w:t>.2024</w:t>
    </w:r>
    <w:r>
      <w:rPr>
        <w:i/>
        <w:iC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4AB67FD" w14:textId="23B8A840" w:rsidR="003C54AB" w:rsidRDefault="003C54AB">
    <w:pPr>
      <w:pStyle w:val="Nagwek"/>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000AD65" w14:textId="270D6AAC" w:rsidR="003C54AB" w:rsidRDefault="003C54AB">
    <w:pPr>
      <w:pStyle w:val="Nagwek"/>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3F45DDD" w14:textId="48C21D27" w:rsidR="00CE5AEF" w:rsidRPr="00555118" w:rsidRDefault="00CE5AEF" w:rsidP="00CE5AEF">
    <w:pPr>
      <w:pStyle w:val="Nag-dziaania"/>
      <w:rPr>
        <w:color w:val="70AD47" w:themeColor="accent6"/>
      </w:rPr>
    </w:pPr>
    <w:r w:rsidRPr="00555118">
      <w:rPr>
        <w:color w:val="70AD47" w:themeColor="accent6"/>
      </w:rPr>
      <w:t xml:space="preserve">DZIAŁANIA – Wymiar 1. Obniżenie emisyjności </w:t>
    </w:r>
    <w:r w:rsidRPr="00555118">
      <w:rPr>
        <w:rFonts w:ascii="MS Gothic" w:hAnsi="MS Gothic" w:hint="eastAsia"/>
        <w:color w:val="70AD47" w:themeColor="accent6"/>
      </w:rPr>
      <w:t>■</w:t>
    </w:r>
  </w:p>
  <w:p w14:paraId="5D01FAF7" w14:textId="6C1C6759" w:rsidR="009F667D" w:rsidRPr="00CE5AEF" w:rsidRDefault="009F667D" w:rsidP="00CE5AEF">
    <w:pPr>
      <w:pStyle w:val="Nagwek"/>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C6281BA" w14:textId="52552230" w:rsidR="00CE5AEF" w:rsidRDefault="00CE5AEF">
    <w:pPr>
      <w:pStyle w:val="Nagwek"/>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F63C18A" w14:textId="4B8B3C96" w:rsidR="003C54AB" w:rsidRDefault="003C54AB">
    <w:pPr>
      <w:pStyle w:val="Nagwek"/>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007909B" w14:textId="37A0213B" w:rsidR="00CE5AEF" w:rsidRPr="00555118" w:rsidRDefault="00CE5AEF" w:rsidP="00CE5AEF">
    <w:pPr>
      <w:pStyle w:val="Nag-dziaania"/>
      <w:rPr>
        <w:color w:val="C00000"/>
      </w:rPr>
    </w:pPr>
    <w:r w:rsidRPr="003A4832">
      <w:rPr>
        <w:color w:val="4472C4" w:themeColor="accent1"/>
      </w:rPr>
      <w:t xml:space="preserve">DZIAŁANIA – Wymiar </w:t>
    </w:r>
    <w:r w:rsidR="003A4832" w:rsidRPr="003A4832">
      <w:rPr>
        <w:color w:val="4472C4" w:themeColor="accent1"/>
      </w:rPr>
      <w:t>2</w:t>
    </w:r>
    <w:r w:rsidRPr="003A4832">
      <w:rPr>
        <w:color w:val="4472C4" w:themeColor="accent1"/>
      </w:rPr>
      <w:t xml:space="preserve">. </w:t>
    </w:r>
    <w:r w:rsidR="003A4832" w:rsidRPr="003A4832">
      <w:rPr>
        <w:color w:val="4472C4" w:themeColor="accent1"/>
      </w:rPr>
      <w:t xml:space="preserve">Efektywność </w:t>
    </w:r>
    <w:r w:rsidRPr="003A4832">
      <w:rPr>
        <w:color w:val="4472C4" w:themeColor="accent1"/>
      </w:rPr>
      <w:t>energetyczn</w:t>
    </w:r>
    <w:r w:rsidR="003A4832" w:rsidRPr="003A4832">
      <w:rPr>
        <w:color w:val="4472C4" w:themeColor="accent1"/>
      </w:rPr>
      <w:t>a</w:t>
    </w:r>
    <w:r w:rsidRPr="003A4832">
      <w:rPr>
        <w:color w:val="4472C4" w:themeColor="accent1"/>
      </w:rPr>
      <w:t xml:space="preserve"> </w:t>
    </w:r>
    <w:r w:rsidRPr="003A4832">
      <w:rPr>
        <w:rFonts w:hint="eastAsia"/>
        <w:color w:val="4472C4" w:themeColor="accent1"/>
      </w:rPr>
      <w:t>■</w:t>
    </w:r>
  </w:p>
  <w:p w14:paraId="18217D25" w14:textId="77777777" w:rsidR="00CE5AEF" w:rsidRPr="00CE5AEF" w:rsidRDefault="00CE5AEF" w:rsidP="00CE5AEF">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14245B"/>
    <w:multiLevelType w:val="hybridMultilevel"/>
    <w:tmpl w:val="D0C23C8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011829A0"/>
    <w:multiLevelType w:val="hybridMultilevel"/>
    <w:tmpl w:val="3542B2E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0">
    <w:nsid w:val="02397FDB"/>
    <w:multiLevelType w:val="hybridMultilevel"/>
    <w:tmpl w:val="91F00C70"/>
    <w:lvl w:ilvl="0" w:tplc="6A222904">
      <w:start w:val="1"/>
      <w:numFmt w:val="bullet"/>
      <w:lvlText w:val=""/>
      <w:lvlJc w:val="left"/>
      <w:pPr>
        <w:ind w:left="360" w:hanging="360"/>
      </w:pPr>
      <w:rPr>
        <w:rFonts w:ascii="Symbol" w:hAnsi="Symbol" w:hint="default"/>
      </w:rPr>
    </w:lvl>
    <w:lvl w:ilvl="1" w:tplc="C610F9FE" w:tentative="1">
      <w:start w:val="1"/>
      <w:numFmt w:val="bullet"/>
      <w:lvlText w:val="o"/>
      <w:lvlJc w:val="left"/>
      <w:pPr>
        <w:ind w:left="1080" w:hanging="360"/>
      </w:pPr>
      <w:rPr>
        <w:rFonts w:ascii="Courier New" w:hAnsi="Courier New" w:cs="Courier New" w:hint="default"/>
      </w:rPr>
    </w:lvl>
    <w:lvl w:ilvl="2" w:tplc="25B4EAAE" w:tentative="1">
      <w:start w:val="1"/>
      <w:numFmt w:val="bullet"/>
      <w:lvlText w:val=""/>
      <w:lvlJc w:val="left"/>
      <w:pPr>
        <w:ind w:left="1800" w:hanging="360"/>
      </w:pPr>
      <w:rPr>
        <w:rFonts w:ascii="Wingdings" w:hAnsi="Wingdings" w:hint="default"/>
      </w:rPr>
    </w:lvl>
    <w:lvl w:ilvl="3" w:tplc="A36022DA" w:tentative="1">
      <w:start w:val="1"/>
      <w:numFmt w:val="bullet"/>
      <w:lvlText w:val=""/>
      <w:lvlJc w:val="left"/>
      <w:pPr>
        <w:ind w:left="2520" w:hanging="360"/>
      </w:pPr>
      <w:rPr>
        <w:rFonts w:ascii="Symbol" w:hAnsi="Symbol" w:hint="default"/>
      </w:rPr>
    </w:lvl>
    <w:lvl w:ilvl="4" w:tplc="5E32FE46" w:tentative="1">
      <w:start w:val="1"/>
      <w:numFmt w:val="bullet"/>
      <w:lvlText w:val="o"/>
      <w:lvlJc w:val="left"/>
      <w:pPr>
        <w:ind w:left="3240" w:hanging="360"/>
      </w:pPr>
      <w:rPr>
        <w:rFonts w:ascii="Courier New" w:hAnsi="Courier New" w:cs="Courier New" w:hint="default"/>
      </w:rPr>
    </w:lvl>
    <w:lvl w:ilvl="5" w:tplc="65723BA4" w:tentative="1">
      <w:start w:val="1"/>
      <w:numFmt w:val="bullet"/>
      <w:lvlText w:val=""/>
      <w:lvlJc w:val="left"/>
      <w:pPr>
        <w:ind w:left="3960" w:hanging="360"/>
      </w:pPr>
      <w:rPr>
        <w:rFonts w:ascii="Wingdings" w:hAnsi="Wingdings" w:hint="default"/>
      </w:rPr>
    </w:lvl>
    <w:lvl w:ilvl="6" w:tplc="56F2D5EA" w:tentative="1">
      <w:start w:val="1"/>
      <w:numFmt w:val="bullet"/>
      <w:lvlText w:val=""/>
      <w:lvlJc w:val="left"/>
      <w:pPr>
        <w:ind w:left="4680" w:hanging="360"/>
      </w:pPr>
      <w:rPr>
        <w:rFonts w:ascii="Symbol" w:hAnsi="Symbol" w:hint="default"/>
      </w:rPr>
    </w:lvl>
    <w:lvl w:ilvl="7" w:tplc="1FBCE1D2" w:tentative="1">
      <w:start w:val="1"/>
      <w:numFmt w:val="bullet"/>
      <w:lvlText w:val="o"/>
      <w:lvlJc w:val="left"/>
      <w:pPr>
        <w:ind w:left="5400" w:hanging="360"/>
      </w:pPr>
      <w:rPr>
        <w:rFonts w:ascii="Courier New" w:hAnsi="Courier New" w:cs="Courier New" w:hint="default"/>
      </w:rPr>
    </w:lvl>
    <w:lvl w:ilvl="8" w:tplc="ECE6F7B4" w:tentative="1">
      <w:start w:val="1"/>
      <w:numFmt w:val="bullet"/>
      <w:lvlText w:val=""/>
      <w:lvlJc w:val="left"/>
      <w:pPr>
        <w:ind w:left="6120" w:hanging="360"/>
      </w:pPr>
      <w:rPr>
        <w:rFonts w:ascii="Wingdings" w:hAnsi="Wingdings" w:hint="default"/>
      </w:rPr>
    </w:lvl>
  </w:abstractNum>
  <w:abstractNum w:abstractNumId="3" w15:restartNumberingAfterBreak="0">
    <w:nsid w:val="025B1DF7"/>
    <w:multiLevelType w:val="hybridMultilevel"/>
    <w:tmpl w:val="B82C252A"/>
    <w:lvl w:ilvl="0" w:tplc="229E5894">
      <w:numFmt w:val="bullet"/>
      <w:lvlText w:val=""/>
      <w:lvlJc w:val="left"/>
      <w:pPr>
        <w:ind w:left="1080" w:hanging="360"/>
      </w:pPr>
      <w:rPr>
        <w:rFonts w:ascii="Symbol" w:eastAsia="Aptos" w:hAnsi="Symbol" w:cs="Times New Roman" w:hint="default"/>
      </w:rPr>
    </w:lvl>
    <w:lvl w:ilvl="1" w:tplc="04150003">
      <w:start w:val="1"/>
      <w:numFmt w:val="bullet"/>
      <w:lvlText w:val="o"/>
      <w:lvlJc w:val="left"/>
      <w:pPr>
        <w:ind w:left="1800" w:hanging="360"/>
      </w:pPr>
      <w:rPr>
        <w:rFonts w:ascii="Courier New" w:hAnsi="Courier New" w:cs="Courier New" w:hint="default"/>
      </w:rPr>
    </w:lvl>
    <w:lvl w:ilvl="2" w:tplc="04150005">
      <w:start w:val="1"/>
      <w:numFmt w:val="bullet"/>
      <w:lvlText w:val=""/>
      <w:lvlJc w:val="left"/>
      <w:pPr>
        <w:ind w:left="2520" w:hanging="360"/>
      </w:pPr>
      <w:rPr>
        <w:rFonts w:ascii="Wingdings" w:hAnsi="Wingdings" w:hint="default"/>
      </w:rPr>
    </w:lvl>
    <w:lvl w:ilvl="3" w:tplc="04150001">
      <w:start w:val="1"/>
      <w:numFmt w:val="bullet"/>
      <w:lvlText w:val=""/>
      <w:lvlJc w:val="left"/>
      <w:pPr>
        <w:ind w:left="3240" w:hanging="360"/>
      </w:pPr>
      <w:rPr>
        <w:rFonts w:ascii="Symbol" w:hAnsi="Symbol" w:hint="default"/>
      </w:rPr>
    </w:lvl>
    <w:lvl w:ilvl="4" w:tplc="04150003">
      <w:start w:val="1"/>
      <w:numFmt w:val="bullet"/>
      <w:lvlText w:val="o"/>
      <w:lvlJc w:val="left"/>
      <w:pPr>
        <w:ind w:left="3960" w:hanging="360"/>
      </w:pPr>
      <w:rPr>
        <w:rFonts w:ascii="Courier New" w:hAnsi="Courier New" w:cs="Courier New" w:hint="default"/>
      </w:rPr>
    </w:lvl>
    <w:lvl w:ilvl="5" w:tplc="04150005">
      <w:start w:val="1"/>
      <w:numFmt w:val="bullet"/>
      <w:lvlText w:val=""/>
      <w:lvlJc w:val="left"/>
      <w:pPr>
        <w:ind w:left="4680" w:hanging="360"/>
      </w:pPr>
      <w:rPr>
        <w:rFonts w:ascii="Wingdings" w:hAnsi="Wingdings" w:hint="default"/>
      </w:rPr>
    </w:lvl>
    <w:lvl w:ilvl="6" w:tplc="04150001">
      <w:start w:val="1"/>
      <w:numFmt w:val="bullet"/>
      <w:lvlText w:val=""/>
      <w:lvlJc w:val="left"/>
      <w:pPr>
        <w:ind w:left="5400" w:hanging="360"/>
      </w:pPr>
      <w:rPr>
        <w:rFonts w:ascii="Symbol" w:hAnsi="Symbol" w:hint="default"/>
      </w:rPr>
    </w:lvl>
    <w:lvl w:ilvl="7" w:tplc="04150003">
      <w:start w:val="1"/>
      <w:numFmt w:val="bullet"/>
      <w:lvlText w:val="o"/>
      <w:lvlJc w:val="left"/>
      <w:pPr>
        <w:ind w:left="6120" w:hanging="360"/>
      </w:pPr>
      <w:rPr>
        <w:rFonts w:ascii="Courier New" w:hAnsi="Courier New" w:cs="Courier New" w:hint="default"/>
      </w:rPr>
    </w:lvl>
    <w:lvl w:ilvl="8" w:tplc="04150005">
      <w:start w:val="1"/>
      <w:numFmt w:val="bullet"/>
      <w:lvlText w:val=""/>
      <w:lvlJc w:val="left"/>
      <w:pPr>
        <w:ind w:left="6840" w:hanging="360"/>
      </w:pPr>
      <w:rPr>
        <w:rFonts w:ascii="Wingdings" w:hAnsi="Wingdings" w:hint="default"/>
      </w:rPr>
    </w:lvl>
  </w:abstractNum>
  <w:abstractNum w:abstractNumId="4" w15:restartNumberingAfterBreak="0">
    <w:nsid w:val="04DB0259"/>
    <w:multiLevelType w:val="multilevel"/>
    <w:tmpl w:val="84EA6362"/>
    <w:lvl w:ilvl="0">
      <w:start w:val="1"/>
      <w:numFmt w:val="upperRoman"/>
      <w:pStyle w:val="Nagwek1"/>
      <w:lvlText w:val="%1."/>
      <w:lvlJc w:val="left"/>
      <w:pPr>
        <w:ind w:left="0" w:firstLine="0"/>
      </w:pPr>
      <w:rPr>
        <w:rFonts w:ascii="Lato" w:hAnsi="Lato" w:hint="default"/>
        <w:sz w:val="44"/>
        <w:szCs w:val="24"/>
      </w:rPr>
    </w:lvl>
    <w:lvl w:ilvl="1">
      <w:start w:val="1"/>
      <w:numFmt w:val="decimal"/>
      <w:pStyle w:val="Nagwek2"/>
      <w:suff w:val="space"/>
      <w:lvlText w:val="%2."/>
      <w:lvlJc w:val="left"/>
      <w:pPr>
        <w:ind w:left="567" w:hanging="567"/>
      </w:pPr>
      <w:rPr>
        <w:rFonts w:hint="default"/>
        <w:color w:val="FFFFFF" w:themeColor="background1"/>
      </w:rPr>
    </w:lvl>
    <w:lvl w:ilvl="2">
      <w:start w:val="1"/>
      <w:numFmt w:val="decimal"/>
      <w:pStyle w:val="Nagwek3"/>
      <w:lvlText w:val="Obszar %2.%3."/>
      <w:lvlJc w:val="left"/>
      <w:pPr>
        <w:ind w:left="567" w:hanging="567"/>
      </w:pPr>
      <w:rPr>
        <w:rFonts w:hint="default"/>
      </w:rPr>
    </w:lvl>
    <w:lvl w:ilvl="3">
      <w:start w:val="1"/>
      <w:numFmt w:val="decimal"/>
      <w:pStyle w:val="Nagwek4"/>
      <w:lvlText w:val="Cel. %2.%3.%4."/>
      <w:lvlJc w:val="left"/>
      <w:pPr>
        <w:ind w:left="4406" w:hanging="862"/>
      </w:pPr>
      <w:rPr>
        <w:rFonts w:hint="default"/>
      </w:rPr>
    </w:lvl>
    <w:lvl w:ilvl="4">
      <w:start w:val="1"/>
      <w:numFmt w:val="decimal"/>
      <w:pStyle w:val="Nagwek5"/>
      <w:lvlText w:val="%2.%3.%4.%5."/>
      <w:lvlJc w:val="left"/>
      <w:pPr>
        <w:ind w:left="1009" w:hanging="1009"/>
      </w:pPr>
      <w:rPr>
        <w:rFonts w:hint="default"/>
      </w:rPr>
    </w:lvl>
    <w:lvl w:ilvl="5">
      <w:start w:val="1"/>
      <w:numFmt w:val="none"/>
      <w:pStyle w:val="Nagwek6"/>
      <w:lvlText w:val=""/>
      <w:lvlJc w:val="left"/>
      <w:pPr>
        <w:ind w:left="0" w:firstLine="0"/>
      </w:pPr>
      <w:rPr>
        <w:rFonts w:hint="default"/>
      </w:rPr>
    </w:lvl>
    <w:lvl w:ilvl="6">
      <w:start w:val="1"/>
      <w:numFmt w:val="decimal"/>
      <w:pStyle w:val="Nagwek7"/>
      <w:lvlText w:val="%2.%3.%4.%5.%6.%7"/>
      <w:lvlJc w:val="left"/>
      <w:pPr>
        <w:ind w:left="1296" w:hanging="1296"/>
      </w:pPr>
      <w:rPr>
        <w:rFonts w:hint="default"/>
      </w:rPr>
    </w:lvl>
    <w:lvl w:ilvl="7">
      <w:start w:val="1"/>
      <w:numFmt w:val="decimal"/>
      <w:pStyle w:val="Nagwek8"/>
      <w:lvlText w:val="%2.%3.%4.%5.%6.%7.%8"/>
      <w:lvlJc w:val="left"/>
      <w:pPr>
        <w:ind w:left="1440" w:hanging="1440"/>
      </w:pPr>
      <w:rPr>
        <w:rFonts w:hint="default"/>
      </w:rPr>
    </w:lvl>
    <w:lvl w:ilvl="8">
      <w:start w:val="1"/>
      <w:numFmt w:val="decimal"/>
      <w:pStyle w:val="Nagwek9"/>
      <w:lvlText w:val="%2.%3.%4.%5.%6.%7.%8.%9"/>
      <w:lvlJc w:val="left"/>
      <w:pPr>
        <w:ind w:left="1584" w:hanging="1584"/>
      </w:pPr>
      <w:rPr>
        <w:rFonts w:hint="default"/>
      </w:rPr>
    </w:lvl>
  </w:abstractNum>
  <w:abstractNum w:abstractNumId="5" w15:restartNumberingAfterBreak="0">
    <w:nsid w:val="06436D37"/>
    <w:multiLevelType w:val="hybridMultilevel"/>
    <w:tmpl w:val="41C45E68"/>
    <w:lvl w:ilvl="0" w:tplc="46D48120">
      <w:numFmt w:val="bullet"/>
      <w:lvlText w:val="•"/>
      <w:lvlJc w:val="left"/>
      <w:pPr>
        <w:ind w:left="1065" w:hanging="705"/>
      </w:pPr>
      <w:rPr>
        <w:rFonts w:ascii="Lato" w:eastAsiaTheme="minorHAnsi" w:hAnsi="Lato" w:cstheme="minorBid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0A4C380A"/>
    <w:multiLevelType w:val="hybridMultilevel"/>
    <w:tmpl w:val="413E7AC2"/>
    <w:lvl w:ilvl="0" w:tplc="4E24387E">
      <w:start w:val="3"/>
      <w:numFmt w:val="upperLetter"/>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0ADD7AD4"/>
    <w:multiLevelType w:val="hybridMultilevel"/>
    <w:tmpl w:val="1E4836E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0EC12C30"/>
    <w:multiLevelType w:val="hybridMultilevel"/>
    <w:tmpl w:val="705848EA"/>
    <w:lvl w:ilvl="0" w:tplc="04150003">
      <w:start w:val="1"/>
      <w:numFmt w:val="bullet"/>
      <w:lvlText w:val="o"/>
      <w:lvlJc w:val="left"/>
      <w:pPr>
        <w:ind w:left="72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19383D67"/>
    <w:multiLevelType w:val="hybridMultilevel"/>
    <w:tmpl w:val="CE3C73C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1EE74A4C"/>
    <w:multiLevelType w:val="hybridMultilevel"/>
    <w:tmpl w:val="EF78917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210506B3"/>
    <w:multiLevelType w:val="hybridMultilevel"/>
    <w:tmpl w:val="01BCFAE8"/>
    <w:lvl w:ilvl="0" w:tplc="FFFFFFFF">
      <w:start w:val="1"/>
      <w:numFmt w:val="decimal"/>
      <w:lvlText w:val="%1."/>
      <w:lvlJc w:val="left"/>
      <w:pPr>
        <w:ind w:left="360" w:hanging="360"/>
      </w:pPr>
    </w:lvl>
    <w:lvl w:ilvl="1" w:tplc="0BB21638">
      <w:start w:val="1"/>
      <w:numFmt w:val="bullet"/>
      <w:lvlText w:val="‒"/>
      <w:lvlJc w:val="left"/>
      <w:pPr>
        <w:ind w:left="1080" w:hanging="360"/>
      </w:pPr>
      <w:rPr>
        <w:rFonts w:ascii="Times New Roman" w:hAnsi="Times New Roman" w:cs="Times New Roman" w:hint="default"/>
      </w:r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2" w15:restartNumberingAfterBreak="0">
    <w:nsid w:val="220E3E69"/>
    <w:multiLevelType w:val="hybridMultilevel"/>
    <w:tmpl w:val="5204BF1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23373BF8"/>
    <w:multiLevelType w:val="hybridMultilevel"/>
    <w:tmpl w:val="B4DCD6AE"/>
    <w:lvl w:ilvl="0" w:tplc="46D48120">
      <w:numFmt w:val="bullet"/>
      <w:lvlText w:val="•"/>
      <w:lvlJc w:val="left"/>
      <w:pPr>
        <w:ind w:left="1065" w:hanging="705"/>
      </w:pPr>
      <w:rPr>
        <w:rFonts w:ascii="Lato" w:eastAsiaTheme="minorHAnsi" w:hAnsi="Lato" w:cstheme="minorBid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26C769F5"/>
    <w:multiLevelType w:val="hybridMultilevel"/>
    <w:tmpl w:val="3208BBE0"/>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27C15623"/>
    <w:multiLevelType w:val="hybridMultilevel"/>
    <w:tmpl w:val="6BA40456"/>
    <w:lvl w:ilvl="0" w:tplc="6B10C9F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2BD53679"/>
    <w:multiLevelType w:val="hybridMultilevel"/>
    <w:tmpl w:val="153637E4"/>
    <w:lvl w:ilvl="0" w:tplc="7AF43FEC">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2C76662B"/>
    <w:multiLevelType w:val="hybridMultilevel"/>
    <w:tmpl w:val="389047B0"/>
    <w:lvl w:ilvl="0" w:tplc="04150003">
      <w:start w:val="1"/>
      <w:numFmt w:val="bullet"/>
      <w:lvlText w:val="o"/>
      <w:lvlJc w:val="left"/>
      <w:pPr>
        <w:ind w:left="72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2F2423F2"/>
    <w:multiLevelType w:val="hybridMultilevel"/>
    <w:tmpl w:val="6D98C1B6"/>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2F7D7F2D"/>
    <w:multiLevelType w:val="hybridMultilevel"/>
    <w:tmpl w:val="82764BB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31500116"/>
    <w:multiLevelType w:val="hybridMultilevel"/>
    <w:tmpl w:val="4E545214"/>
    <w:lvl w:ilvl="0" w:tplc="46D48120">
      <w:numFmt w:val="bullet"/>
      <w:lvlText w:val="•"/>
      <w:lvlJc w:val="left"/>
      <w:pPr>
        <w:ind w:left="1065" w:hanging="705"/>
      </w:pPr>
      <w:rPr>
        <w:rFonts w:ascii="Lato" w:eastAsiaTheme="minorHAnsi" w:hAnsi="Lato" w:cstheme="minorBid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3150746A"/>
    <w:multiLevelType w:val="hybridMultilevel"/>
    <w:tmpl w:val="AC583A10"/>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2" w15:restartNumberingAfterBreak="0">
    <w:nsid w:val="33B15744"/>
    <w:multiLevelType w:val="hybridMultilevel"/>
    <w:tmpl w:val="17A09DC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34530364"/>
    <w:multiLevelType w:val="hybridMultilevel"/>
    <w:tmpl w:val="9BFECEA4"/>
    <w:lvl w:ilvl="0" w:tplc="5A3E933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371D1844"/>
    <w:multiLevelType w:val="hybridMultilevel"/>
    <w:tmpl w:val="3698CFC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15:restartNumberingAfterBreak="0">
    <w:nsid w:val="38BD64B6"/>
    <w:multiLevelType w:val="hybridMultilevel"/>
    <w:tmpl w:val="811EE394"/>
    <w:lvl w:ilvl="0" w:tplc="0CE05074">
      <w:start w:val="1"/>
      <w:numFmt w:val="upperLetter"/>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15:restartNumberingAfterBreak="0">
    <w:nsid w:val="3B5152E4"/>
    <w:multiLevelType w:val="hybridMultilevel"/>
    <w:tmpl w:val="86CCACD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3C1B254A"/>
    <w:multiLevelType w:val="hybridMultilevel"/>
    <w:tmpl w:val="DEF26BD8"/>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3C3B64FA"/>
    <w:multiLevelType w:val="hybridMultilevel"/>
    <w:tmpl w:val="1B70D664"/>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9" w15:restartNumberingAfterBreak="0">
    <w:nsid w:val="3D03685D"/>
    <w:multiLevelType w:val="hybridMultilevel"/>
    <w:tmpl w:val="2DD6F01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3DDB4CCE"/>
    <w:multiLevelType w:val="hybridMultilevel"/>
    <w:tmpl w:val="5D20EC6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15:restartNumberingAfterBreak="0">
    <w:nsid w:val="426736D4"/>
    <w:multiLevelType w:val="hybridMultilevel"/>
    <w:tmpl w:val="F3D61D66"/>
    <w:lvl w:ilvl="0" w:tplc="04150003">
      <w:start w:val="1"/>
      <w:numFmt w:val="bullet"/>
      <w:lvlText w:val="o"/>
      <w:lvlJc w:val="left"/>
      <w:pPr>
        <w:ind w:left="720" w:hanging="360"/>
      </w:pPr>
      <w:rPr>
        <w:rFonts w:ascii="Courier New" w:hAnsi="Courier New" w:cs="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15:restartNumberingAfterBreak="0">
    <w:nsid w:val="428A7932"/>
    <w:multiLevelType w:val="hybridMultilevel"/>
    <w:tmpl w:val="75861A2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15:restartNumberingAfterBreak="0">
    <w:nsid w:val="45F643DE"/>
    <w:multiLevelType w:val="hybridMultilevel"/>
    <w:tmpl w:val="A216CDF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15:restartNumberingAfterBreak="0">
    <w:nsid w:val="4805198E"/>
    <w:multiLevelType w:val="hybridMultilevel"/>
    <w:tmpl w:val="C742A1EC"/>
    <w:lvl w:ilvl="0" w:tplc="0415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15:restartNumberingAfterBreak="0">
    <w:nsid w:val="488C583D"/>
    <w:multiLevelType w:val="hybridMultilevel"/>
    <w:tmpl w:val="EAC4E2A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15:restartNumberingAfterBreak="0">
    <w:nsid w:val="492E25AE"/>
    <w:multiLevelType w:val="hybridMultilevel"/>
    <w:tmpl w:val="1E4836E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49B6171D"/>
    <w:multiLevelType w:val="hybridMultilevel"/>
    <w:tmpl w:val="BE74E2BA"/>
    <w:lvl w:ilvl="0" w:tplc="EE420770">
      <w:start w:val="1"/>
      <w:numFmt w:val="bullet"/>
      <w:lvlText w:val="•"/>
      <w:lvlJc w:val="left"/>
      <w:pPr>
        <w:ind w:left="720" w:hanging="360"/>
      </w:pPr>
      <w:rPr>
        <w:rFonts w:ascii="Arial" w:hAnsi="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15:restartNumberingAfterBreak="0">
    <w:nsid w:val="4C41189E"/>
    <w:multiLevelType w:val="hybridMultilevel"/>
    <w:tmpl w:val="5B32EB34"/>
    <w:lvl w:ilvl="0" w:tplc="04150001">
      <w:start w:val="1"/>
      <w:numFmt w:val="bullet"/>
      <w:lvlText w:val=""/>
      <w:lvlJc w:val="left"/>
      <w:pPr>
        <w:ind w:left="765" w:hanging="360"/>
      </w:pPr>
      <w:rPr>
        <w:rFonts w:ascii="Symbol" w:hAnsi="Symbol" w:hint="default"/>
      </w:rPr>
    </w:lvl>
    <w:lvl w:ilvl="1" w:tplc="04150003" w:tentative="1">
      <w:start w:val="1"/>
      <w:numFmt w:val="bullet"/>
      <w:lvlText w:val="o"/>
      <w:lvlJc w:val="left"/>
      <w:pPr>
        <w:ind w:left="1485" w:hanging="360"/>
      </w:pPr>
      <w:rPr>
        <w:rFonts w:ascii="Courier New" w:hAnsi="Courier New" w:cs="Courier New" w:hint="default"/>
      </w:rPr>
    </w:lvl>
    <w:lvl w:ilvl="2" w:tplc="04150005" w:tentative="1">
      <w:start w:val="1"/>
      <w:numFmt w:val="bullet"/>
      <w:lvlText w:val=""/>
      <w:lvlJc w:val="left"/>
      <w:pPr>
        <w:ind w:left="2205" w:hanging="360"/>
      </w:pPr>
      <w:rPr>
        <w:rFonts w:ascii="Wingdings" w:hAnsi="Wingdings" w:hint="default"/>
      </w:rPr>
    </w:lvl>
    <w:lvl w:ilvl="3" w:tplc="04150001" w:tentative="1">
      <w:start w:val="1"/>
      <w:numFmt w:val="bullet"/>
      <w:lvlText w:val=""/>
      <w:lvlJc w:val="left"/>
      <w:pPr>
        <w:ind w:left="2925" w:hanging="360"/>
      </w:pPr>
      <w:rPr>
        <w:rFonts w:ascii="Symbol" w:hAnsi="Symbol" w:hint="default"/>
      </w:rPr>
    </w:lvl>
    <w:lvl w:ilvl="4" w:tplc="04150003" w:tentative="1">
      <w:start w:val="1"/>
      <w:numFmt w:val="bullet"/>
      <w:lvlText w:val="o"/>
      <w:lvlJc w:val="left"/>
      <w:pPr>
        <w:ind w:left="3645" w:hanging="360"/>
      </w:pPr>
      <w:rPr>
        <w:rFonts w:ascii="Courier New" w:hAnsi="Courier New" w:cs="Courier New" w:hint="default"/>
      </w:rPr>
    </w:lvl>
    <w:lvl w:ilvl="5" w:tplc="04150005" w:tentative="1">
      <w:start w:val="1"/>
      <w:numFmt w:val="bullet"/>
      <w:lvlText w:val=""/>
      <w:lvlJc w:val="left"/>
      <w:pPr>
        <w:ind w:left="4365" w:hanging="360"/>
      </w:pPr>
      <w:rPr>
        <w:rFonts w:ascii="Wingdings" w:hAnsi="Wingdings" w:hint="default"/>
      </w:rPr>
    </w:lvl>
    <w:lvl w:ilvl="6" w:tplc="04150001" w:tentative="1">
      <w:start w:val="1"/>
      <w:numFmt w:val="bullet"/>
      <w:lvlText w:val=""/>
      <w:lvlJc w:val="left"/>
      <w:pPr>
        <w:ind w:left="5085" w:hanging="360"/>
      </w:pPr>
      <w:rPr>
        <w:rFonts w:ascii="Symbol" w:hAnsi="Symbol" w:hint="default"/>
      </w:rPr>
    </w:lvl>
    <w:lvl w:ilvl="7" w:tplc="04150003" w:tentative="1">
      <w:start w:val="1"/>
      <w:numFmt w:val="bullet"/>
      <w:lvlText w:val="o"/>
      <w:lvlJc w:val="left"/>
      <w:pPr>
        <w:ind w:left="5805" w:hanging="360"/>
      </w:pPr>
      <w:rPr>
        <w:rFonts w:ascii="Courier New" w:hAnsi="Courier New" w:cs="Courier New" w:hint="default"/>
      </w:rPr>
    </w:lvl>
    <w:lvl w:ilvl="8" w:tplc="04150005" w:tentative="1">
      <w:start w:val="1"/>
      <w:numFmt w:val="bullet"/>
      <w:lvlText w:val=""/>
      <w:lvlJc w:val="left"/>
      <w:pPr>
        <w:ind w:left="6525" w:hanging="360"/>
      </w:pPr>
      <w:rPr>
        <w:rFonts w:ascii="Wingdings" w:hAnsi="Wingdings" w:hint="default"/>
      </w:rPr>
    </w:lvl>
  </w:abstractNum>
  <w:abstractNum w:abstractNumId="39" w15:restartNumberingAfterBreak="0">
    <w:nsid w:val="4D963E16"/>
    <w:multiLevelType w:val="hybridMultilevel"/>
    <w:tmpl w:val="10724F60"/>
    <w:lvl w:ilvl="0" w:tplc="04150013">
      <w:start w:val="1"/>
      <w:numFmt w:val="upperRoman"/>
      <w:lvlText w:val="%1."/>
      <w:lvlJc w:val="righ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 w15:restartNumberingAfterBreak="0">
    <w:nsid w:val="502F6BC4"/>
    <w:multiLevelType w:val="hybridMultilevel"/>
    <w:tmpl w:val="8548BF3E"/>
    <w:lvl w:ilvl="0" w:tplc="04150003">
      <w:start w:val="1"/>
      <w:numFmt w:val="bullet"/>
      <w:lvlText w:val="o"/>
      <w:lvlJc w:val="left"/>
      <w:pPr>
        <w:ind w:left="720" w:hanging="360"/>
      </w:pPr>
      <w:rPr>
        <w:rFonts w:ascii="Courier New" w:hAnsi="Courier New" w:cs="Courier New"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1" w15:restartNumberingAfterBreak="0">
    <w:nsid w:val="5072654A"/>
    <w:multiLevelType w:val="hybridMultilevel"/>
    <w:tmpl w:val="02FCF6C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 w15:restartNumberingAfterBreak="0">
    <w:nsid w:val="53104BC9"/>
    <w:multiLevelType w:val="hybridMultilevel"/>
    <w:tmpl w:val="3918D196"/>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43" w15:restartNumberingAfterBreak="0">
    <w:nsid w:val="536E7047"/>
    <w:multiLevelType w:val="hybridMultilevel"/>
    <w:tmpl w:val="46B88E9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15:restartNumberingAfterBreak="0">
    <w:nsid w:val="58451F62"/>
    <w:multiLevelType w:val="hybridMultilevel"/>
    <w:tmpl w:val="6CC2BCD6"/>
    <w:lvl w:ilvl="0" w:tplc="04150001">
      <w:start w:val="1"/>
      <w:numFmt w:val="bullet"/>
      <w:lvlText w:val=""/>
      <w:lvlJc w:val="left"/>
      <w:pPr>
        <w:ind w:left="760" w:hanging="360"/>
      </w:pPr>
      <w:rPr>
        <w:rFonts w:ascii="Symbol" w:hAnsi="Symbol" w:hint="default"/>
      </w:rPr>
    </w:lvl>
    <w:lvl w:ilvl="1" w:tplc="04150003" w:tentative="1">
      <w:start w:val="1"/>
      <w:numFmt w:val="bullet"/>
      <w:lvlText w:val="o"/>
      <w:lvlJc w:val="left"/>
      <w:pPr>
        <w:ind w:left="1480" w:hanging="360"/>
      </w:pPr>
      <w:rPr>
        <w:rFonts w:ascii="Courier New" w:hAnsi="Courier New" w:cs="Courier New" w:hint="default"/>
      </w:rPr>
    </w:lvl>
    <w:lvl w:ilvl="2" w:tplc="04150005" w:tentative="1">
      <w:start w:val="1"/>
      <w:numFmt w:val="bullet"/>
      <w:lvlText w:val=""/>
      <w:lvlJc w:val="left"/>
      <w:pPr>
        <w:ind w:left="2200" w:hanging="360"/>
      </w:pPr>
      <w:rPr>
        <w:rFonts w:ascii="Wingdings" w:hAnsi="Wingdings" w:hint="default"/>
      </w:rPr>
    </w:lvl>
    <w:lvl w:ilvl="3" w:tplc="04150001" w:tentative="1">
      <w:start w:val="1"/>
      <w:numFmt w:val="bullet"/>
      <w:lvlText w:val=""/>
      <w:lvlJc w:val="left"/>
      <w:pPr>
        <w:ind w:left="2920" w:hanging="360"/>
      </w:pPr>
      <w:rPr>
        <w:rFonts w:ascii="Symbol" w:hAnsi="Symbol" w:hint="default"/>
      </w:rPr>
    </w:lvl>
    <w:lvl w:ilvl="4" w:tplc="04150003" w:tentative="1">
      <w:start w:val="1"/>
      <w:numFmt w:val="bullet"/>
      <w:lvlText w:val="o"/>
      <w:lvlJc w:val="left"/>
      <w:pPr>
        <w:ind w:left="3640" w:hanging="360"/>
      </w:pPr>
      <w:rPr>
        <w:rFonts w:ascii="Courier New" w:hAnsi="Courier New" w:cs="Courier New" w:hint="default"/>
      </w:rPr>
    </w:lvl>
    <w:lvl w:ilvl="5" w:tplc="04150005" w:tentative="1">
      <w:start w:val="1"/>
      <w:numFmt w:val="bullet"/>
      <w:lvlText w:val=""/>
      <w:lvlJc w:val="left"/>
      <w:pPr>
        <w:ind w:left="4360" w:hanging="360"/>
      </w:pPr>
      <w:rPr>
        <w:rFonts w:ascii="Wingdings" w:hAnsi="Wingdings" w:hint="default"/>
      </w:rPr>
    </w:lvl>
    <w:lvl w:ilvl="6" w:tplc="04150001" w:tentative="1">
      <w:start w:val="1"/>
      <w:numFmt w:val="bullet"/>
      <w:lvlText w:val=""/>
      <w:lvlJc w:val="left"/>
      <w:pPr>
        <w:ind w:left="5080" w:hanging="360"/>
      </w:pPr>
      <w:rPr>
        <w:rFonts w:ascii="Symbol" w:hAnsi="Symbol" w:hint="default"/>
      </w:rPr>
    </w:lvl>
    <w:lvl w:ilvl="7" w:tplc="04150003" w:tentative="1">
      <w:start w:val="1"/>
      <w:numFmt w:val="bullet"/>
      <w:lvlText w:val="o"/>
      <w:lvlJc w:val="left"/>
      <w:pPr>
        <w:ind w:left="5800" w:hanging="360"/>
      </w:pPr>
      <w:rPr>
        <w:rFonts w:ascii="Courier New" w:hAnsi="Courier New" w:cs="Courier New" w:hint="default"/>
      </w:rPr>
    </w:lvl>
    <w:lvl w:ilvl="8" w:tplc="04150005" w:tentative="1">
      <w:start w:val="1"/>
      <w:numFmt w:val="bullet"/>
      <w:lvlText w:val=""/>
      <w:lvlJc w:val="left"/>
      <w:pPr>
        <w:ind w:left="6520" w:hanging="360"/>
      </w:pPr>
      <w:rPr>
        <w:rFonts w:ascii="Wingdings" w:hAnsi="Wingdings" w:hint="default"/>
      </w:rPr>
    </w:lvl>
  </w:abstractNum>
  <w:abstractNum w:abstractNumId="45" w15:restartNumberingAfterBreak="0">
    <w:nsid w:val="588066EA"/>
    <w:multiLevelType w:val="hybridMultilevel"/>
    <w:tmpl w:val="F224026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 w15:restartNumberingAfterBreak="0">
    <w:nsid w:val="59805C85"/>
    <w:multiLevelType w:val="hybridMultilevel"/>
    <w:tmpl w:val="92461F6E"/>
    <w:lvl w:ilvl="0" w:tplc="2A7AEAC0">
      <w:start w:val="1"/>
      <w:numFmt w:val="bullet"/>
      <w:lvlText w:val="÷"/>
      <w:lvlJc w:val="left"/>
      <w:pPr>
        <w:ind w:left="1777" w:hanging="360"/>
      </w:pPr>
      <w:rPr>
        <w:rFonts w:ascii="Times New Roman" w:hAnsi="Times New Roman" w:cs="Times New Roman" w:hint="default"/>
      </w:rPr>
    </w:lvl>
    <w:lvl w:ilvl="1" w:tplc="FFFFFFFF">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47" w15:restartNumberingAfterBreak="0">
    <w:nsid w:val="5B465003"/>
    <w:multiLevelType w:val="hybridMultilevel"/>
    <w:tmpl w:val="E3CC98C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 w15:restartNumberingAfterBreak="0">
    <w:nsid w:val="5BD001F9"/>
    <w:multiLevelType w:val="hybridMultilevel"/>
    <w:tmpl w:val="A1D4DE4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9" w15:restartNumberingAfterBreak="0">
    <w:nsid w:val="5CF01E3B"/>
    <w:multiLevelType w:val="hybridMultilevel"/>
    <w:tmpl w:val="C9126DAC"/>
    <w:lvl w:ilvl="0" w:tplc="6BA61F64">
      <w:start w:val="1"/>
      <w:numFmt w:val="bullet"/>
      <w:lvlText w:val="­"/>
      <w:lvlJc w:val="left"/>
      <w:pPr>
        <w:ind w:left="36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0" w15:restartNumberingAfterBreak="0">
    <w:nsid w:val="60380844"/>
    <w:multiLevelType w:val="hybridMultilevel"/>
    <w:tmpl w:val="AA3EC104"/>
    <w:lvl w:ilvl="0" w:tplc="3E746A70">
      <w:start w:val="1"/>
      <w:numFmt w:val="bullet"/>
      <w:lvlText w:val=""/>
      <w:lvlJc w:val="left"/>
      <w:pPr>
        <w:ind w:left="720" w:hanging="360"/>
      </w:pPr>
      <w:rPr>
        <w:rFonts w:ascii="Symbol" w:hAnsi="Symbol"/>
      </w:rPr>
    </w:lvl>
    <w:lvl w:ilvl="1" w:tplc="BD62C7A6">
      <w:start w:val="1"/>
      <w:numFmt w:val="bullet"/>
      <w:lvlText w:val=""/>
      <w:lvlJc w:val="left"/>
      <w:pPr>
        <w:ind w:left="720" w:hanging="360"/>
      </w:pPr>
      <w:rPr>
        <w:rFonts w:ascii="Symbol" w:hAnsi="Symbol"/>
      </w:rPr>
    </w:lvl>
    <w:lvl w:ilvl="2" w:tplc="E8942BC4">
      <w:start w:val="1"/>
      <w:numFmt w:val="bullet"/>
      <w:lvlText w:val=""/>
      <w:lvlJc w:val="left"/>
      <w:pPr>
        <w:ind w:left="720" w:hanging="360"/>
      </w:pPr>
      <w:rPr>
        <w:rFonts w:ascii="Symbol" w:hAnsi="Symbol"/>
      </w:rPr>
    </w:lvl>
    <w:lvl w:ilvl="3" w:tplc="5FA0FF84">
      <w:start w:val="1"/>
      <w:numFmt w:val="bullet"/>
      <w:lvlText w:val=""/>
      <w:lvlJc w:val="left"/>
      <w:pPr>
        <w:ind w:left="720" w:hanging="360"/>
      </w:pPr>
      <w:rPr>
        <w:rFonts w:ascii="Symbol" w:hAnsi="Symbol"/>
      </w:rPr>
    </w:lvl>
    <w:lvl w:ilvl="4" w:tplc="2782F8A0">
      <w:start w:val="1"/>
      <w:numFmt w:val="bullet"/>
      <w:lvlText w:val=""/>
      <w:lvlJc w:val="left"/>
      <w:pPr>
        <w:ind w:left="720" w:hanging="360"/>
      </w:pPr>
      <w:rPr>
        <w:rFonts w:ascii="Symbol" w:hAnsi="Symbol"/>
      </w:rPr>
    </w:lvl>
    <w:lvl w:ilvl="5" w:tplc="D5EC7122">
      <w:start w:val="1"/>
      <w:numFmt w:val="bullet"/>
      <w:lvlText w:val=""/>
      <w:lvlJc w:val="left"/>
      <w:pPr>
        <w:ind w:left="720" w:hanging="360"/>
      </w:pPr>
      <w:rPr>
        <w:rFonts w:ascii="Symbol" w:hAnsi="Symbol"/>
      </w:rPr>
    </w:lvl>
    <w:lvl w:ilvl="6" w:tplc="99F26514">
      <w:start w:val="1"/>
      <w:numFmt w:val="bullet"/>
      <w:lvlText w:val=""/>
      <w:lvlJc w:val="left"/>
      <w:pPr>
        <w:ind w:left="720" w:hanging="360"/>
      </w:pPr>
      <w:rPr>
        <w:rFonts w:ascii="Symbol" w:hAnsi="Symbol"/>
      </w:rPr>
    </w:lvl>
    <w:lvl w:ilvl="7" w:tplc="0824C944">
      <w:start w:val="1"/>
      <w:numFmt w:val="bullet"/>
      <w:lvlText w:val=""/>
      <w:lvlJc w:val="left"/>
      <w:pPr>
        <w:ind w:left="720" w:hanging="360"/>
      </w:pPr>
      <w:rPr>
        <w:rFonts w:ascii="Symbol" w:hAnsi="Symbol"/>
      </w:rPr>
    </w:lvl>
    <w:lvl w:ilvl="8" w:tplc="D02EEA2A">
      <w:start w:val="1"/>
      <w:numFmt w:val="bullet"/>
      <w:lvlText w:val=""/>
      <w:lvlJc w:val="left"/>
      <w:pPr>
        <w:ind w:left="720" w:hanging="360"/>
      </w:pPr>
      <w:rPr>
        <w:rFonts w:ascii="Symbol" w:hAnsi="Symbol"/>
      </w:rPr>
    </w:lvl>
  </w:abstractNum>
  <w:abstractNum w:abstractNumId="51" w15:restartNumberingAfterBreak="0">
    <w:nsid w:val="673E14B6"/>
    <w:multiLevelType w:val="hybridMultilevel"/>
    <w:tmpl w:val="9E62805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 w15:restartNumberingAfterBreak="0">
    <w:nsid w:val="69221003"/>
    <w:multiLevelType w:val="hybridMultilevel"/>
    <w:tmpl w:val="EAC2C154"/>
    <w:lvl w:ilvl="0" w:tplc="04150001">
      <w:start w:val="1"/>
      <w:numFmt w:val="bullet"/>
      <w:lvlText w:val=""/>
      <w:lvlJc w:val="left"/>
      <w:pPr>
        <w:ind w:left="760" w:hanging="360"/>
      </w:pPr>
      <w:rPr>
        <w:rFonts w:ascii="Symbol" w:hAnsi="Symbol" w:hint="default"/>
      </w:rPr>
    </w:lvl>
    <w:lvl w:ilvl="1" w:tplc="04150003" w:tentative="1">
      <w:start w:val="1"/>
      <w:numFmt w:val="bullet"/>
      <w:lvlText w:val="o"/>
      <w:lvlJc w:val="left"/>
      <w:pPr>
        <w:ind w:left="1480" w:hanging="360"/>
      </w:pPr>
      <w:rPr>
        <w:rFonts w:ascii="Courier New" w:hAnsi="Courier New" w:cs="Courier New" w:hint="default"/>
      </w:rPr>
    </w:lvl>
    <w:lvl w:ilvl="2" w:tplc="04150005" w:tentative="1">
      <w:start w:val="1"/>
      <w:numFmt w:val="bullet"/>
      <w:lvlText w:val=""/>
      <w:lvlJc w:val="left"/>
      <w:pPr>
        <w:ind w:left="2200" w:hanging="360"/>
      </w:pPr>
      <w:rPr>
        <w:rFonts w:ascii="Wingdings" w:hAnsi="Wingdings" w:hint="default"/>
      </w:rPr>
    </w:lvl>
    <w:lvl w:ilvl="3" w:tplc="04150001" w:tentative="1">
      <w:start w:val="1"/>
      <w:numFmt w:val="bullet"/>
      <w:lvlText w:val=""/>
      <w:lvlJc w:val="left"/>
      <w:pPr>
        <w:ind w:left="2920" w:hanging="360"/>
      </w:pPr>
      <w:rPr>
        <w:rFonts w:ascii="Symbol" w:hAnsi="Symbol" w:hint="default"/>
      </w:rPr>
    </w:lvl>
    <w:lvl w:ilvl="4" w:tplc="04150003" w:tentative="1">
      <w:start w:val="1"/>
      <w:numFmt w:val="bullet"/>
      <w:lvlText w:val="o"/>
      <w:lvlJc w:val="left"/>
      <w:pPr>
        <w:ind w:left="3640" w:hanging="360"/>
      </w:pPr>
      <w:rPr>
        <w:rFonts w:ascii="Courier New" w:hAnsi="Courier New" w:cs="Courier New" w:hint="default"/>
      </w:rPr>
    </w:lvl>
    <w:lvl w:ilvl="5" w:tplc="04150005" w:tentative="1">
      <w:start w:val="1"/>
      <w:numFmt w:val="bullet"/>
      <w:lvlText w:val=""/>
      <w:lvlJc w:val="left"/>
      <w:pPr>
        <w:ind w:left="4360" w:hanging="360"/>
      </w:pPr>
      <w:rPr>
        <w:rFonts w:ascii="Wingdings" w:hAnsi="Wingdings" w:hint="default"/>
      </w:rPr>
    </w:lvl>
    <w:lvl w:ilvl="6" w:tplc="04150001" w:tentative="1">
      <w:start w:val="1"/>
      <w:numFmt w:val="bullet"/>
      <w:lvlText w:val=""/>
      <w:lvlJc w:val="left"/>
      <w:pPr>
        <w:ind w:left="5080" w:hanging="360"/>
      </w:pPr>
      <w:rPr>
        <w:rFonts w:ascii="Symbol" w:hAnsi="Symbol" w:hint="default"/>
      </w:rPr>
    </w:lvl>
    <w:lvl w:ilvl="7" w:tplc="04150003" w:tentative="1">
      <w:start w:val="1"/>
      <w:numFmt w:val="bullet"/>
      <w:lvlText w:val="o"/>
      <w:lvlJc w:val="left"/>
      <w:pPr>
        <w:ind w:left="5800" w:hanging="360"/>
      </w:pPr>
      <w:rPr>
        <w:rFonts w:ascii="Courier New" w:hAnsi="Courier New" w:cs="Courier New" w:hint="default"/>
      </w:rPr>
    </w:lvl>
    <w:lvl w:ilvl="8" w:tplc="04150005" w:tentative="1">
      <w:start w:val="1"/>
      <w:numFmt w:val="bullet"/>
      <w:lvlText w:val=""/>
      <w:lvlJc w:val="left"/>
      <w:pPr>
        <w:ind w:left="6520" w:hanging="360"/>
      </w:pPr>
      <w:rPr>
        <w:rFonts w:ascii="Wingdings" w:hAnsi="Wingdings" w:hint="default"/>
      </w:rPr>
    </w:lvl>
  </w:abstractNum>
  <w:abstractNum w:abstractNumId="53" w15:restartNumberingAfterBreak="0">
    <w:nsid w:val="6A7D0D83"/>
    <w:multiLevelType w:val="hybridMultilevel"/>
    <w:tmpl w:val="24425B3E"/>
    <w:lvl w:ilvl="0" w:tplc="1AE8A204">
      <w:start w:val="1"/>
      <w:numFmt w:val="decimal"/>
      <w:lvlText w:val="(%1)"/>
      <w:lvlJc w:val="righ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4" w15:restartNumberingAfterBreak="0">
    <w:nsid w:val="6A9B1544"/>
    <w:multiLevelType w:val="hybridMultilevel"/>
    <w:tmpl w:val="738672E6"/>
    <w:lvl w:ilvl="0" w:tplc="6FBAC712">
      <w:start w:val="1"/>
      <w:numFmt w:val="bullet"/>
      <w:lvlText w:val="‒"/>
      <w:lvlJc w:val="left"/>
      <w:pPr>
        <w:ind w:left="720" w:hanging="360"/>
      </w:pPr>
      <w:rPr>
        <w:rFonts w:ascii="Times New Roman" w:hAnsi="Times New Roman" w:cs="Times New Roman" w:hint="default"/>
      </w:rPr>
    </w:lvl>
    <w:lvl w:ilvl="1" w:tplc="91FE264E">
      <w:start w:val="1"/>
      <w:numFmt w:val="bullet"/>
      <w:lvlText w:val=""/>
      <w:lvlJc w:val="left"/>
      <w:pPr>
        <w:ind w:left="1440" w:hanging="360"/>
      </w:pPr>
      <w:rPr>
        <w:rFonts w:ascii="Symbol" w:hAnsi="Symbol" w:hint="default"/>
      </w:rPr>
    </w:lvl>
    <w:lvl w:ilvl="2" w:tplc="EE420770">
      <w:start w:val="1"/>
      <w:numFmt w:val="bullet"/>
      <w:lvlText w:val="•"/>
      <w:lvlJc w:val="left"/>
      <w:pPr>
        <w:ind w:left="2160" w:hanging="360"/>
      </w:pPr>
      <w:rPr>
        <w:rFonts w:ascii="Arial" w:hAnsi="Arial" w:hint="default"/>
      </w:rPr>
    </w:lvl>
    <w:lvl w:ilvl="3" w:tplc="909A061A">
      <w:start w:val="1"/>
      <w:numFmt w:val="bullet"/>
      <w:lvlText w:val=""/>
      <w:lvlJc w:val="left"/>
      <w:pPr>
        <w:ind w:left="2880" w:hanging="360"/>
      </w:pPr>
      <w:rPr>
        <w:rFonts w:ascii="Symbol" w:hAnsi="Symbol" w:hint="default"/>
      </w:rPr>
    </w:lvl>
    <w:lvl w:ilvl="4" w:tplc="6D9C8AB4" w:tentative="1">
      <w:start w:val="1"/>
      <w:numFmt w:val="bullet"/>
      <w:lvlText w:val="o"/>
      <w:lvlJc w:val="left"/>
      <w:pPr>
        <w:ind w:left="3600" w:hanging="360"/>
      </w:pPr>
      <w:rPr>
        <w:rFonts w:ascii="Courier New" w:hAnsi="Courier New" w:cs="Courier New" w:hint="default"/>
      </w:rPr>
    </w:lvl>
    <w:lvl w:ilvl="5" w:tplc="A7A28A2E" w:tentative="1">
      <w:start w:val="1"/>
      <w:numFmt w:val="bullet"/>
      <w:lvlText w:val=""/>
      <w:lvlJc w:val="left"/>
      <w:pPr>
        <w:ind w:left="4320" w:hanging="360"/>
      </w:pPr>
      <w:rPr>
        <w:rFonts w:ascii="Wingdings" w:hAnsi="Wingdings" w:hint="default"/>
      </w:rPr>
    </w:lvl>
    <w:lvl w:ilvl="6" w:tplc="72CEB556" w:tentative="1">
      <w:start w:val="1"/>
      <w:numFmt w:val="bullet"/>
      <w:lvlText w:val=""/>
      <w:lvlJc w:val="left"/>
      <w:pPr>
        <w:ind w:left="5040" w:hanging="360"/>
      </w:pPr>
      <w:rPr>
        <w:rFonts w:ascii="Symbol" w:hAnsi="Symbol" w:hint="default"/>
      </w:rPr>
    </w:lvl>
    <w:lvl w:ilvl="7" w:tplc="20304F5C" w:tentative="1">
      <w:start w:val="1"/>
      <w:numFmt w:val="bullet"/>
      <w:lvlText w:val="o"/>
      <w:lvlJc w:val="left"/>
      <w:pPr>
        <w:ind w:left="5760" w:hanging="360"/>
      </w:pPr>
      <w:rPr>
        <w:rFonts w:ascii="Courier New" w:hAnsi="Courier New" w:cs="Courier New" w:hint="default"/>
      </w:rPr>
    </w:lvl>
    <w:lvl w:ilvl="8" w:tplc="106E8F84" w:tentative="1">
      <w:start w:val="1"/>
      <w:numFmt w:val="bullet"/>
      <w:lvlText w:val=""/>
      <w:lvlJc w:val="left"/>
      <w:pPr>
        <w:ind w:left="6480" w:hanging="360"/>
      </w:pPr>
      <w:rPr>
        <w:rFonts w:ascii="Wingdings" w:hAnsi="Wingdings" w:hint="default"/>
      </w:rPr>
    </w:lvl>
  </w:abstractNum>
  <w:abstractNum w:abstractNumId="55" w15:restartNumberingAfterBreak="0">
    <w:nsid w:val="6C541EBF"/>
    <w:multiLevelType w:val="hybridMultilevel"/>
    <w:tmpl w:val="8F4A8068"/>
    <w:lvl w:ilvl="0" w:tplc="FFFFFFFF">
      <w:start w:val="1"/>
      <w:numFmt w:val="decimal"/>
      <w:lvlText w:val="(%1)"/>
      <w:lvlJc w:val="left"/>
      <w:pPr>
        <w:ind w:left="720" w:hanging="360"/>
      </w:pPr>
      <w:rPr>
        <w:rFonts w:hint="default"/>
      </w:rPr>
    </w:lvl>
    <w:lvl w:ilvl="1" w:tplc="7AF43FEC">
      <w:start w:val="1"/>
      <w:numFmt w:val="decimal"/>
      <w:lvlText w:val="(%2)"/>
      <w:lvlJc w:val="left"/>
      <w:pPr>
        <w:ind w:left="72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6" w15:restartNumberingAfterBreak="0">
    <w:nsid w:val="71AC22C3"/>
    <w:multiLevelType w:val="hybridMultilevel"/>
    <w:tmpl w:val="DB28254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7" w15:restartNumberingAfterBreak="0">
    <w:nsid w:val="72FA2F43"/>
    <w:multiLevelType w:val="hybridMultilevel"/>
    <w:tmpl w:val="BAC0CDEC"/>
    <w:lvl w:ilvl="0" w:tplc="0BB21638">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8" w15:restartNumberingAfterBreak="0">
    <w:nsid w:val="778201BF"/>
    <w:multiLevelType w:val="hybridMultilevel"/>
    <w:tmpl w:val="6B38E1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9" w15:restartNumberingAfterBreak="0">
    <w:nsid w:val="791A1BB0"/>
    <w:multiLevelType w:val="hybridMultilevel"/>
    <w:tmpl w:val="D83C2A3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0" w15:restartNumberingAfterBreak="0">
    <w:nsid w:val="795743B7"/>
    <w:multiLevelType w:val="hybridMultilevel"/>
    <w:tmpl w:val="9162E1DA"/>
    <w:lvl w:ilvl="0" w:tplc="04150003">
      <w:start w:val="1"/>
      <w:numFmt w:val="bullet"/>
      <w:lvlText w:val="o"/>
      <w:lvlJc w:val="left"/>
      <w:pPr>
        <w:ind w:left="720" w:hanging="360"/>
      </w:pPr>
      <w:rPr>
        <w:rFonts w:ascii="Courier New" w:hAnsi="Courier New" w:cs="Courier New"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1" w15:restartNumberingAfterBreak="0">
    <w:nsid w:val="7AB245EB"/>
    <w:multiLevelType w:val="hybridMultilevel"/>
    <w:tmpl w:val="39644170"/>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2" w15:restartNumberingAfterBreak="0">
    <w:nsid w:val="7BBF1671"/>
    <w:multiLevelType w:val="hybridMultilevel"/>
    <w:tmpl w:val="D7DCB1EE"/>
    <w:lvl w:ilvl="0" w:tplc="0BB21638">
      <w:start w:val="1"/>
      <w:numFmt w:val="bullet"/>
      <w:lvlText w:val="‒"/>
      <w:lvlJc w:val="left"/>
      <w:pPr>
        <w:ind w:left="720" w:hanging="360"/>
      </w:pPr>
      <w:rPr>
        <w:rFonts w:ascii="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3" w15:restartNumberingAfterBreak="0">
    <w:nsid w:val="7BC217B5"/>
    <w:multiLevelType w:val="hybridMultilevel"/>
    <w:tmpl w:val="3CCA9F8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720711707">
    <w:abstractNumId w:val="27"/>
  </w:num>
  <w:num w:numId="2" w16cid:durableId="1399474181">
    <w:abstractNumId w:val="20"/>
  </w:num>
  <w:num w:numId="3" w16cid:durableId="1863088660">
    <w:abstractNumId w:val="13"/>
  </w:num>
  <w:num w:numId="4" w16cid:durableId="1498351002">
    <w:abstractNumId w:val="4"/>
  </w:num>
  <w:num w:numId="5" w16cid:durableId="1769083907">
    <w:abstractNumId w:val="51"/>
  </w:num>
  <w:num w:numId="6" w16cid:durableId="1128738408">
    <w:abstractNumId w:val="60"/>
  </w:num>
  <w:num w:numId="7" w16cid:durableId="1927380329">
    <w:abstractNumId w:val="63"/>
  </w:num>
  <w:num w:numId="8" w16cid:durableId="287130059">
    <w:abstractNumId w:val="48"/>
  </w:num>
  <w:num w:numId="9" w16cid:durableId="223293423">
    <w:abstractNumId w:val="16"/>
  </w:num>
  <w:num w:numId="10" w16cid:durableId="1309282643">
    <w:abstractNumId w:val="54"/>
  </w:num>
  <w:num w:numId="11" w16cid:durableId="88619560">
    <w:abstractNumId w:val="37"/>
  </w:num>
  <w:num w:numId="12" w16cid:durableId="1320305921">
    <w:abstractNumId w:val="25"/>
  </w:num>
  <w:num w:numId="13" w16cid:durableId="1230922745">
    <w:abstractNumId w:val="6"/>
  </w:num>
  <w:num w:numId="14" w16cid:durableId="435950554">
    <w:abstractNumId w:val="39"/>
  </w:num>
  <w:num w:numId="15" w16cid:durableId="853303230">
    <w:abstractNumId w:val="46"/>
  </w:num>
  <w:num w:numId="16" w16cid:durableId="2073767316">
    <w:abstractNumId w:val="40"/>
  </w:num>
  <w:num w:numId="17" w16cid:durableId="1763868446">
    <w:abstractNumId w:val="58"/>
  </w:num>
  <w:num w:numId="18" w16cid:durableId="1445493388">
    <w:abstractNumId w:val="10"/>
  </w:num>
  <w:num w:numId="19" w16cid:durableId="213808809">
    <w:abstractNumId w:val="0"/>
  </w:num>
  <w:num w:numId="20" w16cid:durableId="2084445822">
    <w:abstractNumId w:val="5"/>
  </w:num>
  <w:num w:numId="21" w16cid:durableId="1031998094">
    <w:abstractNumId w:val="12"/>
  </w:num>
  <w:num w:numId="22" w16cid:durableId="601189419">
    <w:abstractNumId w:val="62"/>
  </w:num>
  <w:num w:numId="23" w16cid:durableId="482888724">
    <w:abstractNumId w:val="41"/>
  </w:num>
  <w:num w:numId="24" w16cid:durableId="1346445443">
    <w:abstractNumId w:val="56"/>
  </w:num>
  <w:num w:numId="25" w16cid:durableId="976837792">
    <w:abstractNumId w:val="30"/>
  </w:num>
  <w:num w:numId="26" w16cid:durableId="772477992">
    <w:abstractNumId w:val="1"/>
  </w:num>
  <w:num w:numId="27" w16cid:durableId="1012563401">
    <w:abstractNumId w:val="45"/>
  </w:num>
  <w:num w:numId="28" w16cid:durableId="1628924388">
    <w:abstractNumId w:val="15"/>
  </w:num>
  <w:num w:numId="29" w16cid:durableId="1098989339">
    <w:abstractNumId w:val="21"/>
  </w:num>
  <w:num w:numId="30" w16cid:durableId="569733660">
    <w:abstractNumId w:val="49"/>
  </w:num>
  <w:num w:numId="31" w16cid:durableId="1517426216">
    <w:abstractNumId w:val="19"/>
  </w:num>
  <w:num w:numId="32" w16cid:durableId="21974824">
    <w:abstractNumId w:val="52"/>
  </w:num>
  <w:num w:numId="33" w16cid:durableId="556824708">
    <w:abstractNumId w:val="23"/>
  </w:num>
  <w:num w:numId="34" w16cid:durableId="12386556">
    <w:abstractNumId w:val="42"/>
  </w:num>
  <w:num w:numId="35" w16cid:durableId="1409766058">
    <w:abstractNumId w:val="28"/>
  </w:num>
  <w:num w:numId="36" w16cid:durableId="302124395">
    <w:abstractNumId w:val="34"/>
  </w:num>
  <w:num w:numId="37" w16cid:durableId="865411255">
    <w:abstractNumId w:val="29"/>
  </w:num>
  <w:num w:numId="38" w16cid:durableId="2050183323">
    <w:abstractNumId w:val="7"/>
  </w:num>
  <w:num w:numId="39" w16cid:durableId="492376026">
    <w:abstractNumId w:val="38"/>
  </w:num>
  <w:num w:numId="40" w16cid:durableId="80597318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672147449">
    <w:abstractNumId w:val="22"/>
  </w:num>
  <w:num w:numId="42" w16cid:durableId="1177766571">
    <w:abstractNumId w:val="55"/>
  </w:num>
  <w:num w:numId="43" w16cid:durableId="1192719673">
    <w:abstractNumId w:val="43"/>
  </w:num>
  <w:num w:numId="44" w16cid:durableId="565915836">
    <w:abstractNumId w:val="35"/>
  </w:num>
  <w:num w:numId="45" w16cid:durableId="1867477587">
    <w:abstractNumId w:val="8"/>
  </w:num>
  <w:num w:numId="46" w16cid:durableId="1345672154">
    <w:abstractNumId w:val="36"/>
  </w:num>
  <w:num w:numId="47" w16cid:durableId="1720588077">
    <w:abstractNumId w:val="31"/>
  </w:num>
  <w:num w:numId="48" w16cid:durableId="2111005148">
    <w:abstractNumId w:val="59"/>
  </w:num>
  <w:num w:numId="49" w16cid:durableId="64105642">
    <w:abstractNumId w:val="32"/>
  </w:num>
  <w:num w:numId="50" w16cid:durableId="222102351">
    <w:abstractNumId w:val="9"/>
  </w:num>
  <w:num w:numId="51" w16cid:durableId="150369997">
    <w:abstractNumId w:val="57"/>
  </w:num>
  <w:num w:numId="52" w16cid:durableId="2140997756">
    <w:abstractNumId w:val="3"/>
  </w:num>
  <w:num w:numId="53" w16cid:durableId="1987658151">
    <w:abstractNumId w:val="47"/>
  </w:num>
  <w:num w:numId="54" w16cid:durableId="1631979571">
    <w:abstractNumId w:val="2"/>
  </w:num>
  <w:num w:numId="55" w16cid:durableId="275870786">
    <w:abstractNumId w:val="53"/>
  </w:num>
  <w:num w:numId="56" w16cid:durableId="718015346">
    <w:abstractNumId w:val="24"/>
  </w:num>
  <w:num w:numId="57" w16cid:durableId="1809668922">
    <w:abstractNumId w:val="50"/>
  </w:num>
  <w:num w:numId="58" w16cid:durableId="1588463733">
    <w:abstractNumId w:val="17"/>
  </w:num>
  <w:num w:numId="59" w16cid:durableId="1451588480">
    <w:abstractNumId w:val="26"/>
  </w:num>
  <w:num w:numId="60" w16cid:durableId="1494372878">
    <w:abstractNumId w:val="14"/>
  </w:num>
  <w:num w:numId="61" w16cid:durableId="335965884">
    <w:abstractNumId w:val="61"/>
  </w:num>
  <w:num w:numId="62" w16cid:durableId="1995596421">
    <w:abstractNumId w:val="44"/>
  </w:num>
  <w:num w:numId="63" w16cid:durableId="620840377">
    <w:abstractNumId w:val="11"/>
  </w:num>
  <w:num w:numId="64" w16cid:durableId="1563296395">
    <w:abstractNumId w:val="18"/>
  </w:num>
  <w:num w:numId="65" w16cid:durableId="143862030">
    <w:abstractNumId w:val="33"/>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removePersonalInformation/>
  <w:removeDateAndTime/>
  <w:doNotTrackFormatting/>
  <w:defaultTabStop w:val="709"/>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65D61"/>
    <w:rsid w:val="00000690"/>
    <w:rsid w:val="00000734"/>
    <w:rsid w:val="0000074A"/>
    <w:rsid w:val="000029E7"/>
    <w:rsid w:val="000041E0"/>
    <w:rsid w:val="00010DD9"/>
    <w:rsid w:val="00011EE3"/>
    <w:rsid w:val="00013573"/>
    <w:rsid w:val="00013D10"/>
    <w:rsid w:val="00014A86"/>
    <w:rsid w:val="00014C8E"/>
    <w:rsid w:val="000152EE"/>
    <w:rsid w:val="000158DD"/>
    <w:rsid w:val="00017C1C"/>
    <w:rsid w:val="000205CF"/>
    <w:rsid w:val="00020F56"/>
    <w:rsid w:val="00021535"/>
    <w:rsid w:val="00022406"/>
    <w:rsid w:val="00022613"/>
    <w:rsid w:val="0002312E"/>
    <w:rsid w:val="00023909"/>
    <w:rsid w:val="00024489"/>
    <w:rsid w:val="00024875"/>
    <w:rsid w:val="00024AFC"/>
    <w:rsid w:val="000252C0"/>
    <w:rsid w:val="00025ADB"/>
    <w:rsid w:val="000262E7"/>
    <w:rsid w:val="000268B6"/>
    <w:rsid w:val="00026968"/>
    <w:rsid w:val="00026B76"/>
    <w:rsid w:val="00030513"/>
    <w:rsid w:val="00030E13"/>
    <w:rsid w:val="000313B4"/>
    <w:rsid w:val="00032708"/>
    <w:rsid w:val="000345B8"/>
    <w:rsid w:val="00035216"/>
    <w:rsid w:val="000357C8"/>
    <w:rsid w:val="00037E94"/>
    <w:rsid w:val="000406CB"/>
    <w:rsid w:val="00041A35"/>
    <w:rsid w:val="00043521"/>
    <w:rsid w:val="00044565"/>
    <w:rsid w:val="00044D05"/>
    <w:rsid w:val="00045AE1"/>
    <w:rsid w:val="00045F4B"/>
    <w:rsid w:val="00047741"/>
    <w:rsid w:val="00047932"/>
    <w:rsid w:val="00050EC3"/>
    <w:rsid w:val="00051899"/>
    <w:rsid w:val="000541F6"/>
    <w:rsid w:val="00054383"/>
    <w:rsid w:val="00054704"/>
    <w:rsid w:val="000548F9"/>
    <w:rsid w:val="000557EE"/>
    <w:rsid w:val="00055FD0"/>
    <w:rsid w:val="00056287"/>
    <w:rsid w:val="00056529"/>
    <w:rsid w:val="00056585"/>
    <w:rsid w:val="00056AAE"/>
    <w:rsid w:val="00060354"/>
    <w:rsid w:val="000608EA"/>
    <w:rsid w:val="00060C25"/>
    <w:rsid w:val="000619B3"/>
    <w:rsid w:val="000630B5"/>
    <w:rsid w:val="000639DA"/>
    <w:rsid w:val="00064337"/>
    <w:rsid w:val="000647DB"/>
    <w:rsid w:val="00064DA3"/>
    <w:rsid w:val="00065850"/>
    <w:rsid w:val="00065D7A"/>
    <w:rsid w:val="00066047"/>
    <w:rsid w:val="00067979"/>
    <w:rsid w:val="00067A39"/>
    <w:rsid w:val="00070704"/>
    <w:rsid w:val="00070AAD"/>
    <w:rsid w:val="00070D86"/>
    <w:rsid w:val="0007244C"/>
    <w:rsid w:val="00072534"/>
    <w:rsid w:val="00072EC4"/>
    <w:rsid w:val="00074286"/>
    <w:rsid w:val="00074315"/>
    <w:rsid w:val="00074531"/>
    <w:rsid w:val="000748F8"/>
    <w:rsid w:val="00075A9C"/>
    <w:rsid w:val="00075D24"/>
    <w:rsid w:val="00076810"/>
    <w:rsid w:val="00076CBC"/>
    <w:rsid w:val="00080A3A"/>
    <w:rsid w:val="00080BA7"/>
    <w:rsid w:val="000810E3"/>
    <w:rsid w:val="000817A2"/>
    <w:rsid w:val="000817A4"/>
    <w:rsid w:val="000826C8"/>
    <w:rsid w:val="0008327E"/>
    <w:rsid w:val="000840AF"/>
    <w:rsid w:val="000855B2"/>
    <w:rsid w:val="000858ED"/>
    <w:rsid w:val="00086894"/>
    <w:rsid w:val="000871B5"/>
    <w:rsid w:val="000907AD"/>
    <w:rsid w:val="000917C9"/>
    <w:rsid w:val="00091927"/>
    <w:rsid w:val="00092576"/>
    <w:rsid w:val="00093AFF"/>
    <w:rsid w:val="00093D74"/>
    <w:rsid w:val="000947CE"/>
    <w:rsid w:val="00094AC3"/>
    <w:rsid w:val="00095015"/>
    <w:rsid w:val="000952A4"/>
    <w:rsid w:val="000954F2"/>
    <w:rsid w:val="00095AC4"/>
    <w:rsid w:val="00095AE5"/>
    <w:rsid w:val="000963BE"/>
    <w:rsid w:val="000973FB"/>
    <w:rsid w:val="00097740"/>
    <w:rsid w:val="000A1F48"/>
    <w:rsid w:val="000A3DDB"/>
    <w:rsid w:val="000A461A"/>
    <w:rsid w:val="000A4ADB"/>
    <w:rsid w:val="000A541B"/>
    <w:rsid w:val="000A5A45"/>
    <w:rsid w:val="000A6243"/>
    <w:rsid w:val="000A6C5A"/>
    <w:rsid w:val="000A6EB6"/>
    <w:rsid w:val="000A7B74"/>
    <w:rsid w:val="000B1596"/>
    <w:rsid w:val="000B35EF"/>
    <w:rsid w:val="000B376A"/>
    <w:rsid w:val="000B393A"/>
    <w:rsid w:val="000B5849"/>
    <w:rsid w:val="000B5A2B"/>
    <w:rsid w:val="000B5BED"/>
    <w:rsid w:val="000B65C9"/>
    <w:rsid w:val="000B7A79"/>
    <w:rsid w:val="000B7EDE"/>
    <w:rsid w:val="000C0215"/>
    <w:rsid w:val="000C099A"/>
    <w:rsid w:val="000C170E"/>
    <w:rsid w:val="000C2A6C"/>
    <w:rsid w:val="000C3472"/>
    <w:rsid w:val="000C39D7"/>
    <w:rsid w:val="000C3A47"/>
    <w:rsid w:val="000C42EC"/>
    <w:rsid w:val="000C4B0C"/>
    <w:rsid w:val="000C5A30"/>
    <w:rsid w:val="000C5CA2"/>
    <w:rsid w:val="000C60E4"/>
    <w:rsid w:val="000D00EF"/>
    <w:rsid w:val="000D07BB"/>
    <w:rsid w:val="000D1252"/>
    <w:rsid w:val="000D1909"/>
    <w:rsid w:val="000D1944"/>
    <w:rsid w:val="000D1D08"/>
    <w:rsid w:val="000D2929"/>
    <w:rsid w:val="000D2EC4"/>
    <w:rsid w:val="000D370C"/>
    <w:rsid w:val="000D3722"/>
    <w:rsid w:val="000D4915"/>
    <w:rsid w:val="000D6E76"/>
    <w:rsid w:val="000D74A4"/>
    <w:rsid w:val="000D74C9"/>
    <w:rsid w:val="000D7FA8"/>
    <w:rsid w:val="000E03F4"/>
    <w:rsid w:val="000E0DD3"/>
    <w:rsid w:val="000E125B"/>
    <w:rsid w:val="000E1799"/>
    <w:rsid w:val="000E19D4"/>
    <w:rsid w:val="000E1BCD"/>
    <w:rsid w:val="000E240E"/>
    <w:rsid w:val="000E24A2"/>
    <w:rsid w:val="000E3395"/>
    <w:rsid w:val="000E51BB"/>
    <w:rsid w:val="000E5834"/>
    <w:rsid w:val="000E5C6F"/>
    <w:rsid w:val="000E6C24"/>
    <w:rsid w:val="000E6ECC"/>
    <w:rsid w:val="000E71A6"/>
    <w:rsid w:val="000E7591"/>
    <w:rsid w:val="000E78FF"/>
    <w:rsid w:val="000E7E63"/>
    <w:rsid w:val="000E7E86"/>
    <w:rsid w:val="000F07B2"/>
    <w:rsid w:val="000F0F23"/>
    <w:rsid w:val="000F2F7E"/>
    <w:rsid w:val="000F514E"/>
    <w:rsid w:val="000F62FD"/>
    <w:rsid w:val="000F78F6"/>
    <w:rsid w:val="00100755"/>
    <w:rsid w:val="00100A8A"/>
    <w:rsid w:val="001016D4"/>
    <w:rsid w:val="00101743"/>
    <w:rsid w:val="00102073"/>
    <w:rsid w:val="00102164"/>
    <w:rsid w:val="00103318"/>
    <w:rsid w:val="00103729"/>
    <w:rsid w:val="001039C2"/>
    <w:rsid w:val="001039C9"/>
    <w:rsid w:val="00103ADD"/>
    <w:rsid w:val="00105306"/>
    <w:rsid w:val="001058BD"/>
    <w:rsid w:val="001078E9"/>
    <w:rsid w:val="00107E7C"/>
    <w:rsid w:val="00112AFA"/>
    <w:rsid w:val="001144FC"/>
    <w:rsid w:val="00114D74"/>
    <w:rsid w:val="00114FAF"/>
    <w:rsid w:val="001150BC"/>
    <w:rsid w:val="00115798"/>
    <w:rsid w:val="00115EB7"/>
    <w:rsid w:val="00116706"/>
    <w:rsid w:val="00117314"/>
    <w:rsid w:val="00117B86"/>
    <w:rsid w:val="001207CD"/>
    <w:rsid w:val="00120A7D"/>
    <w:rsid w:val="00121815"/>
    <w:rsid w:val="00121876"/>
    <w:rsid w:val="00122156"/>
    <w:rsid w:val="001243B1"/>
    <w:rsid w:val="00125A37"/>
    <w:rsid w:val="0012621D"/>
    <w:rsid w:val="0012626A"/>
    <w:rsid w:val="00126A0B"/>
    <w:rsid w:val="00127CFA"/>
    <w:rsid w:val="00127FE4"/>
    <w:rsid w:val="001305A8"/>
    <w:rsid w:val="00131BA8"/>
    <w:rsid w:val="00131D8B"/>
    <w:rsid w:val="00132035"/>
    <w:rsid w:val="001327F1"/>
    <w:rsid w:val="00133B72"/>
    <w:rsid w:val="0013403E"/>
    <w:rsid w:val="00134700"/>
    <w:rsid w:val="00134BE3"/>
    <w:rsid w:val="00135E47"/>
    <w:rsid w:val="00136182"/>
    <w:rsid w:val="0013643C"/>
    <w:rsid w:val="00136584"/>
    <w:rsid w:val="00137338"/>
    <w:rsid w:val="0013799F"/>
    <w:rsid w:val="00144326"/>
    <w:rsid w:val="001451E9"/>
    <w:rsid w:val="00146245"/>
    <w:rsid w:val="00147008"/>
    <w:rsid w:val="001473F6"/>
    <w:rsid w:val="0015010C"/>
    <w:rsid w:val="00150B9A"/>
    <w:rsid w:val="00151365"/>
    <w:rsid w:val="001526FC"/>
    <w:rsid w:val="0015304E"/>
    <w:rsid w:val="00153D02"/>
    <w:rsid w:val="001555EB"/>
    <w:rsid w:val="00156737"/>
    <w:rsid w:val="001571C0"/>
    <w:rsid w:val="00162BD9"/>
    <w:rsid w:val="00162C82"/>
    <w:rsid w:val="00162D51"/>
    <w:rsid w:val="001634B4"/>
    <w:rsid w:val="00163CF0"/>
    <w:rsid w:val="0016455E"/>
    <w:rsid w:val="00164E09"/>
    <w:rsid w:val="0016533D"/>
    <w:rsid w:val="00165A9C"/>
    <w:rsid w:val="001675FD"/>
    <w:rsid w:val="0017061F"/>
    <w:rsid w:val="00170B2F"/>
    <w:rsid w:val="0017116C"/>
    <w:rsid w:val="00171BB2"/>
    <w:rsid w:val="00173360"/>
    <w:rsid w:val="00173CF7"/>
    <w:rsid w:val="00174660"/>
    <w:rsid w:val="00174C5E"/>
    <w:rsid w:val="00174C91"/>
    <w:rsid w:val="00174E06"/>
    <w:rsid w:val="0017579F"/>
    <w:rsid w:val="00176A86"/>
    <w:rsid w:val="00180DA8"/>
    <w:rsid w:val="001819CE"/>
    <w:rsid w:val="00183760"/>
    <w:rsid w:val="00184647"/>
    <w:rsid w:val="00186786"/>
    <w:rsid w:val="00187A35"/>
    <w:rsid w:val="00187C07"/>
    <w:rsid w:val="001908CF"/>
    <w:rsid w:val="00190C0F"/>
    <w:rsid w:val="00191363"/>
    <w:rsid w:val="001928BC"/>
    <w:rsid w:val="00192CC1"/>
    <w:rsid w:val="00193059"/>
    <w:rsid w:val="00193B4E"/>
    <w:rsid w:val="00194461"/>
    <w:rsid w:val="00194F9A"/>
    <w:rsid w:val="001959A7"/>
    <w:rsid w:val="00196C1F"/>
    <w:rsid w:val="001A04F5"/>
    <w:rsid w:val="001A0C6D"/>
    <w:rsid w:val="001A33D9"/>
    <w:rsid w:val="001A45B6"/>
    <w:rsid w:val="001A4B5E"/>
    <w:rsid w:val="001A4FCA"/>
    <w:rsid w:val="001A55A8"/>
    <w:rsid w:val="001A563D"/>
    <w:rsid w:val="001A567B"/>
    <w:rsid w:val="001A632F"/>
    <w:rsid w:val="001A64DF"/>
    <w:rsid w:val="001B04FC"/>
    <w:rsid w:val="001B1463"/>
    <w:rsid w:val="001B1984"/>
    <w:rsid w:val="001B23F0"/>
    <w:rsid w:val="001B3C2E"/>
    <w:rsid w:val="001B49A5"/>
    <w:rsid w:val="001B4D1A"/>
    <w:rsid w:val="001B4D95"/>
    <w:rsid w:val="001B581A"/>
    <w:rsid w:val="001B5FBB"/>
    <w:rsid w:val="001B60E6"/>
    <w:rsid w:val="001B6485"/>
    <w:rsid w:val="001B64B9"/>
    <w:rsid w:val="001B6DBE"/>
    <w:rsid w:val="001B70EF"/>
    <w:rsid w:val="001B7693"/>
    <w:rsid w:val="001C0370"/>
    <w:rsid w:val="001C0F0D"/>
    <w:rsid w:val="001C126E"/>
    <w:rsid w:val="001C141A"/>
    <w:rsid w:val="001C23FB"/>
    <w:rsid w:val="001C2C2F"/>
    <w:rsid w:val="001C38F1"/>
    <w:rsid w:val="001C4F5B"/>
    <w:rsid w:val="001C5841"/>
    <w:rsid w:val="001C5BCE"/>
    <w:rsid w:val="001C66C6"/>
    <w:rsid w:val="001C6ABC"/>
    <w:rsid w:val="001C6EE4"/>
    <w:rsid w:val="001C7392"/>
    <w:rsid w:val="001C7FF4"/>
    <w:rsid w:val="001D0CAF"/>
    <w:rsid w:val="001D203C"/>
    <w:rsid w:val="001D254E"/>
    <w:rsid w:val="001D2611"/>
    <w:rsid w:val="001D264E"/>
    <w:rsid w:val="001D2767"/>
    <w:rsid w:val="001D2C64"/>
    <w:rsid w:val="001D3258"/>
    <w:rsid w:val="001D3C9E"/>
    <w:rsid w:val="001D4BA5"/>
    <w:rsid w:val="001D4C71"/>
    <w:rsid w:val="001D4F3C"/>
    <w:rsid w:val="001D5196"/>
    <w:rsid w:val="001D643A"/>
    <w:rsid w:val="001D68F5"/>
    <w:rsid w:val="001D6A7F"/>
    <w:rsid w:val="001D79FD"/>
    <w:rsid w:val="001D7E02"/>
    <w:rsid w:val="001E052F"/>
    <w:rsid w:val="001E1265"/>
    <w:rsid w:val="001E14F2"/>
    <w:rsid w:val="001E1894"/>
    <w:rsid w:val="001E1B34"/>
    <w:rsid w:val="001E24F0"/>
    <w:rsid w:val="001E3949"/>
    <w:rsid w:val="001E4CC6"/>
    <w:rsid w:val="001E633D"/>
    <w:rsid w:val="001E6751"/>
    <w:rsid w:val="001E692B"/>
    <w:rsid w:val="001E69CC"/>
    <w:rsid w:val="001E6C1D"/>
    <w:rsid w:val="001E75C1"/>
    <w:rsid w:val="001F0AC7"/>
    <w:rsid w:val="001F1A0E"/>
    <w:rsid w:val="001F1F27"/>
    <w:rsid w:val="001F287B"/>
    <w:rsid w:val="001F34FE"/>
    <w:rsid w:val="001F7F05"/>
    <w:rsid w:val="002009F8"/>
    <w:rsid w:val="00200B0D"/>
    <w:rsid w:val="00200D01"/>
    <w:rsid w:val="00202AF4"/>
    <w:rsid w:val="00203C68"/>
    <w:rsid w:val="002040AF"/>
    <w:rsid w:val="00204200"/>
    <w:rsid w:val="0020457B"/>
    <w:rsid w:val="00204676"/>
    <w:rsid w:val="002057D7"/>
    <w:rsid w:val="0020609D"/>
    <w:rsid w:val="0021070C"/>
    <w:rsid w:val="00212281"/>
    <w:rsid w:val="002125E1"/>
    <w:rsid w:val="00212CF2"/>
    <w:rsid w:val="002134AD"/>
    <w:rsid w:val="0021361E"/>
    <w:rsid w:val="00213CB3"/>
    <w:rsid w:val="002145F9"/>
    <w:rsid w:val="002164B8"/>
    <w:rsid w:val="002164CD"/>
    <w:rsid w:val="002171CF"/>
    <w:rsid w:val="002178AC"/>
    <w:rsid w:val="00217F28"/>
    <w:rsid w:val="00220A47"/>
    <w:rsid w:val="00220D81"/>
    <w:rsid w:val="0022368D"/>
    <w:rsid w:val="002236E7"/>
    <w:rsid w:val="00224F68"/>
    <w:rsid w:val="002264CE"/>
    <w:rsid w:val="00226FAD"/>
    <w:rsid w:val="00227851"/>
    <w:rsid w:val="002279C6"/>
    <w:rsid w:val="002318C6"/>
    <w:rsid w:val="002318D0"/>
    <w:rsid w:val="00231BB8"/>
    <w:rsid w:val="00232064"/>
    <w:rsid w:val="00232498"/>
    <w:rsid w:val="002325E4"/>
    <w:rsid w:val="00232663"/>
    <w:rsid w:val="00232FFB"/>
    <w:rsid w:val="00235E52"/>
    <w:rsid w:val="0023727C"/>
    <w:rsid w:val="002372C8"/>
    <w:rsid w:val="002409C8"/>
    <w:rsid w:val="002411A2"/>
    <w:rsid w:val="002419F3"/>
    <w:rsid w:val="002435E5"/>
    <w:rsid w:val="00243EFA"/>
    <w:rsid w:val="00244538"/>
    <w:rsid w:val="00244A97"/>
    <w:rsid w:val="00246140"/>
    <w:rsid w:val="00246AF5"/>
    <w:rsid w:val="002514CC"/>
    <w:rsid w:val="002515C1"/>
    <w:rsid w:val="00252781"/>
    <w:rsid w:val="002542B1"/>
    <w:rsid w:val="00254A2D"/>
    <w:rsid w:val="0025506B"/>
    <w:rsid w:val="00255AE2"/>
    <w:rsid w:val="00256256"/>
    <w:rsid w:val="00256446"/>
    <w:rsid w:val="00256586"/>
    <w:rsid w:val="00256C2B"/>
    <w:rsid w:val="00256D98"/>
    <w:rsid w:val="002578B2"/>
    <w:rsid w:val="002602EF"/>
    <w:rsid w:val="00260F5F"/>
    <w:rsid w:val="0026186D"/>
    <w:rsid w:val="0026243D"/>
    <w:rsid w:val="0026311B"/>
    <w:rsid w:val="002631F2"/>
    <w:rsid w:val="002635F5"/>
    <w:rsid w:val="002650ED"/>
    <w:rsid w:val="00265497"/>
    <w:rsid w:val="00265D1D"/>
    <w:rsid w:val="002664CF"/>
    <w:rsid w:val="00266F38"/>
    <w:rsid w:val="00267A69"/>
    <w:rsid w:val="00270892"/>
    <w:rsid w:val="0027105D"/>
    <w:rsid w:val="00271483"/>
    <w:rsid w:val="00273790"/>
    <w:rsid w:val="00273FD8"/>
    <w:rsid w:val="00274F08"/>
    <w:rsid w:val="00275994"/>
    <w:rsid w:val="00276F2C"/>
    <w:rsid w:val="00276FD6"/>
    <w:rsid w:val="002802EC"/>
    <w:rsid w:val="00280B01"/>
    <w:rsid w:val="00280BF1"/>
    <w:rsid w:val="00281205"/>
    <w:rsid w:val="00282168"/>
    <w:rsid w:val="002825C1"/>
    <w:rsid w:val="00283FB5"/>
    <w:rsid w:val="00284561"/>
    <w:rsid w:val="00284572"/>
    <w:rsid w:val="00286B9A"/>
    <w:rsid w:val="00287516"/>
    <w:rsid w:val="00287862"/>
    <w:rsid w:val="00287DE6"/>
    <w:rsid w:val="00291A48"/>
    <w:rsid w:val="00291F7D"/>
    <w:rsid w:val="00292793"/>
    <w:rsid w:val="00294C33"/>
    <w:rsid w:val="00295FC8"/>
    <w:rsid w:val="00296737"/>
    <w:rsid w:val="00297643"/>
    <w:rsid w:val="002A021F"/>
    <w:rsid w:val="002A0740"/>
    <w:rsid w:val="002A0AD2"/>
    <w:rsid w:val="002A0B76"/>
    <w:rsid w:val="002A2FC6"/>
    <w:rsid w:val="002A424D"/>
    <w:rsid w:val="002A4D48"/>
    <w:rsid w:val="002A5705"/>
    <w:rsid w:val="002A5A38"/>
    <w:rsid w:val="002A5F96"/>
    <w:rsid w:val="002A6176"/>
    <w:rsid w:val="002A6DFA"/>
    <w:rsid w:val="002A7783"/>
    <w:rsid w:val="002A7A87"/>
    <w:rsid w:val="002A7DCE"/>
    <w:rsid w:val="002A7FBE"/>
    <w:rsid w:val="002B0C64"/>
    <w:rsid w:val="002B26C2"/>
    <w:rsid w:val="002B2F4C"/>
    <w:rsid w:val="002B387F"/>
    <w:rsid w:val="002B4497"/>
    <w:rsid w:val="002B495F"/>
    <w:rsid w:val="002B4DFC"/>
    <w:rsid w:val="002B4F0C"/>
    <w:rsid w:val="002B5CFB"/>
    <w:rsid w:val="002B7202"/>
    <w:rsid w:val="002B7F78"/>
    <w:rsid w:val="002C36E7"/>
    <w:rsid w:val="002C382E"/>
    <w:rsid w:val="002C3B28"/>
    <w:rsid w:val="002C4078"/>
    <w:rsid w:val="002C4B10"/>
    <w:rsid w:val="002C4B5C"/>
    <w:rsid w:val="002C5C76"/>
    <w:rsid w:val="002C5D2A"/>
    <w:rsid w:val="002C7367"/>
    <w:rsid w:val="002C7399"/>
    <w:rsid w:val="002D0C2A"/>
    <w:rsid w:val="002D212A"/>
    <w:rsid w:val="002D26C3"/>
    <w:rsid w:val="002D38AA"/>
    <w:rsid w:val="002D6A5A"/>
    <w:rsid w:val="002E013A"/>
    <w:rsid w:val="002E0140"/>
    <w:rsid w:val="002E04BF"/>
    <w:rsid w:val="002E068E"/>
    <w:rsid w:val="002E0F11"/>
    <w:rsid w:val="002E13F1"/>
    <w:rsid w:val="002E21AC"/>
    <w:rsid w:val="002E2988"/>
    <w:rsid w:val="002E3810"/>
    <w:rsid w:val="002E446E"/>
    <w:rsid w:val="002E50DF"/>
    <w:rsid w:val="002E5435"/>
    <w:rsid w:val="002E656C"/>
    <w:rsid w:val="002E6883"/>
    <w:rsid w:val="002E7134"/>
    <w:rsid w:val="002E7E3A"/>
    <w:rsid w:val="002F2E47"/>
    <w:rsid w:val="002F3C9D"/>
    <w:rsid w:val="002F3F8A"/>
    <w:rsid w:val="002F406F"/>
    <w:rsid w:val="002F444D"/>
    <w:rsid w:val="002F5C50"/>
    <w:rsid w:val="002F5F1F"/>
    <w:rsid w:val="002F5F51"/>
    <w:rsid w:val="002F6F65"/>
    <w:rsid w:val="003001C8"/>
    <w:rsid w:val="00301294"/>
    <w:rsid w:val="00301308"/>
    <w:rsid w:val="00302755"/>
    <w:rsid w:val="003028EB"/>
    <w:rsid w:val="0030318C"/>
    <w:rsid w:val="003036B9"/>
    <w:rsid w:val="00304093"/>
    <w:rsid w:val="00304F58"/>
    <w:rsid w:val="0030541E"/>
    <w:rsid w:val="0030550B"/>
    <w:rsid w:val="00306029"/>
    <w:rsid w:val="00306542"/>
    <w:rsid w:val="003103B4"/>
    <w:rsid w:val="0031128A"/>
    <w:rsid w:val="0031259F"/>
    <w:rsid w:val="00312F74"/>
    <w:rsid w:val="00312FE1"/>
    <w:rsid w:val="00313DE1"/>
    <w:rsid w:val="003142A0"/>
    <w:rsid w:val="0031489E"/>
    <w:rsid w:val="00314CA1"/>
    <w:rsid w:val="00314D68"/>
    <w:rsid w:val="00315490"/>
    <w:rsid w:val="00315CD1"/>
    <w:rsid w:val="003169E3"/>
    <w:rsid w:val="003201C3"/>
    <w:rsid w:val="00320A0A"/>
    <w:rsid w:val="003221F6"/>
    <w:rsid w:val="00322279"/>
    <w:rsid w:val="00322A74"/>
    <w:rsid w:val="00323F9B"/>
    <w:rsid w:val="003248FD"/>
    <w:rsid w:val="003258E7"/>
    <w:rsid w:val="00325CD4"/>
    <w:rsid w:val="003260C9"/>
    <w:rsid w:val="003266CE"/>
    <w:rsid w:val="00327382"/>
    <w:rsid w:val="00332CFC"/>
    <w:rsid w:val="00333813"/>
    <w:rsid w:val="003352F5"/>
    <w:rsid w:val="00335AF1"/>
    <w:rsid w:val="00336579"/>
    <w:rsid w:val="003369C8"/>
    <w:rsid w:val="00337C3F"/>
    <w:rsid w:val="003408B5"/>
    <w:rsid w:val="0034179E"/>
    <w:rsid w:val="00343262"/>
    <w:rsid w:val="003432D5"/>
    <w:rsid w:val="003438B3"/>
    <w:rsid w:val="003442D1"/>
    <w:rsid w:val="0034615B"/>
    <w:rsid w:val="0034650B"/>
    <w:rsid w:val="00346594"/>
    <w:rsid w:val="00347B35"/>
    <w:rsid w:val="00351BA1"/>
    <w:rsid w:val="0035242B"/>
    <w:rsid w:val="003535CB"/>
    <w:rsid w:val="00354F4F"/>
    <w:rsid w:val="00356804"/>
    <w:rsid w:val="00356B54"/>
    <w:rsid w:val="003615D6"/>
    <w:rsid w:val="003629FB"/>
    <w:rsid w:val="00362D65"/>
    <w:rsid w:val="0036305B"/>
    <w:rsid w:val="00363592"/>
    <w:rsid w:val="003651D1"/>
    <w:rsid w:val="003654C6"/>
    <w:rsid w:val="003656D5"/>
    <w:rsid w:val="003657F2"/>
    <w:rsid w:val="00365B44"/>
    <w:rsid w:val="00366126"/>
    <w:rsid w:val="0036616A"/>
    <w:rsid w:val="0036745E"/>
    <w:rsid w:val="00370AC7"/>
    <w:rsid w:val="00370BB4"/>
    <w:rsid w:val="003717B1"/>
    <w:rsid w:val="0037230A"/>
    <w:rsid w:val="00373114"/>
    <w:rsid w:val="0037341E"/>
    <w:rsid w:val="003742B2"/>
    <w:rsid w:val="00374D0F"/>
    <w:rsid w:val="00375130"/>
    <w:rsid w:val="003757BF"/>
    <w:rsid w:val="00376732"/>
    <w:rsid w:val="003768A4"/>
    <w:rsid w:val="003772B3"/>
    <w:rsid w:val="003774DE"/>
    <w:rsid w:val="00380295"/>
    <w:rsid w:val="00380A7E"/>
    <w:rsid w:val="00380D5F"/>
    <w:rsid w:val="00380E2E"/>
    <w:rsid w:val="0038115D"/>
    <w:rsid w:val="0038159D"/>
    <w:rsid w:val="003829EA"/>
    <w:rsid w:val="003841D2"/>
    <w:rsid w:val="00384755"/>
    <w:rsid w:val="00385BC9"/>
    <w:rsid w:val="003871B7"/>
    <w:rsid w:val="00390032"/>
    <w:rsid w:val="00390528"/>
    <w:rsid w:val="00391F08"/>
    <w:rsid w:val="00393309"/>
    <w:rsid w:val="003935AC"/>
    <w:rsid w:val="00393939"/>
    <w:rsid w:val="0039442A"/>
    <w:rsid w:val="00394747"/>
    <w:rsid w:val="00394D21"/>
    <w:rsid w:val="00395307"/>
    <w:rsid w:val="003955FD"/>
    <w:rsid w:val="003967BC"/>
    <w:rsid w:val="003979F9"/>
    <w:rsid w:val="003A08B5"/>
    <w:rsid w:val="003A0C2B"/>
    <w:rsid w:val="003A1390"/>
    <w:rsid w:val="003A13F8"/>
    <w:rsid w:val="003A1538"/>
    <w:rsid w:val="003A15B1"/>
    <w:rsid w:val="003A3808"/>
    <w:rsid w:val="003A4832"/>
    <w:rsid w:val="003A4978"/>
    <w:rsid w:val="003A54B0"/>
    <w:rsid w:val="003A6111"/>
    <w:rsid w:val="003A638C"/>
    <w:rsid w:val="003A746A"/>
    <w:rsid w:val="003A789D"/>
    <w:rsid w:val="003A7C3D"/>
    <w:rsid w:val="003B04EC"/>
    <w:rsid w:val="003B05BE"/>
    <w:rsid w:val="003B0618"/>
    <w:rsid w:val="003B0BAF"/>
    <w:rsid w:val="003B0DD8"/>
    <w:rsid w:val="003B164D"/>
    <w:rsid w:val="003B1A37"/>
    <w:rsid w:val="003B20C4"/>
    <w:rsid w:val="003B4135"/>
    <w:rsid w:val="003B413F"/>
    <w:rsid w:val="003B4492"/>
    <w:rsid w:val="003B48D6"/>
    <w:rsid w:val="003B7642"/>
    <w:rsid w:val="003C194F"/>
    <w:rsid w:val="003C37CE"/>
    <w:rsid w:val="003C445B"/>
    <w:rsid w:val="003C4683"/>
    <w:rsid w:val="003C46A0"/>
    <w:rsid w:val="003C499A"/>
    <w:rsid w:val="003C534B"/>
    <w:rsid w:val="003C54AB"/>
    <w:rsid w:val="003C553E"/>
    <w:rsid w:val="003C5556"/>
    <w:rsid w:val="003C623C"/>
    <w:rsid w:val="003C6628"/>
    <w:rsid w:val="003C7268"/>
    <w:rsid w:val="003C7836"/>
    <w:rsid w:val="003D088E"/>
    <w:rsid w:val="003D0AFE"/>
    <w:rsid w:val="003D1A13"/>
    <w:rsid w:val="003D1AD6"/>
    <w:rsid w:val="003D1C81"/>
    <w:rsid w:val="003D3560"/>
    <w:rsid w:val="003D4258"/>
    <w:rsid w:val="003D4904"/>
    <w:rsid w:val="003D4EFD"/>
    <w:rsid w:val="003D5CF6"/>
    <w:rsid w:val="003D5E58"/>
    <w:rsid w:val="003D60F7"/>
    <w:rsid w:val="003D777B"/>
    <w:rsid w:val="003E0550"/>
    <w:rsid w:val="003E0DF7"/>
    <w:rsid w:val="003E1764"/>
    <w:rsid w:val="003E2037"/>
    <w:rsid w:val="003E2139"/>
    <w:rsid w:val="003E2A17"/>
    <w:rsid w:val="003E3D7C"/>
    <w:rsid w:val="003E6660"/>
    <w:rsid w:val="003E673D"/>
    <w:rsid w:val="003E67B6"/>
    <w:rsid w:val="003E6B85"/>
    <w:rsid w:val="003E706B"/>
    <w:rsid w:val="003F0371"/>
    <w:rsid w:val="003F0B8E"/>
    <w:rsid w:val="003F21E8"/>
    <w:rsid w:val="003F2449"/>
    <w:rsid w:val="003F4131"/>
    <w:rsid w:val="003F418C"/>
    <w:rsid w:val="003F4D7D"/>
    <w:rsid w:val="003F5635"/>
    <w:rsid w:val="003F5AED"/>
    <w:rsid w:val="003F6BB2"/>
    <w:rsid w:val="003F7A7F"/>
    <w:rsid w:val="004003A9"/>
    <w:rsid w:val="00402433"/>
    <w:rsid w:val="00402BA3"/>
    <w:rsid w:val="00402E4C"/>
    <w:rsid w:val="0040311D"/>
    <w:rsid w:val="00404B36"/>
    <w:rsid w:val="00405B64"/>
    <w:rsid w:val="00405FBD"/>
    <w:rsid w:val="004105D6"/>
    <w:rsid w:val="004107FB"/>
    <w:rsid w:val="00410CFF"/>
    <w:rsid w:val="00411148"/>
    <w:rsid w:val="00411856"/>
    <w:rsid w:val="00411C01"/>
    <w:rsid w:val="004120FB"/>
    <w:rsid w:val="00412BDC"/>
    <w:rsid w:val="0041319C"/>
    <w:rsid w:val="00414428"/>
    <w:rsid w:val="00414664"/>
    <w:rsid w:val="00414FA6"/>
    <w:rsid w:val="004155BC"/>
    <w:rsid w:val="00415AD5"/>
    <w:rsid w:val="00416839"/>
    <w:rsid w:val="0041775E"/>
    <w:rsid w:val="004177D7"/>
    <w:rsid w:val="00420129"/>
    <w:rsid w:val="00420E2A"/>
    <w:rsid w:val="00421932"/>
    <w:rsid w:val="00422A69"/>
    <w:rsid w:val="004232AC"/>
    <w:rsid w:val="00423AAF"/>
    <w:rsid w:val="00423DF5"/>
    <w:rsid w:val="00424ACA"/>
    <w:rsid w:val="0042580D"/>
    <w:rsid w:val="00425F8E"/>
    <w:rsid w:val="0042699D"/>
    <w:rsid w:val="00430133"/>
    <w:rsid w:val="00430B10"/>
    <w:rsid w:val="0043177F"/>
    <w:rsid w:val="00431806"/>
    <w:rsid w:val="00431927"/>
    <w:rsid w:val="00431C2F"/>
    <w:rsid w:val="0043213A"/>
    <w:rsid w:val="0043231E"/>
    <w:rsid w:val="004324FC"/>
    <w:rsid w:val="0043256C"/>
    <w:rsid w:val="00432908"/>
    <w:rsid w:val="00432A9E"/>
    <w:rsid w:val="00432B37"/>
    <w:rsid w:val="00433608"/>
    <w:rsid w:val="00433BFC"/>
    <w:rsid w:val="00434636"/>
    <w:rsid w:val="004406B7"/>
    <w:rsid w:val="00440A8F"/>
    <w:rsid w:val="00441513"/>
    <w:rsid w:val="00441EDE"/>
    <w:rsid w:val="004429F3"/>
    <w:rsid w:val="00444575"/>
    <w:rsid w:val="00444A2D"/>
    <w:rsid w:val="00444B60"/>
    <w:rsid w:val="00445816"/>
    <w:rsid w:val="00445903"/>
    <w:rsid w:val="00445A54"/>
    <w:rsid w:val="00451528"/>
    <w:rsid w:val="00452BC5"/>
    <w:rsid w:val="00453051"/>
    <w:rsid w:val="004533E0"/>
    <w:rsid w:val="00453D77"/>
    <w:rsid w:val="004540F4"/>
    <w:rsid w:val="00454322"/>
    <w:rsid w:val="00454C74"/>
    <w:rsid w:val="004559D3"/>
    <w:rsid w:val="0045673D"/>
    <w:rsid w:val="00460745"/>
    <w:rsid w:val="00460C8C"/>
    <w:rsid w:val="004627A2"/>
    <w:rsid w:val="00462E61"/>
    <w:rsid w:val="00463575"/>
    <w:rsid w:val="004639BD"/>
    <w:rsid w:val="00463DEC"/>
    <w:rsid w:val="00464678"/>
    <w:rsid w:val="00464D06"/>
    <w:rsid w:val="00465BCE"/>
    <w:rsid w:val="00465D61"/>
    <w:rsid w:val="00465F69"/>
    <w:rsid w:val="00467313"/>
    <w:rsid w:val="00467AA9"/>
    <w:rsid w:val="00470030"/>
    <w:rsid w:val="00470622"/>
    <w:rsid w:val="00470BAE"/>
    <w:rsid w:val="00470DE5"/>
    <w:rsid w:val="00471A6A"/>
    <w:rsid w:val="0047233E"/>
    <w:rsid w:val="0047288E"/>
    <w:rsid w:val="00473488"/>
    <w:rsid w:val="00473696"/>
    <w:rsid w:val="00473822"/>
    <w:rsid w:val="00473F79"/>
    <w:rsid w:val="00474177"/>
    <w:rsid w:val="00474216"/>
    <w:rsid w:val="00475182"/>
    <w:rsid w:val="00475F96"/>
    <w:rsid w:val="00476378"/>
    <w:rsid w:val="004766AA"/>
    <w:rsid w:val="00476C70"/>
    <w:rsid w:val="00477FF5"/>
    <w:rsid w:val="00480883"/>
    <w:rsid w:val="004818E0"/>
    <w:rsid w:val="00483B9F"/>
    <w:rsid w:val="00483BCD"/>
    <w:rsid w:val="00484E4C"/>
    <w:rsid w:val="004850DF"/>
    <w:rsid w:val="004856F9"/>
    <w:rsid w:val="00485767"/>
    <w:rsid w:val="004862BA"/>
    <w:rsid w:val="004863CD"/>
    <w:rsid w:val="00486632"/>
    <w:rsid w:val="00487114"/>
    <w:rsid w:val="0049006C"/>
    <w:rsid w:val="004903D4"/>
    <w:rsid w:val="00490841"/>
    <w:rsid w:val="00490E3D"/>
    <w:rsid w:val="00491322"/>
    <w:rsid w:val="00492BDC"/>
    <w:rsid w:val="00492EFE"/>
    <w:rsid w:val="00493058"/>
    <w:rsid w:val="004938AB"/>
    <w:rsid w:val="00493FE7"/>
    <w:rsid w:val="004948D8"/>
    <w:rsid w:val="00494973"/>
    <w:rsid w:val="00494E9C"/>
    <w:rsid w:val="0049628E"/>
    <w:rsid w:val="004972FB"/>
    <w:rsid w:val="004A3E80"/>
    <w:rsid w:val="004A44C0"/>
    <w:rsid w:val="004A5B16"/>
    <w:rsid w:val="004A68B5"/>
    <w:rsid w:val="004B0331"/>
    <w:rsid w:val="004B0EA1"/>
    <w:rsid w:val="004B160D"/>
    <w:rsid w:val="004B162F"/>
    <w:rsid w:val="004B1A3D"/>
    <w:rsid w:val="004B202F"/>
    <w:rsid w:val="004B2E40"/>
    <w:rsid w:val="004B38F5"/>
    <w:rsid w:val="004B3D75"/>
    <w:rsid w:val="004B3DC3"/>
    <w:rsid w:val="004B3F51"/>
    <w:rsid w:val="004B517D"/>
    <w:rsid w:val="004B54B7"/>
    <w:rsid w:val="004B63DA"/>
    <w:rsid w:val="004C06C3"/>
    <w:rsid w:val="004C092A"/>
    <w:rsid w:val="004C1A1B"/>
    <w:rsid w:val="004C2630"/>
    <w:rsid w:val="004C2D99"/>
    <w:rsid w:val="004C33B1"/>
    <w:rsid w:val="004C42D6"/>
    <w:rsid w:val="004C4C9A"/>
    <w:rsid w:val="004C5B52"/>
    <w:rsid w:val="004C5D61"/>
    <w:rsid w:val="004C6E01"/>
    <w:rsid w:val="004C6F10"/>
    <w:rsid w:val="004C74E2"/>
    <w:rsid w:val="004D0406"/>
    <w:rsid w:val="004D1A61"/>
    <w:rsid w:val="004D1ABA"/>
    <w:rsid w:val="004D1C1E"/>
    <w:rsid w:val="004D33D0"/>
    <w:rsid w:val="004D407F"/>
    <w:rsid w:val="004D4432"/>
    <w:rsid w:val="004D6EC0"/>
    <w:rsid w:val="004D7843"/>
    <w:rsid w:val="004E000C"/>
    <w:rsid w:val="004E0212"/>
    <w:rsid w:val="004E0766"/>
    <w:rsid w:val="004E0F45"/>
    <w:rsid w:val="004E2011"/>
    <w:rsid w:val="004E21CF"/>
    <w:rsid w:val="004E30BB"/>
    <w:rsid w:val="004E32C5"/>
    <w:rsid w:val="004E542E"/>
    <w:rsid w:val="004E5440"/>
    <w:rsid w:val="004E5E5C"/>
    <w:rsid w:val="004E6955"/>
    <w:rsid w:val="004E7253"/>
    <w:rsid w:val="004E7450"/>
    <w:rsid w:val="004E7B0B"/>
    <w:rsid w:val="004F1240"/>
    <w:rsid w:val="004F1CB7"/>
    <w:rsid w:val="004F203A"/>
    <w:rsid w:val="004F2F78"/>
    <w:rsid w:val="004F3043"/>
    <w:rsid w:val="004F3075"/>
    <w:rsid w:val="004F3AD3"/>
    <w:rsid w:val="004F4DB6"/>
    <w:rsid w:val="004F6992"/>
    <w:rsid w:val="004F7754"/>
    <w:rsid w:val="004F7AD9"/>
    <w:rsid w:val="005015D7"/>
    <w:rsid w:val="005016EE"/>
    <w:rsid w:val="00501B72"/>
    <w:rsid w:val="00502436"/>
    <w:rsid w:val="005024CE"/>
    <w:rsid w:val="00503D15"/>
    <w:rsid w:val="00504E57"/>
    <w:rsid w:val="005051BC"/>
    <w:rsid w:val="005058E1"/>
    <w:rsid w:val="005059CD"/>
    <w:rsid w:val="00507B47"/>
    <w:rsid w:val="005115EF"/>
    <w:rsid w:val="00512881"/>
    <w:rsid w:val="00513C9C"/>
    <w:rsid w:val="005150A3"/>
    <w:rsid w:val="00515199"/>
    <w:rsid w:val="00516BCA"/>
    <w:rsid w:val="00516D41"/>
    <w:rsid w:val="00517CE9"/>
    <w:rsid w:val="00517F1B"/>
    <w:rsid w:val="005209BA"/>
    <w:rsid w:val="00520B89"/>
    <w:rsid w:val="00520D25"/>
    <w:rsid w:val="00521104"/>
    <w:rsid w:val="00521C49"/>
    <w:rsid w:val="00524DB9"/>
    <w:rsid w:val="00524E26"/>
    <w:rsid w:val="005250E4"/>
    <w:rsid w:val="00525281"/>
    <w:rsid w:val="005255BE"/>
    <w:rsid w:val="00526C96"/>
    <w:rsid w:val="00526DC5"/>
    <w:rsid w:val="00527101"/>
    <w:rsid w:val="00527548"/>
    <w:rsid w:val="00527F4F"/>
    <w:rsid w:val="00527FE6"/>
    <w:rsid w:val="00530A9F"/>
    <w:rsid w:val="00530C4D"/>
    <w:rsid w:val="005317FE"/>
    <w:rsid w:val="0053209D"/>
    <w:rsid w:val="005338B6"/>
    <w:rsid w:val="00533C64"/>
    <w:rsid w:val="00533F62"/>
    <w:rsid w:val="005341DB"/>
    <w:rsid w:val="0053470B"/>
    <w:rsid w:val="00534863"/>
    <w:rsid w:val="00535DD7"/>
    <w:rsid w:val="005363A1"/>
    <w:rsid w:val="00536833"/>
    <w:rsid w:val="00536B8F"/>
    <w:rsid w:val="005377DE"/>
    <w:rsid w:val="00537D76"/>
    <w:rsid w:val="005401AE"/>
    <w:rsid w:val="005408CE"/>
    <w:rsid w:val="005413BC"/>
    <w:rsid w:val="0054158D"/>
    <w:rsid w:val="00541635"/>
    <w:rsid w:val="005416EA"/>
    <w:rsid w:val="00542B81"/>
    <w:rsid w:val="005432F2"/>
    <w:rsid w:val="0054426F"/>
    <w:rsid w:val="00545062"/>
    <w:rsid w:val="00545600"/>
    <w:rsid w:val="005457D4"/>
    <w:rsid w:val="00545E6F"/>
    <w:rsid w:val="00546256"/>
    <w:rsid w:val="005467C6"/>
    <w:rsid w:val="00546ECB"/>
    <w:rsid w:val="00547217"/>
    <w:rsid w:val="00547C31"/>
    <w:rsid w:val="0055017E"/>
    <w:rsid w:val="00550223"/>
    <w:rsid w:val="005504F0"/>
    <w:rsid w:val="00550AE3"/>
    <w:rsid w:val="0055302F"/>
    <w:rsid w:val="00553078"/>
    <w:rsid w:val="00553612"/>
    <w:rsid w:val="00553E2C"/>
    <w:rsid w:val="00554E84"/>
    <w:rsid w:val="00555118"/>
    <w:rsid w:val="00556982"/>
    <w:rsid w:val="00560B9D"/>
    <w:rsid w:val="005614FF"/>
    <w:rsid w:val="00561A0F"/>
    <w:rsid w:val="005622DF"/>
    <w:rsid w:val="00563063"/>
    <w:rsid w:val="00563B07"/>
    <w:rsid w:val="0056419F"/>
    <w:rsid w:val="00564807"/>
    <w:rsid w:val="00564E20"/>
    <w:rsid w:val="00564F99"/>
    <w:rsid w:val="0056669B"/>
    <w:rsid w:val="00567336"/>
    <w:rsid w:val="005676C8"/>
    <w:rsid w:val="00567C92"/>
    <w:rsid w:val="00570679"/>
    <w:rsid w:val="00571E12"/>
    <w:rsid w:val="0057223B"/>
    <w:rsid w:val="00572AA1"/>
    <w:rsid w:val="005736D7"/>
    <w:rsid w:val="0057419E"/>
    <w:rsid w:val="00574531"/>
    <w:rsid w:val="00574F08"/>
    <w:rsid w:val="005751F2"/>
    <w:rsid w:val="00575331"/>
    <w:rsid w:val="005753D7"/>
    <w:rsid w:val="0057595A"/>
    <w:rsid w:val="00575AE1"/>
    <w:rsid w:val="00575E01"/>
    <w:rsid w:val="005760C5"/>
    <w:rsid w:val="0057684D"/>
    <w:rsid w:val="00576AE4"/>
    <w:rsid w:val="00576AFB"/>
    <w:rsid w:val="0057755B"/>
    <w:rsid w:val="00577CD3"/>
    <w:rsid w:val="00577DB2"/>
    <w:rsid w:val="005801E0"/>
    <w:rsid w:val="00581FF6"/>
    <w:rsid w:val="00582793"/>
    <w:rsid w:val="00582B3D"/>
    <w:rsid w:val="00582CAC"/>
    <w:rsid w:val="00582EF1"/>
    <w:rsid w:val="005834F1"/>
    <w:rsid w:val="005837F2"/>
    <w:rsid w:val="00583A8D"/>
    <w:rsid w:val="00583B45"/>
    <w:rsid w:val="00583DF8"/>
    <w:rsid w:val="00583F68"/>
    <w:rsid w:val="00584C34"/>
    <w:rsid w:val="00585A2B"/>
    <w:rsid w:val="00585D67"/>
    <w:rsid w:val="005863F9"/>
    <w:rsid w:val="00586D95"/>
    <w:rsid w:val="005877F6"/>
    <w:rsid w:val="00587BEC"/>
    <w:rsid w:val="00590945"/>
    <w:rsid w:val="00590F25"/>
    <w:rsid w:val="00590FCE"/>
    <w:rsid w:val="00592BBB"/>
    <w:rsid w:val="005944AB"/>
    <w:rsid w:val="00594BE6"/>
    <w:rsid w:val="00595CC5"/>
    <w:rsid w:val="00596D8A"/>
    <w:rsid w:val="005A0EA7"/>
    <w:rsid w:val="005A1738"/>
    <w:rsid w:val="005A1949"/>
    <w:rsid w:val="005A260F"/>
    <w:rsid w:val="005A2689"/>
    <w:rsid w:val="005A55CD"/>
    <w:rsid w:val="005A57E0"/>
    <w:rsid w:val="005A6279"/>
    <w:rsid w:val="005A678E"/>
    <w:rsid w:val="005A74D5"/>
    <w:rsid w:val="005B00D6"/>
    <w:rsid w:val="005B0E34"/>
    <w:rsid w:val="005B1896"/>
    <w:rsid w:val="005B2997"/>
    <w:rsid w:val="005B319F"/>
    <w:rsid w:val="005B4337"/>
    <w:rsid w:val="005B442A"/>
    <w:rsid w:val="005B47CD"/>
    <w:rsid w:val="005B4882"/>
    <w:rsid w:val="005B546E"/>
    <w:rsid w:val="005B5E2B"/>
    <w:rsid w:val="005B637D"/>
    <w:rsid w:val="005B6486"/>
    <w:rsid w:val="005C2642"/>
    <w:rsid w:val="005C48B7"/>
    <w:rsid w:val="005C5DB2"/>
    <w:rsid w:val="005C5DF0"/>
    <w:rsid w:val="005C6092"/>
    <w:rsid w:val="005C644A"/>
    <w:rsid w:val="005C6B46"/>
    <w:rsid w:val="005C793F"/>
    <w:rsid w:val="005C7A1F"/>
    <w:rsid w:val="005D01F4"/>
    <w:rsid w:val="005D0228"/>
    <w:rsid w:val="005D07DA"/>
    <w:rsid w:val="005D0B87"/>
    <w:rsid w:val="005D3B61"/>
    <w:rsid w:val="005D79B4"/>
    <w:rsid w:val="005E059A"/>
    <w:rsid w:val="005E0D7B"/>
    <w:rsid w:val="005E16E5"/>
    <w:rsid w:val="005E39EB"/>
    <w:rsid w:val="005E46E4"/>
    <w:rsid w:val="005E4D15"/>
    <w:rsid w:val="005E54CA"/>
    <w:rsid w:val="005E583F"/>
    <w:rsid w:val="005E609B"/>
    <w:rsid w:val="005E6B15"/>
    <w:rsid w:val="005E7739"/>
    <w:rsid w:val="005E7EAD"/>
    <w:rsid w:val="005F09C1"/>
    <w:rsid w:val="005F0E00"/>
    <w:rsid w:val="005F1482"/>
    <w:rsid w:val="005F32E3"/>
    <w:rsid w:val="005F39E7"/>
    <w:rsid w:val="005F3AF1"/>
    <w:rsid w:val="005F3C73"/>
    <w:rsid w:val="005F40C1"/>
    <w:rsid w:val="005F4143"/>
    <w:rsid w:val="005F43D4"/>
    <w:rsid w:val="005F4499"/>
    <w:rsid w:val="005F456F"/>
    <w:rsid w:val="005F4621"/>
    <w:rsid w:val="005F5521"/>
    <w:rsid w:val="005F5B0F"/>
    <w:rsid w:val="005F68D7"/>
    <w:rsid w:val="005F6F53"/>
    <w:rsid w:val="005F7105"/>
    <w:rsid w:val="005F740C"/>
    <w:rsid w:val="005F7741"/>
    <w:rsid w:val="0060028C"/>
    <w:rsid w:val="0060072F"/>
    <w:rsid w:val="00601E54"/>
    <w:rsid w:val="00602388"/>
    <w:rsid w:val="0060329C"/>
    <w:rsid w:val="00603C77"/>
    <w:rsid w:val="0060410E"/>
    <w:rsid w:val="0060412F"/>
    <w:rsid w:val="00604AE7"/>
    <w:rsid w:val="00604B88"/>
    <w:rsid w:val="00605235"/>
    <w:rsid w:val="00605CCD"/>
    <w:rsid w:val="00606556"/>
    <w:rsid w:val="006065DE"/>
    <w:rsid w:val="006068E2"/>
    <w:rsid w:val="00607584"/>
    <w:rsid w:val="006100AD"/>
    <w:rsid w:val="00610AA0"/>
    <w:rsid w:val="006121A7"/>
    <w:rsid w:val="00612679"/>
    <w:rsid w:val="006126F9"/>
    <w:rsid w:val="00612A1A"/>
    <w:rsid w:val="00612B5D"/>
    <w:rsid w:val="00614188"/>
    <w:rsid w:val="00614F6C"/>
    <w:rsid w:val="00616B1C"/>
    <w:rsid w:val="00620976"/>
    <w:rsid w:val="00620A75"/>
    <w:rsid w:val="00620D19"/>
    <w:rsid w:val="00620EBD"/>
    <w:rsid w:val="0062270D"/>
    <w:rsid w:val="006227A1"/>
    <w:rsid w:val="006235E0"/>
    <w:rsid w:val="00623A2F"/>
    <w:rsid w:val="00624987"/>
    <w:rsid w:val="00625C02"/>
    <w:rsid w:val="00625F81"/>
    <w:rsid w:val="00626342"/>
    <w:rsid w:val="006300E6"/>
    <w:rsid w:val="0063195D"/>
    <w:rsid w:val="006324C5"/>
    <w:rsid w:val="006328A9"/>
    <w:rsid w:val="00634070"/>
    <w:rsid w:val="00635E21"/>
    <w:rsid w:val="0063646F"/>
    <w:rsid w:val="00636558"/>
    <w:rsid w:val="0063732D"/>
    <w:rsid w:val="00637929"/>
    <w:rsid w:val="006402F1"/>
    <w:rsid w:val="006404A9"/>
    <w:rsid w:val="0064173D"/>
    <w:rsid w:val="00641AE7"/>
    <w:rsid w:val="00641FBF"/>
    <w:rsid w:val="006421E0"/>
    <w:rsid w:val="006430F1"/>
    <w:rsid w:val="00643AA9"/>
    <w:rsid w:val="0064431C"/>
    <w:rsid w:val="00645D28"/>
    <w:rsid w:val="00645E29"/>
    <w:rsid w:val="006462B0"/>
    <w:rsid w:val="006466FA"/>
    <w:rsid w:val="00647401"/>
    <w:rsid w:val="00647F2A"/>
    <w:rsid w:val="0065263C"/>
    <w:rsid w:val="0065276E"/>
    <w:rsid w:val="0065317F"/>
    <w:rsid w:val="0065351C"/>
    <w:rsid w:val="00653D2A"/>
    <w:rsid w:val="00654E82"/>
    <w:rsid w:val="006568D1"/>
    <w:rsid w:val="006574DF"/>
    <w:rsid w:val="006575D3"/>
    <w:rsid w:val="0066020E"/>
    <w:rsid w:val="006602D2"/>
    <w:rsid w:val="00660495"/>
    <w:rsid w:val="00660FE1"/>
    <w:rsid w:val="00661B98"/>
    <w:rsid w:val="00661DA0"/>
    <w:rsid w:val="0066222C"/>
    <w:rsid w:val="00662275"/>
    <w:rsid w:val="00662459"/>
    <w:rsid w:val="0066255D"/>
    <w:rsid w:val="0066371E"/>
    <w:rsid w:val="006638B1"/>
    <w:rsid w:val="00665822"/>
    <w:rsid w:val="0066590E"/>
    <w:rsid w:val="00665B65"/>
    <w:rsid w:val="00665CF0"/>
    <w:rsid w:val="00665DA7"/>
    <w:rsid w:val="00667C60"/>
    <w:rsid w:val="00667EDF"/>
    <w:rsid w:val="006700EE"/>
    <w:rsid w:val="00670471"/>
    <w:rsid w:val="00673535"/>
    <w:rsid w:val="0067469F"/>
    <w:rsid w:val="00675007"/>
    <w:rsid w:val="00676075"/>
    <w:rsid w:val="0067699B"/>
    <w:rsid w:val="00677406"/>
    <w:rsid w:val="00677836"/>
    <w:rsid w:val="00677999"/>
    <w:rsid w:val="00680E7D"/>
    <w:rsid w:val="0068127F"/>
    <w:rsid w:val="006816E4"/>
    <w:rsid w:val="00681CF4"/>
    <w:rsid w:val="006820C7"/>
    <w:rsid w:val="006829E5"/>
    <w:rsid w:val="00682C83"/>
    <w:rsid w:val="0068367B"/>
    <w:rsid w:val="006839EA"/>
    <w:rsid w:val="00684D13"/>
    <w:rsid w:val="00685541"/>
    <w:rsid w:val="00685AF1"/>
    <w:rsid w:val="00685B5D"/>
    <w:rsid w:val="00685ED0"/>
    <w:rsid w:val="0068663A"/>
    <w:rsid w:val="006868BC"/>
    <w:rsid w:val="0068717B"/>
    <w:rsid w:val="006914DE"/>
    <w:rsid w:val="00691EA7"/>
    <w:rsid w:val="0069256A"/>
    <w:rsid w:val="006934E2"/>
    <w:rsid w:val="00693B35"/>
    <w:rsid w:val="006946D8"/>
    <w:rsid w:val="00694A4E"/>
    <w:rsid w:val="00694CDE"/>
    <w:rsid w:val="006951BB"/>
    <w:rsid w:val="006951C1"/>
    <w:rsid w:val="00695904"/>
    <w:rsid w:val="00696A1C"/>
    <w:rsid w:val="00696C0A"/>
    <w:rsid w:val="006972A8"/>
    <w:rsid w:val="00697D67"/>
    <w:rsid w:val="006A11C7"/>
    <w:rsid w:val="006A173D"/>
    <w:rsid w:val="006A24BA"/>
    <w:rsid w:val="006A2817"/>
    <w:rsid w:val="006A2997"/>
    <w:rsid w:val="006A2E60"/>
    <w:rsid w:val="006A2F2E"/>
    <w:rsid w:val="006A39D0"/>
    <w:rsid w:val="006A6003"/>
    <w:rsid w:val="006A6B41"/>
    <w:rsid w:val="006A6EA1"/>
    <w:rsid w:val="006A7033"/>
    <w:rsid w:val="006B025B"/>
    <w:rsid w:val="006B0EB9"/>
    <w:rsid w:val="006B0ECE"/>
    <w:rsid w:val="006B1206"/>
    <w:rsid w:val="006B1B29"/>
    <w:rsid w:val="006B2A65"/>
    <w:rsid w:val="006B3ACD"/>
    <w:rsid w:val="006B449C"/>
    <w:rsid w:val="006B5BFE"/>
    <w:rsid w:val="006B648E"/>
    <w:rsid w:val="006B6769"/>
    <w:rsid w:val="006B748F"/>
    <w:rsid w:val="006B7556"/>
    <w:rsid w:val="006B783C"/>
    <w:rsid w:val="006C006E"/>
    <w:rsid w:val="006C231B"/>
    <w:rsid w:val="006C276E"/>
    <w:rsid w:val="006C3D0A"/>
    <w:rsid w:val="006C4467"/>
    <w:rsid w:val="006C4C02"/>
    <w:rsid w:val="006C54C6"/>
    <w:rsid w:val="006C5633"/>
    <w:rsid w:val="006C6123"/>
    <w:rsid w:val="006C637D"/>
    <w:rsid w:val="006C697D"/>
    <w:rsid w:val="006C780A"/>
    <w:rsid w:val="006C78E5"/>
    <w:rsid w:val="006D0121"/>
    <w:rsid w:val="006D019A"/>
    <w:rsid w:val="006D0C65"/>
    <w:rsid w:val="006D1B23"/>
    <w:rsid w:val="006D1BF5"/>
    <w:rsid w:val="006D2C1D"/>
    <w:rsid w:val="006D2C23"/>
    <w:rsid w:val="006D2F10"/>
    <w:rsid w:val="006D3974"/>
    <w:rsid w:val="006D3F4A"/>
    <w:rsid w:val="006D437A"/>
    <w:rsid w:val="006D5B02"/>
    <w:rsid w:val="006D5DA7"/>
    <w:rsid w:val="006D6589"/>
    <w:rsid w:val="006D78D9"/>
    <w:rsid w:val="006D7940"/>
    <w:rsid w:val="006D7CAC"/>
    <w:rsid w:val="006D7D05"/>
    <w:rsid w:val="006E2892"/>
    <w:rsid w:val="006E29AF"/>
    <w:rsid w:val="006E2E16"/>
    <w:rsid w:val="006E3DFB"/>
    <w:rsid w:val="006E4865"/>
    <w:rsid w:val="006E5CE5"/>
    <w:rsid w:val="006E5E62"/>
    <w:rsid w:val="006E6235"/>
    <w:rsid w:val="006E6AC8"/>
    <w:rsid w:val="006E7045"/>
    <w:rsid w:val="006E709D"/>
    <w:rsid w:val="006E70EA"/>
    <w:rsid w:val="006E7D5E"/>
    <w:rsid w:val="006F09D7"/>
    <w:rsid w:val="006F1524"/>
    <w:rsid w:val="006F1CEE"/>
    <w:rsid w:val="006F3153"/>
    <w:rsid w:val="006F3302"/>
    <w:rsid w:val="006F34B5"/>
    <w:rsid w:val="006F37A6"/>
    <w:rsid w:val="006F4DF2"/>
    <w:rsid w:val="006F6990"/>
    <w:rsid w:val="006F7B0C"/>
    <w:rsid w:val="0070047A"/>
    <w:rsid w:val="007008BF"/>
    <w:rsid w:val="00701613"/>
    <w:rsid w:val="00702846"/>
    <w:rsid w:val="00703451"/>
    <w:rsid w:val="00703481"/>
    <w:rsid w:val="007045D1"/>
    <w:rsid w:val="00704D16"/>
    <w:rsid w:val="00705105"/>
    <w:rsid w:val="007051E8"/>
    <w:rsid w:val="00705B1D"/>
    <w:rsid w:val="007068DC"/>
    <w:rsid w:val="007068FA"/>
    <w:rsid w:val="0071010F"/>
    <w:rsid w:val="00710199"/>
    <w:rsid w:val="00711DDE"/>
    <w:rsid w:val="00713B4C"/>
    <w:rsid w:val="00713E45"/>
    <w:rsid w:val="00715ACC"/>
    <w:rsid w:val="00717784"/>
    <w:rsid w:val="00720893"/>
    <w:rsid w:val="00720C6D"/>
    <w:rsid w:val="007216AD"/>
    <w:rsid w:val="007227B2"/>
    <w:rsid w:val="00723896"/>
    <w:rsid w:val="00724E68"/>
    <w:rsid w:val="00726240"/>
    <w:rsid w:val="007274ED"/>
    <w:rsid w:val="00731263"/>
    <w:rsid w:val="00731325"/>
    <w:rsid w:val="00731619"/>
    <w:rsid w:val="00731766"/>
    <w:rsid w:val="0073208A"/>
    <w:rsid w:val="00733916"/>
    <w:rsid w:val="00733D7D"/>
    <w:rsid w:val="00734230"/>
    <w:rsid w:val="0073427D"/>
    <w:rsid w:val="00734348"/>
    <w:rsid w:val="00734558"/>
    <w:rsid w:val="00734994"/>
    <w:rsid w:val="00735C25"/>
    <w:rsid w:val="007367BB"/>
    <w:rsid w:val="00736B55"/>
    <w:rsid w:val="00737C12"/>
    <w:rsid w:val="00741069"/>
    <w:rsid w:val="00741798"/>
    <w:rsid w:val="00742249"/>
    <w:rsid w:val="0074268E"/>
    <w:rsid w:val="007433C1"/>
    <w:rsid w:val="00743792"/>
    <w:rsid w:val="00743A88"/>
    <w:rsid w:val="00744355"/>
    <w:rsid w:val="00744814"/>
    <w:rsid w:val="00744B5A"/>
    <w:rsid w:val="00744B7E"/>
    <w:rsid w:val="00744E81"/>
    <w:rsid w:val="00744FF1"/>
    <w:rsid w:val="0074645C"/>
    <w:rsid w:val="0074650C"/>
    <w:rsid w:val="00746798"/>
    <w:rsid w:val="00746A1E"/>
    <w:rsid w:val="00747447"/>
    <w:rsid w:val="00750424"/>
    <w:rsid w:val="00750540"/>
    <w:rsid w:val="00750C6A"/>
    <w:rsid w:val="00750CA2"/>
    <w:rsid w:val="00750D52"/>
    <w:rsid w:val="00751320"/>
    <w:rsid w:val="00751886"/>
    <w:rsid w:val="00751BB8"/>
    <w:rsid w:val="00752614"/>
    <w:rsid w:val="00755335"/>
    <w:rsid w:val="00756856"/>
    <w:rsid w:val="0075772A"/>
    <w:rsid w:val="00757B3D"/>
    <w:rsid w:val="00757C82"/>
    <w:rsid w:val="00760265"/>
    <w:rsid w:val="00760F5B"/>
    <w:rsid w:val="007619B6"/>
    <w:rsid w:val="007636C1"/>
    <w:rsid w:val="00764D0E"/>
    <w:rsid w:val="00767D0F"/>
    <w:rsid w:val="0077060F"/>
    <w:rsid w:val="007712C2"/>
    <w:rsid w:val="007712D1"/>
    <w:rsid w:val="0077251A"/>
    <w:rsid w:val="00772AFF"/>
    <w:rsid w:val="007734CF"/>
    <w:rsid w:val="00773CE1"/>
    <w:rsid w:val="007743B5"/>
    <w:rsid w:val="0077447B"/>
    <w:rsid w:val="00774B04"/>
    <w:rsid w:val="007754E2"/>
    <w:rsid w:val="00776800"/>
    <w:rsid w:val="00776F23"/>
    <w:rsid w:val="007809DF"/>
    <w:rsid w:val="00780BE9"/>
    <w:rsid w:val="00780CE3"/>
    <w:rsid w:val="00780E77"/>
    <w:rsid w:val="00781255"/>
    <w:rsid w:val="007812FC"/>
    <w:rsid w:val="007824B3"/>
    <w:rsid w:val="00782662"/>
    <w:rsid w:val="00782942"/>
    <w:rsid w:val="00783334"/>
    <w:rsid w:val="0078378C"/>
    <w:rsid w:val="00783BE2"/>
    <w:rsid w:val="00783ECC"/>
    <w:rsid w:val="0078415A"/>
    <w:rsid w:val="00784260"/>
    <w:rsid w:val="007864F4"/>
    <w:rsid w:val="00790347"/>
    <w:rsid w:val="0079136B"/>
    <w:rsid w:val="00791CB0"/>
    <w:rsid w:val="00793CBE"/>
    <w:rsid w:val="00793F4E"/>
    <w:rsid w:val="00794724"/>
    <w:rsid w:val="00794ACE"/>
    <w:rsid w:val="00794DA0"/>
    <w:rsid w:val="00795826"/>
    <w:rsid w:val="007961B2"/>
    <w:rsid w:val="007961FA"/>
    <w:rsid w:val="0079698B"/>
    <w:rsid w:val="00796B14"/>
    <w:rsid w:val="00797F8D"/>
    <w:rsid w:val="007A12A0"/>
    <w:rsid w:val="007A12D9"/>
    <w:rsid w:val="007A1735"/>
    <w:rsid w:val="007A3205"/>
    <w:rsid w:val="007A4279"/>
    <w:rsid w:val="007A616E"/>
    <w:rsid w:val="007A645B"/>
    <w:rsid w:val="007A64DB"/>
    <w:rsid w:val="007B14C5"/>
    <w:rsid w:val="007B2658"/>
    <w:rsid w:val="007B3BF8"/>
    <w:rsid w:val="007B53EB"/>
    <w:rsid w:val="007B587E"/>
    <w:rsid w:val="007B5CE2"/>
    <w:rsid w:val="007B6085"/>
    <w:rsid w:val="007B67BC"/>
    <w:rsid w:val="007B6C42"/>
    <w:rsid w:val="007B74D2"/>
    <w:rsid w:val="007C04EF"/>
    <w:rsid w:val="007C0534"/>
    <w:rsid w:val="007C094D"/>
    <w:rsid w:val="007C109F"/>
    <w:rsid w:val="007C1AD8"/>
    <w:rsid w:val="007C1D59"/>
    <w:rsid w:val="007C218B"/>
    <w:rsid w:val="007C40B3"/>
    <w:rsid w:val="007C455C"/>
    <w:rsid w:val="007C6468"/>
    <w:rsid w:val="007C7603"/>
    <w:rsid w:val="007D00D3"/>
    <w:rsid w:val="007D0DDC"/>
    <w:rsid w:val="007D14DF"/>
    <w:rsid w:val="007D17A8"/>
    <w:rsid w:val="007D4586"/>
    <w:rsid w:val="007D4DA6"/>
    <w:rsid w:val="007D57DE"/>
    <w:rsid w:val="007D5853"/>
    <w:rsid w:val="007D5D1D"/>
    <w:rsid w:val="007D6B8F"/>
    <w:rsid w:val="007D7001"/>
    <w:rsid w:val="007D7124"/>
    <w:rsid w:val="007D7A86"/>
    <w:rsid w:val="007D7C94"/>
    <w:rsid w:val="007E0B22"/>
    <w:rsid w:val="007E3187"/>
    <w:rsid w:val="007E3599"/>
    <w:rsid w:val="007E397C"/>
    <w:rsid w:val="007E3DFD"/>
    <w:rsid w:val="007E3E90"/>
    <w:rsid w:val="007E5473"/>
    <w:rsid w:val="007E5E1D"/>
    <w:rsid w:val="007E68F7"/>
    <w:rsid w:val="007E6993"/>
    <w:rsid w:val="007E6F5F"/>
    <w:rsid w:val="007E6F82"/>
    <w:rsid w:val="007E7036"/>
    <w:rsid w:val="007F19ED"/>
    <w:rsid w:val="007F22F4"/>
    <w:rsid w:val="007F24C7"/>
    <w:rsid w:val="007F24FA"/>
    <w:rsid w:val="007F4F00"/>
    <w:rsid w:val="007F5044"/>
    <w:rsid w:val="007F505C"/>
    <w:rsid w:val="007F7CCE"/>
    <w:rsid w:val="00800282"/>
    <w:rsid w:val="00800FF6"/>
    <w:rsid w:val="00801494"/>
    <w:rsid w:val="0080168B"/>
    <w:rsid w:val="00801D64"/>
    <w:rsid w:val="00802438"/>
    <w:rsid w:val="00802825"/>
    <w:rsid w:val="00803946"/>
    <w:rsid w:val="00803AAA"/>
    <w:rsid w:val="0080523D"/>
    <w:rsid w:val="008057CE"/>
    <w:rsid w:val="008057F6"/>
    <w:rsid w:val="00805857"/>
    <w:rsid w:val="00805F8E"/>
    <w:rsid w:val="00806CF2"/>
    <w:rsid w:val="00807A0A"/>
    <w:rsid w:val="008106DA"/>
    <w:rsid w:val="00810BA3"/>
    <w:rsid w:val="00810DCA"/>
    <w:rsid w:val="00810EFA"/>
    <w:rsid w:val="00812707"/>
    <w:rsid w:val="0081315D"/>
    <w:rsid w:val="0081336D"/>
    <w:rsid w:val="00813E69"/>
    <w:rsid w:val="008155B0"/>
    <w:rsid w:val="00815D45"/>
    <w:rsid w:val="008165C8"/>
    <w:rsid w:val="008173D7"/>
    <w:rsid w:val="0081799F"/>
    <w:rsid w:val="00817CA4"/>
    <w:rsid w:val="00817D26"/>
    <w:rsid w:val="00821032"/>
    <w:rsid w:val="008223B4"/>
    <w:rsid w:val="008223D8"/>
    <w:rsid w:val="0082344E"/>
    <w:rsid w:val="0082430F"/>
    <w:rsid w:val="00824620"/>
    <w:rsid w:val="00824AD6"/>
    <w:rsid w:val="00824AF6"/>
    <w:rsid w:val="008261B6"/>
    <w:rsid w:val="00826462"/>
    <w:rsid w:val="008269D0"/>
    <w:rsid w:val="008271ED"/>
    <w:rsid w:val="00827A1D"/>
    <w:rsid w:val="00827E8B"/>
    <w:rsid w:val="0083056E"/>
    <w:rsid w:val="00830CC4"/>
    <w:rsid w:val="00830FBB"/>
    <w:rsid w:val="00832999"/>
    <w:rsid w:val="00832E72"/>
    <w:rsid w:val="008340D5"/>
    <w:rsid w:val="00834C8B"/>
    <w:rsid w:val="00835078"/>
    <w:rsid w:val="00836634"/>
    <w:rsid w:val="008372D3"/>
    <w:rsid w:val="008372FE"/>
    <w:rsid w:val="008376C6"/>
    <w:rsid w:val="008377E8"/>
    <w:rsid w:val="00837A1F"/>
    <w:rsid w:val="00840044"/>
    <w:rsid w:val="00841A3E"/>
    <w:rsid w:val="00841C4F"/>
    <w:rsid w:val="00841D88"/>
    <w:rsid w:val="00842CE8"/>
    <w:rsid w:val="00843F12"/>
    <w:rsid w:val="00844759"/>
    <w:rsid w:val="00844C8C"/>
    <w:rsid w:val="00845A87"/>
    <w:rsid w:val="00845C90"/>
    <w:rsid w:val="00845CDE"/>
    <w:rsid w:val="0084678D"/>
    <w:rsid w:val="0084758C"/>
    <w:rsid w:val="008476F1"/>
    <w:rsid w:val="00847A00"/>
    <w:rsid w:val="00850BAF"/>
    <w:rsid w:val="00850D9B"/>
    <w:rsid w:val="0085119E"/>
    <w:rsid w:val="00852292"/>
    <w:rsid w:val="00852388"/>
    <w:rsid w:val="008527DF"/>
    <w:rsid w:val="00852EDC"/>
    <w:rsid w:val="00854200"/>
    <w:rsid w:val="00854D8B"/>
    <w:rsid w:val="0085601A"/>
    <w:rsid w:val="00857C13"/>
    <w:rsid w:val="00860390"/>
    <w:rsid w:val="00860C4A"/>
    <w:rsid w:val="008617C8"/>
    <w:rsid w:val="008620C5"/>
    <w:rsid w:val="00863675"/>
    <w:rsid w:val="008670FF"/>
    <w:rsid w:val="0086761A"/>
    <w:rsid w:val="00867B48"/>
    <w:rsid w:val="00867C06"/>
    <w:rsid w:val="00867D4A"/>
    <w:rsid w:val="00871BD2"/>
    <w:rsid w:val="008733FF"/>
    <w:rsid w:val="00873D0E"/>
    <w:rsid w:val="00874D73"/>
    <w:rsid w:val="00875A1B"/>
    <w:rsid w:val="00875EF7"/>
    <w:rsid w:val="00880B30"/>
    <w:rsid w:val="0088189C"/>
    <w:rsid w:val="00882052"/>
    <w:rsid w:val="00882475"/>
    <w:rsid w:val="00882D72"/>
    <w:rsid w:val="00882FFC"/>
    <w:rsid w:val="00883055"/>
    <w:rsid w:val="00883D86"/>
    <w:rsid w:val="00883ED9"/>
    <w:rsid w:val="00884105"/>
    <w:rsid w:val="0088475F"/>
    <w:rsid w:val="0088560C"/>
    <w:rsid w:val="00885E7D"/>
    <w:rsid w:val="008860FF"/>
    <w:rsid w:val="00886194"/>
    <w:rsid w:val="008866A7"/>
    <w:rsid w:val="00887BC0"/>
    <w:rsid w:val="008905D6"/>
    <w:rsid w:val="00892B71"/>
    <w:rsid w:val="0089331F"/>
    <w:rsid w:val="00893ACA"/>
    <w:rsid w:val="008943F2"/>
    <w:rsid w:val="008949A1"/>
    <w:rsid w:val="00894DBA"/>
    <w:rsid w:val="00894DDD"/>
    <w:rsid w:val="00895050"/>
    <w:rsid w:val="008952BB"/>
    <w:rsid w:val="008955EC"/>
    <w:rsid w:val="00895CCA"/>
    <w:rsid w:val="00896235"/>
    <w:rsid w:val="00896B12"/>
    <w:rsid w:val="008A128B"/>
    <w:rsid w:val="008A138F"/>
    <w:rsid w:val="008A327D"/>
    <w:rsid w:val="008A3734"/>
    <w:rsid w:val="008A46D0"/>
    <w:rsid w:val="008A6558"/>
    <w:rsid w:val="008A74E4"/>
    <w:rsid w:val="008A796A"/>
    <w:rsid w:val="008A7D3F"/>
    <w:rsid w:val="008B0730"/>
    <w:rsid w:val="008B0AA7"/>
    <w:rsid w:val="008B0B94"/>
    <w:rsid w:val="008B188E"/>
    <w:rsid w:val="008B1E24"/>
    <w:rsid w:val="008B1E6B"/>
    <w:rsid w:val="008B2371"/>
    <w:rsid w:val="008B282F"/>
    <w:rsid w:val="008B4B0C"/>
    <w:rsid w:val="008B4C3B"/>
    <w:rsid w:val="008B58DE"/>
    <w:rsid w:val="008B62ED"/>
    <w:rsid w:val="008B71F5"/>
    <w:rsid w:val="008C0B55"/>
    <w:rsid w:val="008C0D96"/>
    <w:rsid w:val="008C1A13"/>
    <w:rsid w:val="008C2E0D"/>
    <w:rsid w:val="008C328C"/>
    <w:rsid w:val="008C4A14"/>
    <w:rsid w:val="008C4B52"/>
    <w:rsid w:val="008C53A0"/>
    <w:rsid w:val="008C5522"/>
    <w:rsid w:val="008C6671"/>
    <w:rsid w:val="008C69A6"/>
    <w:rsid w:val="008C777C"/>
    <w:rsid w:val="008C7926"/>
    <w:rsid w:val="008D0028"/>
    <w:rsid w:val="008D032C"/>
    <w:rsid w:val="008D1283"/>
    <w:rsid w:val="008D33E2"/>
    <w:rsid w:val="008D3896"/>
    <w:rsid w:val="008D41B7"/>
    <w:rsid w:val="008D41BC"/>
    <w:rsid w:val="008D4A8C"/>
    <w:rsid w:val="008D4D47"/>
    <w:rsid w:val="008D5B84"/>
    <w:rsid w:val="008D5DAE"/>
    <w:rsid w:val="008D5E6A"/>
    <w:rsid w:val="008D63A4"/>
    <w:rsid w:val="008D6531"/>
    <w:rsid w:val="008D7A02"/>
    <w:rsid w:val="008D7F51"/>
    <w:rsid w:val="008E0923"/>
    <w:rsid w:val="008E10AC"/>
    <w:rsid w:val="008E1C88"/>
    <w:rsid w:val="008E2CFD"/>
    <w:rsid w:val="008E3376"/>
    <w:rsid w:val="008E351E"/>
    <w:rsid w:val="008E3911"/>
    <w:rsid w:val="008E3C92"/>
    <w:rsid w:val="008E420F"/>
    <w:rsid w:val="008E4324"/>
    <w:rsid w:val="008E4C8A"/>
    <w:rsid w:val="008E7162"/>
    <w:rsid w:val="008E75AC"/>
    <w:rsid w:val="008E7844"/>
    <w:rsid w:val="008F02EE"/>
    <w:rsid w:val="008F1A2E"/>
    <w:rsid w:val="008F2556"/>
    <w:rsid w:val="008F2913"/>
    <w:rsid w:val="008F2D6A"/>
    <w:rsid w:val="008F370E"/>
    <w:rsid w:val="008F3871"/>
    <w:rsid w:val="008F3F4E"/>
    <w:rsid w:val="008F4DD0"/>
    <w:rsid w:val="008F50DF"/>
    <w:rsid w:val="008F611F"/>
    <w:rsid w:val="008F6CA1"/>
    <w:rsid w:val="008F7063"/>
    <w:rsid w:val="008F731E"/>
    <w:rsid w:val="008F7850"/>
    <w:rsid w:val="0090031E"/>
    <w:rsid w:val="0090095D"/>
    <w:rsid w:val="00900EFB"/>
    <w:rsid w:val="009012B3"/>
    <w:rsid w:val="00901681"/>
    <w:rsid w:val="00902554"/>
    <w:rsid w:val="0090268A"/>
    <w:rsid w:val="00903C8D"/>
    <w:rsid w:val="00903DFC"/>
    <w:rsid w:val="00904174"/>
    <w:rsid w:val="009042F9"/>
    <w:rsid w:val="00904417"/>
    <w:rsid w:val="009052C5"/>
    <w:rsid w:val="00905D14"/>
    <w:rsid w:val="0090670E"/>
    <w:rsid w:val="00906E37"/>
    <w:rsid w:val="009074D9"/>
    <w:rsid w:val="00907D2B"/>
    <w:rsid w:val="00910772"/>
    <w:rsid w:val="009110E8"/>
    <w:rsid w:val="009139E7"/>
    <w:rsid w:val="009159CE"/>
    <w:rsid w:val="00915A66"/>
    <w:rsid w:val="00917318"/>
    <w:rsid w:val="00917DCD"/>
    <w:rsid w:val="009209FC"/>
    <w:rsid w:val="009211A8"/>
    <w:rsid w:val="00921639"/>
    <w:rsid w:val="0092187F"/>
    <w:rsid w:val="00921EC3"/>
    <w:rsid w:val="00922425"/>
    <w:rsid w:val="00922EAF"/>
    <w:rsid w:val="009230DD"/>
    <w:rsid w:val="00923D47"/>
    <w:rsid w:val="00924DDE"/>
    <w:rsid w:val="00925327"/>
    <w:rsid w:val="00925656"/>
    <w:rsid w:val="009259C8"/>
    <w:rsid w:val="00926069"/>
    <w:rsid w:val="00927778"/>
    <w:rsid w:val="00927933"/>
    <w:rsid w:val="00927F71"/>
    <w:rsid w:val="00930DB2"/>
    <w:rsid w:val="0093231A"/>
    <w:rsid w:val="00932BB1"/>
    <w:rsid w:val="00933E23"/>
    <w:rsid w:val="00935A57"/>
    <w:rsid w:val="00935FD3"/>
    <w:rsid w:val="0093629B"/>
    <w:rsid w:val="00936328"/>
    <w:rsid w:val="00936B2E"/>
    <w:rsid w:val="009371F9"/>
    <w:rsid w:val="00937470"/>
    <w:rsid w:val="00940DB6"/>
    <w:rsid w:val="009417D3"/>
    <w:rsid w:val="00942B7A"/>
    <w:rsid w:val="009437FD"/>
    <w:rsid w:val="009441AA"/>
    <w:rsid w:val="00945D7C"/>
    <w:rsid w:val="00946218"/>
    <w:rsid w:val="00946F60"/>
    <w:rsid w:val="009501B1"/>
    <w:rsid w:val="00950278"/>
    <w:rsid w:val="00950C0B"/>
    <w:rsid w:val="00950CAE"/>
    <w:rsid w:val="00952815"/>
    <w:rsid w:val="00953469"/>
    <w:rsid w:val="0095574F"/>
    <w:rsid w:val="00955EE6"/>
    <w:rsid w:val="0095625C"/>
    <w:rsid w:val="0095663B"/>
    <w:rsid w:val="00957383"/>
    <w:rsid w:val="00957F1C"/>
    <w:rsid w:val="009602AC"/>
    <w:rsid w:val="00960D12"/>
    <w:rsid w:val="00962FAE"/>
    <w:rsid w:val="0096352C"/>
    <w:rsid w:val="00963A02"/>
    <w:rsid w:val="00963A1E"/>
    <w:rsid w:val="00964D22"/>
    <w:rsid w:val="0096537C"/>
    <w:rsid w:val="00966AE9"/>
    <w:rsid w:val="009672B4"/>
    <w:rsid w:val="009675DC"/>
    <w:rsid w:val="00970A5B"/>
    <w:rsid w:val="009714FB"/>
    <w:rsid w:val="00971742"/>
    <w:rsid w:val="00971897"/>
    <w:rsid w:val="00971DC1"/>
    <w:rsid w:val="009729A6"/>
    <w:rsid w:val="009729C8"/>
    <w:rsid w:val="00975A22"/>
    <w:rsid w:val="00975A78"/>
    <w:rsid w:val="0097636C"/>
    <w:rsid w:val="0097694E"/>
    <w:rsid w:val="00976E39"/>
    <w:rsid w:val="00980373"/>
    <w:rsid w:val="009805B7"/>
    <w:rsid w:val="009805EB"/>
    <w:rsid w:val="009815E7"/>
    <w:rsid w:val="00982CAD"/>
    <w:rsid w:val="00982E9E"/>
    <w:rsid w:val="009839F3"/>
    <w:rsid w:val="00983BF4"/>
    <w:rsid w:val="00985B02"/>
    <w:rsid w:val="00986BAE"/>
    <w:rsid w:val="00987C03"/>
    <w:rsid w:val="009900B2"/>
    <w:rsid w:val="0099039E"/>
    <w:rsid w:val="00992251"/>
    <w:rsid w:val="00992F1C"/>
    <w:rsid w:val="00993F4F"/>
    <w:rsid w:val="0099413F"/>
    <w:rsid w:val="00994922"/>
    <w:rsid w:val="009A017E"/>
    <w:rsid w:val="009A021C"/>
    <w:rsid w:val="009A0EE5"/>
    <w:rsid w:val="009A137A"/>
    <w:rsid w:val="009A1852"/>
    <w:rsid w:val="009A1A68"/>
    <w:rsid w:val="009A2A0C"/>
    <w:rsid w:val="009A2F5D"/>
    <w:rsid w:val="009A38B5"/>
    <w:rsid w:val="009A757B"/>
    <w:rsid w:val="009A7CF9"/>
    <w:rsid w:val="009A7D3E"/>
    <w:rsid w:val="009B0533"/>
    <w:rsid w:val="009B0AC8"/>
    <w:rsid w:val="009B0EB8"/>
    <w:rsid w:val="009B11B7"/>
    <w:rsid w:val="009B1643"/>
    <w:rsid w:val="009B25FD"/>
    <w:rsid w:val="009B290D"/>
    <w:rsid w:val="009B3321"/>
    <w:rsid w:val="009B419F"/>
    <w:rsid w:val="009B4DA7"/>
    <w:rsid w:val="009B599C"/>
    <w:rsid w:val="009B5E5A"/>
    <w:rsid w:val="009B6EC9"/>
    <w:rsid w:val="009C0159"/>
    <w:rsid w:val="009C03D5"/>
    <w:rsid w:val="009C07EC"/>
    <w:rsid w:val="009C08C2"/>
    <w:rsid w:val="009C0B2E"/>
    <w:rsid w:val="009C11EC"/>
    <w:rsid w:val="009C1DA5"/>
    <w:rsid w:val="009C48FC"/>
    <w:rsid w:val="009C5290"/>
    <w:rsid w:val="009C52A3"/>
    <w:rsid w:val="009C71BB"/>
    <w:rsid w:val="009D0577"/>
    <w:rsid w:val="009D13E1"/>
    <w:rsid w:val="009D1D14"/>
    <w:rsid w:val="009D2834"/>
    <w:rsid w:val="009D317D"/>
    <w:rsid w:val="009D36BF"/>
    <w:rsid w:val="009D3B1B"/>
    <w:rsid w:val="009D40C4"/>
    <w:rsid w:val="009D42AC"/>
    <w:rsid w:val="009D48CB"/>
    <w:rsid w:val="009D513F"/>
    <w:rsid w:val="009D5BD0"/>
    <w:rsid w:val="009D755A"/>
    <w:rsid w:val="009D7B3C"/>
    <w:rsid w:val="009E2C45"/>
    <w:rsid w:val="009E4C24"/>
    <w:rsid w:val="009E58AB"/>
    <w:rsid w:val="009E5BA6"/>
    <w:rsid w:val="009E640D"/>
    <w:rsid w:val="009E6ED8"/>
    <w:rsid w:val="009E7675"/>
    <w:rsid w:val="009F0D94"/>
    <w:rsid w:val="009F0F44"/>
    <w:rsid w:val="009F14CC"/>
    <w:rsid w:val="009F1BEA"/>
    <w:rsid w:val="009F20A2"/>
    <w:rsid w:val="009F2C15"/>
    <w:rsid w:val="009F2C2D"/>
    <w:rsid w:val="009F3B69"/>
    <w:rsid w:val="009F4788"/>
    <w:rsid w:val="009F57DA"/>
    <w:rsid w:val="009F667D"/>
    <w:rsid w:val="009F6AA1"/>
    <w:rsid w:val="009F7B10"/>
    <w:rsid w:val="009F7F69"/>
    <w:rsid w:val="00A0007B"/>
    <w:rsid w:val="00A00561"/>
    <w:rsid w:val="00A006E8"/>
    <w:rsid w:val="00A00822"/>
    <w:rsid w:val="00A01C12"/>
    <w:rsid w:val="00A01DE5"/>
    <w:rsid w:val="00A01F85"/>
    <w:rsid w:val="00A0317F"/>
    <w:rsid w:val="00A034EC"/>
    <w:rsid w:val="00A03664"/>
    <w:rsid w:val="00A0576F"/>
    <w:rsid w:val="00A05B82"/>
    <w:rsid w:val="00A06854"/>
    <w:rsid w:val="00A10179"/>
    <w:rsid w:val="00A10FDD"/>
    <w:rsid w:val="00A1196A"/>
    <w:rsid w:val="00A11BF5"/>
    <w:rsid w:val="00A12A96"/>
    <w:rsid w:val="00A15391"/>
    <w:rsid w:val="00A1567D"/>
    <w:rsid w:val="00A160DC"/>
    <w:rsid w:val="00A167A6"/>
    <w:rsid w:val="00A177F4"/>
    <w:rsid w:val="00A207FA"/>
    <w:rsid w:val="00A20FD2"/>
    <w:rsid w:val="00A2100A"/>
    <w:rsid w:val="00A21949"/>
    <w:rsid w:val="00A21A00"/>
    <w:rsid w:val="00A22942"/>
    <w:rsid w:val="00A230B1"/>
    <w:rsid w:val="00A2388F"/>
    <w:rsid w:val="00A23F32"/>
    <w:rsid w:val="00A2443D"/>
    <w:rsid w:val="00A24793"/>
    <w:rsid w:val="00A24E12"/>
    <w:rsid w:val="00A2613E"/>
    <w:rsid w:val="00A2654E"/>
    <w:rsid w:val="00A26E30"/>
    <w:rsid w:val="00A26E3C"/>
    <w:rsid w:val="00A270C7"/>
    <w:rsid w:val="00A30700"/>
    <w:rsid w:val="00A30ABA"/>
    <w:rsid w:val="00A3306B"/>
    <w:rsid w:val="00A3353D"/>
    <w:rsid w:val="00A35815"/>
    <w:rsid w:val="00A35928"/>
    <w:rsid w:val="00A3626D"/>
    <w:rsid w:val="00A3667A"/>
    <w:rsid w:val="00A36950"/>
    <w:rsid w:val="00A373B1"/>
    <w:rsid w:val="00A3757E"/>
    <w:rsid w:val="00A37B8F"/>
    <w:rsid w:val="00A40937"/>
    <w:rsid w:val="00A41398"/>
    <w:rsid w:val="00A42840"/>
    <w:rsid w:val="00A432A1"/>
    <w:rsid w:val="00A4361E"/>
    <w:rsid w:val="00A439AD"/>
    <w:rsid w:val="00A43E87"/>
    <w:rsid w:val="00A4520D"/>
    <w:rsid w:val="00A4642C"/>
    <w:rsid w:val="00A46A65"/>
    <w:rsid w:val="00A47766"/>
    <w:rsid w:val="00A47E74"/>
    <w:rsid w:val="00A50E90"/>
    <w:rsid w:val="00A537A6"/>
    <w:rsid w:val="00A55014"/>
    <w:rsid w:val="00A55765"/>
    <w:rsid w:val="00A55DFF"/>
    <w:rsid w:val="00A56AEB"/>
    <w:rsid w:val="00A578D5"/>
    <w:rsid w:val="00A62B27"/>
    <w:rsid w:val="00A6327E"/>
    <w:rsid w:val="00A63617"/>
    <w:rsid w:val="00A64499"/>
    <w:rsid w:val="00A64AE3"/>
    <w:rsid w:val="00A65708"/>
    <w:rsid w:val="00A667FB"/>
    <w:rsid w:val="00A67584"/>
    <w:rsid w:val="00A67B83"/>
    <w:rsid w:val="00A720CC"/>
    <w:rsid w:val="00A72774"/>
    <w:rsid w:val="00A72D25"/>
    <w:rsid w:val="00A744D0"/>
    <w:rsid w:val="00A74EF3"/>
    <w:rsid w:val="00A752FC"/>
    <w:rsid w:val="00A7602F"/>
    <w:rsid w:val="00A76572"/>
    <w:rsid w:val="00A77BF2"/>
    <w:rsid w:val="00A8039D"/>
    <w:rsid w:val="00A806F1"/>
    <w:rsid w:val="00A8085C"/>
    <w:rsid w:val="00A80AB5"/>
    <w:rsid w:val="00A80E8F"/>
    <w:rsid w:val="00A82014"/>
    <w:rsid w:val="00A830F4"/>
    <w:rsid w:val="00A832F5"/>
    <w:rsid w:val="00A845E8"/>
    <w:rsid w:val="00A84E98"/>
    <w:rsid w:val="00A86132"/>
    <w:rsid w:val="00A868D5"/>
    <w:rsid w:val="00A86C39"/>
    <w:rsid w:val="00A87281"/>
    <w:rsid w:val="00A87EED"/>
    <w:rsid w:val="00A90AB5"/>
    <w:rsid w:val="00A92592"/>
    <w:rsid w:val="00A92EE0"/>
    <w:rsid w:val="00A93D92"/>
    <w:rsid w:val="00A951C6"/>
    <w:rsid w:val="00A95744"/>
    <w:rsid w:val="00A9716B"/>
    <w:rsid w:val="00AA0248"/>
    <w:rsid w:val="00AA0D6B"/>
    <w:rsid w:val="00AA1E94"/>
    <w:rsid w:val="00AA32A2"/>
    <w:rsid w:val="00AA519A"/>
    <w:rsid w:val="00AA5A87"/>
    <w:rsid w:val="00AA6348"/>
    <w:rsid w:val="00AA7033"/>
    <w:rsid w:val="00AA7714"/>
    <w:rsid w:val="00AA7CF5"/>
    <w:rsid w:val="00AB263F"/>
    <w:rsid w:val="00AB3387"/>
    <w:rsid w:val="00AB3BE1"/>
    <w:rsid w:val="00AB4726"/>
    <w:rsid w:val="00AB47C0"/>
    <w:rsid w:val="00AB5919"/>
    <w:rsid w:val="00AB61AA"/>
    <w:rsid w:val="00AB6856"/>
    <w:rsid w:val="00AB6D7E"/>
    <w:rsid w:val="00AB7950"/>
    <w:rsid w:val="00AB7C90"/>
    <w:rsid w:val="00AC0694"/>
    <w:rsid w:val="00AC2BBA"/>
    <w:rsid w:val="00AC3949"/>
    <w:rsid w:val="00AC3BAF"/>
    <w:rsid w:val="00AC4C6D"/>
    <w:rsid w:val="00AC5409"/>
    <w:rsid w:val="00AC61D8"/>
    <w:rsid w:val="00AC6A02"/>
    <w:rsid w:val="00AC6B92"/>
    <w:rsid w:val="00AC7E51"/>
    <w:rsid w:val="00AD08C8"/>
    <w:rsid w:val="00AD0ADC"/>
    <w:rsid w:val="00AD1121"/>
    <w:rsid w:val="00AD1570"/>
    <w:rsid w:val="00AD258A"/>
    <w:rsid w:val="00AD26B5"/>
    <w:rsid w:val="00AD2E4B"/>
    <w:rsid w:val="00AD324E"/>
    <w:rsid w:val="00AD40E4"/>
    <w:rsid w:val="00AD4814"/>
    <w:rsid w:val="00AD4B88"/>
    <w:rsid w:val="00AD5F73"/>
    <w:rsid w:val="00AD62CD"/>
    <w:rsid w:val="00AD6633"/>
    <w:rsid w:val="00AD6E8A"/>
    <w:rsid w:val="00AD7336"/>
    <w:rsid w:val="00AE0427"/>
    <w:rsid w:val="00AE0F45"/>
    <w:rsid w:val="00AE2526"/>
    <w:rsid w:val="00AE252D"/>
    <w:rsid w:val="00AE45E0"/>
    <w:rsid w:val="00AE5592"/>
    <w:rsid w:val="00AE6B10"/>
    <w:rsid w:val="00AF08F2"/>
    <w:rsid w:val="00AF1EFD"/>
    <w:rsid w:val="00AF3C01"/>
    <w:rsid w:val="00AF4DD4"/>
    <w:rsid w:val="00AF4F26"/>
    <w:rsid w:val="00AF5083"/>
    <w:rsid w:val="00AF549B"/>
    <w:rsid w:val="00AF5B65"/>
    <w:rsid w:val="00AF5B98"/>
    <w:rsid w:val="00AF6448"/>
    <w:rsid w:val="00AF688A"/>
    <w:rsid w:val="00AF73F2"/>
    <w:rsid w:val="00B0053E"/>
    <w:rsid w:val="00B006F9"/>
    <w:rsid w:val="00B009A7"/>
    <w:rsid w:val="00B00E5B"/>
    <w:rsid w:val="00B01D4A"/>
    <w:rsid w:val="00B021CC"/>
    <w:rsid w:val="00B023C0"/>
    <w:rsid w:val="00B028C7"/>
    <w:rsid w:val="00B039E7"/>
    <w:rsid w:val="00B03CB7"/>
    <w:rsid w:val="00B04052"/>
    <w:rsid w:val="00B05272"/>
    <w:rsid w:val="00B06700"/>
    <w:rsid w:val="00B06ABC"/>
    <w:rsid w:val="00B07093"/>
    <w:rsid w:val="00B137DC"/>
    <w:rsid w:val="00B13BD0"/>
    <w:rsid w:val="00B13C7D"/>
    <w:rsid w:val="00B13CBA"/>
    <w:rsid w:val="00B14554"/>
    <w:rsid w:val="00B14D16"/>
    <w:rsid w:val="00B14FEA"/>
    <w:rsid w:val="00B1564D"/>
    <w:rsid w:val="00B15954"/>
    <w:rsid w:val="00B16778"/>
    <w:rsid w:val="00B17514"/>
    <w:rsid w:val="00B17B9C"/>
    <w:rsid w:val="00B2034B"/>
    <w:rsid w:val="00B21AD3"/>
    <w:rsid w:val="00B21BF4"/>
    <w:rsid w:val="00B227E6"/>
    <w:rsid w:val="00B229EA"/>
    <w:rsid w:val="00B2315F"/>
    <w:rsid w:val="00B242AD"/>
    <w:rsid w:val="00B25FD0"/>
    <w:rsid w:val="00B265AB"/>
    <w:rsid w:val="00B26622"/>
    <w:rsid w:val="00B30588"/>
    <w:rsid w:val="00B31627"/>
    <w:rsid w:val="00B32E42"/>
    <w:rsid w:val="00B33039"/>
    <w:rsid w:val="00B348E1"/>
    <w:rsid w:val="00B34B5F"/>
    <w:rsid w:val="00B35066"/>
    <w:rsid w:val="00B351F5"/>
    <w:rsid w:val="00B35600"/>
    <w:rsid w:val="00B35AA7"/>
    <w:rsid w:val="00B35CD0"/>
    <w:rsid w:val="00B36A7E"/>
    <w:rsid w:val="00B376BD"/>
    <w:rsid w:val="00B377B2"/>
    <w:rsid w:val="00B401BF"/>
    <w:rsid w:val="00B4077C"/>
    <w:rsid w:val="00B41769"/>
    <w:rsid w:val="00B41872"/>
    <w:rsid w:val="00B45C43"/>
    <w:rsid w:val="00B4680C"/>
    <w:rsid w:val="00B471E6"/>
    <w:rsid w:val="00B47E04"/>
    <w:rsid w:val="00B5086C"/>
    <w:rsid w:val="00B514E4"/>
    <w:rsid w:val="00B521E9"/>
    <w:rsid w:val="00B5341B"/>
    <w:rsid w:val="00B537B7"/>
    <w:rsid w:val="00B539D0"/>
    <w:rsid w:val="00B53E8D"/>
    <w:rsid w:val="00B54094"/>
    <w:rsid w:val="00B54D46"/>
    <w:rsid w:val="00B600AA"/>
    <w:rsid w:val="00B609FB"/>
    <w:rsid w:val="00B6117F"/>
    <w:rsid w:val="00B61335"/>
    <w:rsid w:val="00B613FC"/>
    <w:rsid w:val="00B61AA4"/>
    <w:rsid w:val="00B626B4"/>
    <w:rsid w:val="00B62763"/>
    <w:rsid w:val="00B62A19"/>
    <w:rsid w:val="00B6300A"/>
    <w:rsid w:val="00B630E4"/>
    <w:rsid w:val="00B64C2D"/>
    <w:rsid w:val="00B64F0D"/>
    <w:rsid w:val="00B6570B"/>
    <w:rsid w:val="00B65DEF"/>
    <w:rsid w:val="00B65E10"/>
    <w:rsid w:val="00B6703C"/>
    <w:rsid w:val="00B67C84"/>
    <w:rsid w:val="00B71078"/>
    <w:rsid w:val="00B71846"/>
    <w:rsid w:val="00B71AB5"/>
    <w:rsid w:val="00B72584"/>
    <w:rsid w:val="00B739CC"/>
    <w:rsid w:val="00B73E00"/>
    <w:rsid w:val="00B74069"/>
    <w:rsid w:val="00B7441F"/>
    <w:rsid w:val="00B746C3"/>
    <w:rsid w:val="00B7601A"/>
    <w:rsid w:val="00B76063"/>
    <w:rsid w:val="00B76156"/>
    <w:rsid w:val="00B762DE"/>
    <w:rsid w:val="00B766A4"/>
    <w:rsid w:val="00B76A5B"/>
    <w:rsid w:val="00B8028D"/>
    <w:rsid w:val="00B816AE"/>
    <w:rsid w:val="00B82526"/>
    <w:rsid w:val="00B82B55"/>
    <w:rsid w:val="00B8326F"/>
    <w:rsid w:val="00B832B7"/>
    <w:rsid w:val="00B85CF5"/>
    <w:rsid w:val="00B868A7"/>
    <w:rsid w:val="00B86B8E"/>
    <w:rsid w:val="00B8795F"/>
    <w:rsid w:val="00B910BB"/>
    <w:rsid w:val="00B917C0"/>
    <w:rsid w:val="00B92276"/>
    <w:rsid w:val="00B92ECA"/>
    <w:rsid w:val="00B9339C"/>
    <w:rsid w:val="00B939DE"/>
    <w:rsid w:val="00B94E2A"/>
    <w:rsid w:val="00B96AE9"/>
    <w:rsid w:val="00B96BF4"/>
    <w:rsid w:val="00B97B50"/>
    <w:rsid w:val="00BA154D"/>
    <w:rsid w:val="00BA22EF"/>
    <w:rsid w:val="00BA30BB"/>
    <w:rsid w:val="00BA3E0C"/>
    <w:rsid w:val="00BA40C4"/>
    <w:rsid w:val="00BA4318"/>
    <w:rsid w:val="00BA4355"/>
    <w:rsid w:val="00BA44A9"/>
    <w:rsid w:val="00BA46AC"/>
    <w:rsid w:val="00BA47CC"/>
    <w:rsid w:val="00BA4AF0"/>
    <w:rsid w:val="00BA55EF"/>
    <w:rsid w:val="00BA64EC"/>
    <w:rsid w:val="00BA6892"/>
    <w:rsid w:val="00BA7B6D"/>
    <w:rsid w:val="00BB25F4"/>
    <w:rsid w:val="00BB2C1E"/>
    <w:rsid w:val="00BB2DC0"/>
    <w:rsid w:val="00BB3513"/>
    <w:rsid w:val="00BB4331"/>
    <w:rsid w:val="00BB468B"/>
    <w:rsid w:val="00BB5C41"/>
    <w:rsid w:val="00BB766A"/>
    <w:rsid w:val="00BC084E"/>
    <w:rsid w:val="00BC1921"/>
    <w:rsid w:val="00BC1B21"/>
    <w:rsid w:val="00BC1BDA"/>
    <w:rsid w:val="00BC214E"/>
    <w:rsid w:val="00BC23E7"/>
    <w:rsid w:val="00BC2D43"/>
    <w:rsid w:val="00BC316F"/>
    <w:rsid w:val="00BC3AD5"/>
    <w:rsid w:val="00BC45A5"/>
    <w:rsid w:val="00BC50BF"/>
    <w:rsid w:val="00BC5C4E"/>
    <w:rsid w:val="00BC6918"/>
    <w:rsid w:val="00BC70FB"/>
    <w:rsid w:val="00BC79F1"/>
    <w:rsid w:val="00BD1024"/>
    <w:rsid w:val="00BD1B58"/>
    <w:rsid w:val="00BD1C89"/>
    <w:rsid w:val="00BD2318"/>
    <w:rsid w:val="00BD261E"/>
    <w:rsid w:val="00BD3900"/>
    <w:rsid w:val="00BD3D96"/>
    <w:rsid w:val="00BD4DED"/>
    <w:rsid w:val="00BD4FD9"/>
    <w:rsid w:val="00BD537E"/>
    <w:rsid w:val="00BD5D4F"/>
    <w:rsid w:val="00BD5E6E"/>
    <w:rsid w:val="00BD6117"/>
    <w:rsid w:val="00BD63CD"/>
    <w:rsid w:val="00BD7B46"/>
    <w:rsid w:val="00BD7FA4"/>
    <w:rsid w:val="00BE103C"/>
    <w:rsid w:val="00BE10C2"/>
    <w:rsid w:val="00BE66DF"/>
    <w:rsid w:val="00BE71C9"/>
    <w:rsid w:val="00BE773E"/>
    <w:rsid w:val="00BE7D3D"/>
    <w:rsid w:val="00BF0C48"/>
    <w:rsid w:val="00BF233D"/>
    <w:rsid w:val="00BF2449"/>
    <w:rsid w:val="00BF2519"/>
    <w:rsid w:val="00BF25F2"/>
    <w:rsid w:val="00BF36A3"/>
    <w:rsid w:val="00BF412B"/>
    <w:rsid w:val="00BF508F"/>
    <w:rsid w:val="00BF5399"/>
    <w:rsid w:val="00BF5FE7"/>
    <w:rsid w:val="00BF743A"/>
    <w:rsid w:val="00C01BC5"/>
    <w:rsid w:val="00C01DAA"/>
    <w:rsid w:val="00C024A4"/>
    <w:rsid w:val="00C03379"/>
    <w:rsid w:val="00C04D9C"/>
    <w:rsid w:val="00C05E1C"/>
    <w:rsid w:val="00C05FFE"/>
    <w:rsid w:val="00C0600F"/>
    <w:rsid w:val="00C064CB"/>
    <w:rsid w:val="00C0671A"/>
    <w:rsid w:val="00C06770"/>
    <w:rsid w:val="00C06AA6"/>
    <w:rsid w:val="00C07034"/>
    <w:rsid w:val="00C10860"/>
    <w:rsid w:val="00C10B06"/>
    <w:rsid w:val="00C10F84"/>
    <w:rsid w:val="00C1115D"/>
    <w:rsid w:val="00C11C55"/>
    <w:rsid w:val="00C1244F"/>
    <w:rsid w:val="00C12553"/>
    <w:rsid w:val="00C12A41"/>
    <w:rsid w:val="00C1301A"/>
    <w:rsid w:val="00C13FCA"/>
    <w:rsid w:val="00C140A9"/>
    <w:rsid w:val="00C1483D"/>
    <w:rsid w:val="00C15E3E"/>
    <w:rsid w:val="00C1615C"/>
    <w:rsid w:val="00C16313"/>
    <w:rsid w:val="00C16FF6"/>
    <w:rsid w:val="00C20789"/>
    <w:rsid w:val="00C20B2E"/>
    <w:rsid w:val="00C21079"/>
    <w:rsid w:val="00C224B0"/>
    <w:rsid w:val="00C23148"/>
    <w:rsid w:val="00C234E4"/>
    <w:rsid w:val="00C235C2"/>
    <w:rsid w:val="00C24471"/>
    <w:rsid w:val="00C25751"/>
    <w:rsid w:val="00C27477"/>
    <w:rsid w:val="00C30B84"/>
    <w:rsid w:val="00C310BC"/>
    <w:rsid w:val="00C31657"/>
    <w:rsid w:val="00C32B22"/>
    <w:rsid w:val="00C33878"/>
    <w:rsid w:val="00C33E97"/>
    <w:rsid w:val="00C342F2"/>
    <w:rsid w:val="00C343D0"/>
    <w:rsid w:val="00C3492C"/>
    <w:rsid w:val="00C349E3"/>
    <w:rsid w:val="00C349E8"/>
    <w:rsid w:val="00C34B78"/>
    <w:rsid w:val="00C35CE2"/>
    <w:rsid w:val="00C36C26"/>
    <w:rsid w:val="00C37570"/>
    <w:rsid w:val="00C403C9"/>
    <w:rsid w:val="00C41270"/>
    <w:rsid w:val="00C41F0D"/>
    <w:rsid w:val="00C42CCF"/>
    <w:rsid w:val="00C445DC"/>
    <w:rsid w:val="00C44E99"/>
    <w:rsid w:val="00C46DAA"/>
    <w:rsid w:val="00C50AD0"/>
    <w:rsid w:val="00C522C3"/>
    <w:rsid w:val="00C52563"/>
    <w:rsid w:val="00C531E2"/>
    <w:rsid w:val="00C54BB2"/>
    <w:rsid w:val="00C54CD9"/>
    <w:rsid w:val="00C564C0"/>
    <w:rsid w:val="00C569F5"/>
    <w:rsid w:val="00C571F5"/>
    <w:rsid w:val="00C600E0"/>
    <w:rsid w:val="00C601B0"/>
    <w:rsid w:val="00C6121A"/>
    <w:rsid w:val="00C618E6"/>
    <w:rsid w:val="00C61D1D"/>
    <w:rsid w:val="00C61F47"/>
    <w:rsid w:val="00C62D5D"/>
    <w:rsid w:val="00C63D9B"/>
    <w:rsid w:val="00C643DB"/>
    <w:rsid w:val="00C64BFD"/>
    <w:rsid w:val="00C65C18"/>
    <w:rsid w:val="00C6779E"/>
    <w:rsid w:val="00C677B6"/>
    <w:rsid w:val="00C677CA"/>
    <w:rsid w:val="00C67C51"/>
    <w:rsid w:val="00C67C7A"/>
    <w:rsid w:val="00C709C6"/>
    <w:rsid w:val="00C728BB"/>
    <w:rsid w:val="00C740E9"/>
    <w:rsid w:val="00C7414A"/>
    <w:rsid w:val="00C74F3E"/>
    <w:rsid w:val="00C75703"/>
    <w:rsid w:val="00C762BE"/>
    <w:rsid w:val="00C766EF"/>
    <w:rsid w:val="00C8003F"/>
    <w:rsid w:val="00C80153"/>
    <w:rsid w:val="00C80399"/>
    <w:rsid w:val="00C80842"/>
    <w:rsid w:val="00C8138B"/>
    <w:rsid w:val="00C8184D"/>
    <w:rsid w:val="00C81ACF"/>
    <w:rsid w:val="00C823E6"/>
    <w:rsid w:val="00C824FD"/>
    <w:rsid w:val="00C829B7"/>
    <w:rsid w:val="00C8356A"/>
    <w:rsid w:val="00C841D2"/>
    <w:rsid w:val="00C84E2D"/>
    <w:rsid w:val="00C86C4E"/>
    <w:rsid w:val="00C87149"/>
    <w:rsid w:val="00C87160"/>
    <w:rsid w:val="00C8772F"/>
    <w:rsid w:val="00C87A0F"/>
    <w:rsid w:val="00C87A52"/>
    <w:rsid w:val="00C918FA"/>
    <w:rsid w:val="00C9207C"/>
    <w:rsid w:val="00C92B07"/>
    <w:rsid w:val="00C92EE6"/>
    <w:rsid w:val="00C939E0"/>
    <w:rsid w:val="00C945B2"/>
    <w:rsid w:val="00C960E2"/>
    <w:rsid w:val="00C96974"/>
    <w:rsid w:val="00C96B2E"/>
    <w:rsid w:val="00C96C30"/>
    <w:rsid w:val="00C97F24"/>
    <w:rsid w:val="00CA0E0F"/>
    <w:rsid w:val="00CA11AF"/>
    <w:rsid w:val="00CA13C5"/>
    <w:rsid w:val="00CA4545"/>
    <w:rsid w:val="00CA4E4C"/>
    <w:rsid w:val="00CA5D28"/>
    <w:rsid w:val="00CA7CDE"/>
    <w:rsid w:val="00CB005F"/>
    <w:rsid w:val="00CB027B"/>
    <w:rsid w:val="00CB06D1"/>
    <w:rsid w:val="00CB16D4"/>
    <w:rsid w:val="00CB2432"/>
    <w:rsid w:val="00CB3D3D"/>
    <w:rsid w:val="00CB44A8"/>
    <w:rsid w:val="00CB4A44"/>
    <w:rsid w:val="00CB596F"/>
    <w:rsid w:val="00CB5FB2"/>
    <w:rsid w:val="00CB6433"/>
    <w:rsid w:val="00CC0A90"/>
    <w:rsid w:val="00CC1B85"/>
    <w:rsid w:val="00CC2294"/>
    <w:rsid w:val="00CC2A63"/>
    <w:rsid w:val="00CC3A2C"/>
    <w:rsid w:val="00CC3D84"/>
    <w:rsid w:val="00CC42E3"/>
    <w:rsid w:val="00CC4D97"/>
    <w:rsid w:val="00CC53FD"/>
    <w:rsid w:val="00CC5BCB"/>
    <w:rsid w:val="00CC5FCD"/>
    <w:rsid w:val="00CC624C"/>
    <w:rsid w:val="00CC6CC9"/>
    <w:rsid w:val="00CC702B"/>
    <w:rsid w:val="00CC70EF"/>
    <w:rsid w:val="00CC77EC"/>
    <w:rsid w:val="00CC799A"/>
    <w:rsid w:val="00CD089A"/>
    <w:rsid w:val="00CD24CF"/>
    <w:rsid w:val="00CD32A0"/>
    <w:rsid w:val="00CD3728"/>
    <w:rsid w:val="00CD41BA"/>
    <w:rsid w:val="00CD4C9F"/>
    <w:rsid w:val="00CD6864"/>
    <w:rsid w:val="00CD6EF6"/>
    <w:rsid w:val="00CD72EB"/>
    <w:rsid w:val="00CE03D3"/>
    <w:rsid w:val="00CE0A65"/>
    <w:rsid w:val="00CE3606"/>
    <w:rsid w:val="00CE3F44"/>
    <w:rsid w:val="00CE432B"/>
    <w:rsid w:val="00CE4B29"/>
    <w:rsid w:val="00CE4BBA"/>
    <w:rsid w:val="00CE4C83"/>
    <w:rsid w:val="00CE5AEF"/>
    <w:rsid w:val="00CE6C29"/>
    <w:rsid w:val="00CF0465"/>
    <w:rsid w:val="00CF1B24"/>
    <w:rsid w:val="00CF231D"/>
    <w:rsid w:val="00CF3665"/>
    <w:rsid w:val="00CF3E51"/>
    <w:rsid w:val="00CF407B"/>
    <w:rsid w:val="00CF4501"/>
    <w:rsid w:val="00CF5E02"/>
    <w:rsid w:val="00CF76E0"/>
    <w:rsid w:val="00CF7E2C"/>
    <w:rsid w:val="00D010FB"/>
    <w:rsid w:val="00D01A98"/>
    <w:rsid w:val="00D0254C"/>
    <w:rsid w:val="00D0260B"/>
    <w:rsid w:val="00D041A1"/>
    <w:rsid w:val="00D046A3"/>
    <w:rsid w:val="00D05B5D"/>
    <w:rsid w:val="00D10361"/>
    <w:rsid w:val="00D1050C"/>
    <w:rsid w:val="00D1219E"/>
    <w:rsid w:val="00D121F4"/>
    <w:rsid w:val="00D12FD9"/>
    <w:rsid w:val="00D13F94"/>
    <w:rsid w:val="00D1447B"/>
    <w:rsid w:val="00D14AB7"/>
    <w:rsid w:val="00D1513B"/>
    <w:rsid w:val="00D15495"/>
    <w:rsid w:val="00D15C73"/>
    <w:rsid w:val="00D162CA"/>
    <w:rsid w:val="00D16383"/>
    <w:rsid w:val="00D165C3"/>
    <w:rsid w:val="00D16E9D"/>
    <w:rsid w:val="00D171B9"/>
    <w:rsid w:val="00D22477"/>
    <w:rsid w:val="00D22C5E"/>
    <w:rsid w:val="00D23A28"/>
    <w:rsid w:val="00D24687"/>
    <w:rsid w:val="00D24C7B"/>
    <w:rsid w:val="00D25B44"/>
    <w:rsid w:val="00D26D7C"/>
    <w:rsid w:val="00D27401"/>
    <w:rsid w:val="00D27FCA"/>
    <w:rsid w:val="00D303A1"/>
    <w:rsid w:val="00D30727"/>
    <w:rsid w:val="00D307C3"/>
    <w:rsid w:val="00D30A39"/>
    <w:rsid w:val="00D32EE4"/>
    <w:rsid w:val="00D3312B"/>
    <w:rsid w:val="00D33FDD"/>
    <w:rsid w:val="00D349DE"/>
    <w:rsid w:val="00D34C5D"/>
    <w:rsid w:val="00D351D9"/>
    <w:rsid w:val="00D3701E"/>
    <w:rsid w:val="00D370E2"/>
    <w:rsid w:val="00D37318"/>
    <w:rsid w:val="00D37832"/>
    <w:rsid w:val="00D4112C"/>
    <w:rsid w:val="00D43763"/>
    <w:rsid w:val="00D442B9"/>
    <w:rsid w:val="00D44ABA"/>
    <w:rsid w:val="00D45013"/>
    <w:rsid w:val="00D474AA"/>
    <w:rsid w:val="00D50314"/>
    <w:rsid w:val="00D5040C"/>
    <w:rsid w:val="00D52113"/>
    <w:rsid w:val="00D5269D"/>
    <w:rsid w:val="00D5281B"/>
    <w:rsid w:val="00D52988"/>
    <w:rsid w:val="00D53269"/>
    <w:rsid w:val="00D53436"/>
    <w:rsid w:val="00D54714"/>
    <w:rsid w:val="00D54B26"/>
    <w:rsid w:val="00D55380"/>
    <w:rsid w:val="00D557ED"/>
    <w:rsid w:val="00D55D08"/>
    <w:rsid w:val="00D5646D"/>
    <w:rsid w:val="00D56647"/>
    <w:rsid w:val="00D5714C"/>
    <w:rsid w:val="00D57637"/>
    <w:rsid w:val="00D6023C"/>
    <w:rsid w:val="00D6066B"/>
    <w:rsid w:val="00D61C9C"/>
    <w:rsid w:val="00D6225F"/>
    <w:rsid w:val="00D622EF"/>
    <w:rsid w:val="00D64602"/>
    <w:rsid w:val="00D649BF"/>
    <w:rsid w:val="00D6537D"/>
    <w:rsid w:val="00D659EF"/>
    <w:rsid w:val="00D65D68"/>
    <w:rsid w:val="00D6641B"/>
    <w:rsid w:val="00D66FA7"/>
    <w:rsid w:val="00D671F4"/>
    <w:rsid w:val="00D6734D"/>
    <w:rsid w:val="00D71794"/>
    <w:rsid w:val="00D71CD8"/>
    <w:rsid w:val="00D72D21"/>
    <w:rsid w:val="00D73323"/>
    <w:rsid w:val="00D73A43"/>
    <w:rsid w:val="00D74A21"/>
    <w:rsid w:val="00D74F64"/>
    <w:rsid w:val="00D7557E"/>
    <w:rsid w:val="00D75B7C"/>
    <w:rsid w:val="00D802EB"/>
    <w:rsid w:val="00D822DF"/>
    <w:rsid w:val="00D82ACC"/>
    <w:rsid w:val="00D83268"/>
    <w:rsid w:val="00D83B8C"/>
    <w:rsid w:val="00D84831"/>
    <w:rsid w:val="00D84AAA"/>
    <w:rsid w:val="00D85272"/>
    <w:rsid w:val="00D8617B"/>
    <w:rsid w:val="00D86B46"/>
    <w:rsid w:val="00D86C2F"/>
    <w:rsid w:val="00D90430"/>
    <w:rsid w:val="00D92449"/>
    <w:rsid w:val="00D935CA"/>
    <w:rsid w:val="00D9493F"/>
    <w:rsid w:val="00D94DE7"/>
    <w:rsid w:val="00D94FBA"/>
    <w:rsid w:val="00D95B48"/>
    <w:rsid w:val="00D95E04"/>
    <w:rsid w:val="00DA00F5"/>
    <w:rsid w:val="00DA0B40"/>
    <w:rsid w:val="00DA0D8A"/>
    <w:rsid w:val="00DA10FF"/>
    <w:rsid w:val="00DA148E"/>
    <w:rsid w:val="00DA2210"/>
    <w:rsid w:val="00DA29EF"/>
    <w:rsid w:val="00DA333E"/>
    <w:rsid w:val="00DA5A6A"/>
    <w:rsid w:val="00DA67E6"/>
    <w:rsid w:val="00DA6E66"/>
    <w:rsid w:val="00DA6F5A"/>
    <w:rsid w:val="00DA73DE"/>
    <w:rsid w:val="00DB0BB3"/>
    <w:rsid w:val="00DB0C37"/>
    <w:rsid w:val="00DB14D0"/>
    <w:rsid w:val="00DB230A"/>
    <w:rsid w:val="00DB232C"/>
    <w:rsid w:val="00DB29E1"/>
    <w:rsid w:val="00DB2D47"/>
    <w:rsid w:val="00DB3AEF"/>
    <w:rsid w:val="00DB53EE"/>
    <w:rsid w:val="00DB574E"/>
    <w:rsid w:val="00DB57B1"/>
    <w:rsid w:val="00DB67BA"/>
    <w:rsid w:val="00DB696B"/>
    <w:rsid w:val="00DB7084"/>
    <w:rsid w:val="00DB7273"/>
    <w:rsid w:val="00DC01D8"/>
    <w:rsid w:val="00DC0731"/>
    <w:rsid w:val="00DC0C8A"/>
    <w:rsid w:val="00DC1AB1"/>
    <w:rsid w:val="00DC2DAD"/>
    <w:rsid w:val="00DC32A1"/>
    <w:rsid w:val="00DC3D34"/>
    <w:rsid w:val="00DC45DA"/>
    <w:rsid w:val="00DC466B"/>
    <w:rsid w:val="00DC497F"/>
    <w:rsid w:val="00DC4F72"/>
    <w:rsid w:val="00DC4FBF"/>
    <w:rsid w:val="00DC5106"/>
    <w:rsid w:val="00DC5627"/>
    <w:rsid w:val="00DC5739"/>
    <w:rsid w:val="00DC5888"/>
    <w:rsid w:val="00DC6163"/>
    <w:rsid w:val="00DC7166"/>
    <w:rsid w:val="00DD00E1"/>
    <w:rsid w:val="00DD0494"/>
    <w:rsid w:val="00DD0B0B"/>
    <w:rsid w:val="00DD286A"/>
    <w:rsid w:val="00DD3929"/>
    <w:rsid w:val="00DD3960"/>
    <w:rsid w:val="00DD4568"/>
    <w:rsid w:val="00DD5F88"/>
    <w:rsid w:val="00DD62B7"/>
    <w:rsid w:val="00DD662F"/>
    <w:rsid w:val="00DD6FAA"/>
    <w:rsid w:val="00DD78DD"/>
    <w:rsid w:val="00DE0AC8"/>
    <w:rsid w:val="00DE0CED"/>
    <w:rsid w:val="00DE0D51"/>
    <w:rsid w:val="00DE0E5E"/>
    <w:rsid w:val="00DE1524"/>
    <w:rsid w:val="00DE1F37"/>
    <w:rsid w:val="00DE2319"/>
    <w:rsid w:val="00DE2C25"/>
    <w:rsid w:val="00DE3506"/>
    <w:rsid w:val="00DE3650"/>
    <w:rsid w:val="00DE3B75"/>
    <w:rsid w:val="00DE3F08"/>
    <w:rsid w:val="00DE4A5C"/>
    <w:rsid w:val="00DE4F4E"/>
    <w:rsid w:val="00DE5515"/>
    <w:rsid w:val="00DE59BF"/>
    <w:rsid w:val="00DE7131"/>
    <w:rsid w:val="00DE71B3"/>
    <w:rsid w:val="00DE72EA"/>
    <w:rsid w:val="00DE7A4A"/>
    <w:rsid w:val="00DF08FE"/>
    <w:rsid w:val="00DF11DC"/>
    <w:rsid w:val="00DF172E"/>
    <w:rsid w:val="00DF2B02"/>
    <w:rsid w:val="00DF3CE6"/>
    <w:rsid w:val="00DF4096"/>
    <w:rsid w:val="00DF43B6"/>
    <w:rsid w:val="00DF4C05"/>
    <w:rsid w:val="00DF4ECE"/>
    <w:rsid w:val="00DF6545"/>
    <w:rsid w:val="00DF7334"/>
    <w:rsid w:val="00E001D7"/>
    <w:rsid w:val="00E006A3"/>
    <w:rsid w:val="00E01172"/>
    <w:rsid w:val="00E02DA2"/>
    <w:rsid w:val="00E03647"/>
    <w:rsid w:val="00E042DE"/>
    <w:rsid w:val="00E051C9"/>
    <w:rsid w:val="00E05AA0"/>
    <w:rsid w:val="00E0697B"/>
    <w:rsid w:val="00E0703E"/>
    <w:rsid w:val="00E13158"/>
    <w:rsid w:val="00E133EB"/>
    <w:rsid w:val="00E14454"/>
    <w:rsid w:val="00E15D8C"/>
    <w:rsid w:val="00E15E7D"/>
    <w:rsid w:val="00E16503"/>
    <w:rsid w:val="00E16842"/>
    <w:rsid w:val="00E17A47"/>
    <w:rsid w:val="00E203CD"/>
    <w:rsid w:val="00E20503"/>
    <w:rsid w:val="00E20558"/>
    <w:rsid w:val="00E2153B"/>
    <w:rsid w:val="00E21A05"/>
    <w:rsid w:val="00E224B5"/>
    <w:rsid w:val="00E230F9"/>
    <w:rsid w:val="00E231E0"/>
    <w:rsid w:val="00E23B70"/>
    <w:rsid w:val="00E2564F"/>
    <w:rsid w:val="00E266FE"/>
    <w:rsid w:val="00E267CA"/>
    <w:rsid w:val="00E268CF"/>
    <w:rsid w:val="00E2727C"/>
    <w:rsid w:val="00E272E8"/>
    <w:rsid w:val="00E273CE"/>
    <w:rsid w:val="00E273EF"/>
    <w:rsid w:val="00E276A7"/>
    <w:rsid w:val="00E27718"/>
    <w:rsid w:val="00E30DFC"/>
    <w:rsid w:val="00E30F95"/>
    <w:rsid w:val="00E311A2"/>
    <w:rsid w:val="00E318C4"/>
    <w:rsid w:val="00E32647"/>
    <w:rsid w:val="00E34F09"/>
    <w:rsid w:val="00E36BEA"/>
    <w:rsid w:val="00E376C6"/>
    <w:rsid w:val="00E410E0"/>
    <w:rsid w:val="00E43CB4"/>
    <w:rsid w:val="00E45400"/>
    <w:rsid w:val="00E45668"/>
    <w:rsid w:val="00E45F2E"/>
    <w:rsid w:val="00E463B7"/>
    <w:rsid w:val="00E46B27"/>
    <w:rsid w:val="00E4780F"/>
    <w:rsid w:val="00E53753"/>
    <w:rsid w:val="00E539FE"/>
    <w:rsid w:val="00E55079"/>
    <w:rsid w:val="00E55CD5"/>
    <w:rsid w:val="00E56C46"/>
    <w:rsid w:val="00E57934"/>
    <w:rsid w:val="00E579D6"/>
    <w:rsid w:val="00E57B0A"/>
    <w:rsid w:val="00E60002"/>
    <w:rsid w:val="00E6079B"/>
    <w:rsid w:val="00E60962"/>
    <w:rsid w:val="00E615F8"/>
    <w:rsid w:val="00E616AC"/>
    <w:rsid w:val="00E61ADB"/>
    <w:rsid w:val="00E6262E"/>
    <w:rsid w:val="00E63CF3"/>
    <w:rsid w:val="00E650DE"/>
    <w:rsid w:val="00E65760"/>
    <w:rsid w:val="00E67CB8"/>
    <w:rsid w:val="00E7209C"/>
    <w:rsid w:val="00E722B7"/>
    <w:rsid w:val="00E732FF"/>
    <w:rsid w:val="00E73C6C"/>
    <w:rsid w:val="00E74EA2"/>
    <w:rsid w:val="00E75AED"/>
    <w:rsid w:val="00E75BB8"/>
    <w:rsid w:val="00E76004"/>
    <w:rsid w:val="00E769EB"/>
    <w:rsid w:val="00E779EE"/>
    <w:rsid w:val="00E77AC4"/>
    <w:rsid w:val="00E77B69"/>
    <w:rsid w:val="00E77FC7"/>
    <w:rsid w:val="00E807BC"/>
    <w:rsid w:val="00E80B03"/>
    <w:rsid w:val="00E81508"/>
    <w:rsid w:val="00E82C84"/>
    <w:rsid w:val="00E836C6"/>
    <w:rsid w:val="00E83BB1"/>
    <w:rsid w:val="00E85928"/>
    <w:rsid w:val="00E86742"/>
    <w:rsid w:val="00E869D3"/>
    <w:rsid w:val="00E873D3"/>
    <w:rsid w:val="00E9067B"/>
    <w:rsid w:val="00E90BB3"/>
    <w:rsid w:val="00E92839"/>
    <w:rsid w:val="00E92903"/>
    <w:rsid w:val="00E9399E"/>
    <w:rsid w:val="00E939BE"/>
    <w:rsid w:val="00E94579"/>
    <w:rsid w:val="00E96F21"/>
    <w:rsid w:val="00EA00EA"/>
    <w:rsid w:val="00EA04A1"/>
    <w:rsid w:val="00EA0B18"/>
    <w:rsid w:val="00EA0CE1"/>
    <w:rsid w:val="00EA13CD"/>
    <w:rsid w:val="00EA143C"/>
    <w:rsid w:val="00EA160C"/>
    <w:rsid w:val="00EA1B3C"/>
    <w:rsid w:val="00EA2E52"/>
    <w:rsid w:val="00EA3321"/>
    <w:rsid w:val="00EA3610"/>
    <w:rsid w:val="00EA46A1"/>
    <w:rsid w:val="00EA4798"/>
    <w:rsid w:val="00EA676E"/>
    <w:rsid w:val="00EA719E"/>
    <w:rsid w:val="00EB27F1"/>
    <w:rsid w:val="00EB2A06"/>
    <w:rsid w:val="00EB50B5"/>
    <w:rsid w:val="00EB582C"/>
    <w:rsid w:val="00EB5997"/>
    <w:rsid w:val="00EB5A04"/>
    <w:rsid w:val="00EB6384"/>
    <w:rsid w:val="00EB6EC3"/>
    <w:rsid w:val="00EB6F28"/>
    <w:rsid w:val="00EB7C6D"/>
    <w:rsid w:val="00EC099E"/>
    <w:rsid w:val="00EC0A0F"/>
    <w:rsid w:val="00EC0CEB"/>
    <w:rsid w:val="00EC106B"/>
    <w:rsid w:val="00EC1DCF"/>
    <w:rsid w:val="00EC2390"/>
    <w:rsid w:val="00EC25FC"/>
    <w:rsid w:val="00EC30E6"/>
    <w:rsid w:val="00EC37A1"/>
    <w:rsid w:val="00EC4422"/>
    <w:rsid w:val="00EC47D6"/>
    <w:rsid w:val="00EC6278"/>
    <w:rsid w:val="00ED09DE"/>
    <w:rsid w:val="00ED0B20"/>
    <w:rsid w:val="00ED0BAF"/>
    <w:rsid w:val="00ED0C69"/>
    <w:rsid w:val="00ED12EE"/>
    <w:rsid w:val="00ED1A4F"/>
    <w:rsid w:val="00ED1F94"/>
    <w:rsid w:val="00ED2962"/>
    <w:rsid w:val="00ED29AC"/>
    <w:rsid w:val="00ED3548"/>
    <w:rsid w:val="00ED3AB0"/>
    <w:rsid w:val="00ED424A"/>
    <w:rsid w:val="00ED43A2"/>
    <w:rsid w:val="00ED446D"/>
    <w:rsid w:val="00ED56C7"/>
    <w:rsid w:val="00ED5C0A"/>
    <w:rsid w:val="00ED63E6"/>
    <w:rsid w:val="00ED6AA4"/>
    <w:rsid w:val="00ED7356"/>
    <w:rsid w:val="00ED75E8"/>
    <w:rsid w:val="00EE04E6"/>
    <w:rsid w:val="00EE07D1"/>
    <w:rsid w:val="00EE28D9"/>
    <w:rsid w:val="00EE3BB8"/>
    <w:rsid w:val="00EE3ECF"/>
    <w:rsid w:val="00EE4871"/>
    <w:rsid w:val="00EE4AF9"/>
    <w:rsid w:val="00EE60D1"/>
    <w:rsid w:val="00EE6887"/>
    <w:rsid w:val="00EE6E4B"/>
    <w:rsid w:val="00EF3063"/>
    <w:rsid w:val="00EF3714"/>
    <w:rsid w:val="00EF3FF1"/>
    <w:rsid w:val="00EF4A99"/>
    <w:rsid w:val="00EF547F"/>
    <w:rsid w:val="00EF5539"/>
    <w:rsid w:val="00EF55F3"/>
    <w:rsid w:val="00EF61BE"/>
    <w:rsid w:val="00EF77EF"/>
    <w:rsid w:val="00F0034E"/>
    <w:rsid w:val="00F00E2B"/>
    <w:rsid w:val="00F022DF"/>
    <w:rsid w:val="00F0444B"/>
    <w:rsid w:val="00F04912"/>
    <w:rsid w:val="00F065ED"/>
    <w:rsid w:val="00F06CE4"/>
    <w:rsid w:val="00F07099"/>
    <w:rsid w:val="00F07382"/>
    <w:rsid w:val="00F077D1"/>
    <w:rsid w:val="00F07B60"/>
    <w:rsid w:val="00F11157"/>
    <w:rsid w:val="00F112D5"/>
    <w:rsid w:val="00F1179D"/>
    <w:rsid w:val="00F118A9"/>
    <w:rsid w:val="00F12C9E"/>
    <w:rsid w:val="00F13215"/>
    <w:rsid w:val="00F142BC"/>
    <w:rsid w:val="00F148A7"/>
    <w:rsid w:val="00F14970"/>
    <w:rsid w:val="00F14C8C"/>
    <w:rsid w:val="00F14CAE"/>
    <w:rsid w:val="00F14D65"/>
    <w:rsid w:val="00F14F6A"/>
    <w:rsid w:val="00F15246"/>
    <w:rsid w:val="00F152AD"/>
    <w:rsid w:val="00F1544B"/>
    <w:rsid w:val="00F15918"/>
    <w:rsid w:val="00F1593B"/>
    <w:rsid w:val="00F17956"/>
    <w:rsid w:val="00F179C0"/>
    <w:rsid w:val="00F22CB2"/>
    <w:rsid w:val="00F24450"/>
    <w:rsid w:val="00F24EAA"/>
    <w:rsid w:val="00F25183"/>
    <w:rsid w:val="00F26E84"/>
    <w:rsid w:val="00F27292"/>
    <w:rsid w:val="00F273EA"/>
    <w:rsid w:val="00F27D11"/>
    <w:rsid w:val="00F32DA5"/>
    <w:rsid w:val="00F34493"/>
    <w:rsid w:val="00F3470A"/>
    <w:rsid w:val="00F34A58"/>
    <w:rsid w:val="00F34A9D"/>
    <w:rsid w:val="00F34AC9"/>
    <w:rsid w:val="00F3544D"/>
    <w:rsid w:val="00F355B8"/>
    <w:rsid w:val="00F35B84"/>
    <w:rsid w:val="00F3711B"/>
    <w:rsid w:val="00F37B66"/>
    <w:rsid w:val="00F40D7B"/>
    <w:rsid w:val="00F41640"/>
    <w:rsid w:val="00F41CCF"/>
    <w:rsid w:val="00F42BD5"/>
    <w:rsid w:val="00F42EF7"/>
    <w:rsid w:val="00F432E3"/>
    <w:rsid w:val="00F436F6"/>
    <w:rsid w:val="00F43AD7"/>
    <w:rsid w:val="00F44110"/>
    <w:rsid w:val="00F4429F"/>
    <w:rsid w:val="00F455E0"/>
    <w:rsid w:val="00F45E9E"/>
    <w:rsid w:val="00F45F8D"/>
    <w:rsid w:val="00F465EE"/>
    <w:rsid w:val="00F47799"/>
    <w:rsid w:val="00F47A2C"/>
    <w:rsid w:val="00F50545"/>
    <w:rsid w:val="00F5060F"/>
    <w:rsid w:val="00F506A7"/>
    <w:rsid w:val="00F50784"/>
    <w:rsid w:val="00F509D4"/>
    <w:rsid w:val="00F51DE9"/>
    <w:rsid w:val="00F52227"/>
    <w:rsid w:val="00F522C7"/>
    <w:rsid w:val="00F523F2"/>
    <w:rsid w:val="00F525EC"/>
    <w:rsid w:val="00F52AFC"/>
    <w:rsid w:val="00F53353"/>
    <w:rsid w:val="00F53663"/>
    <w:rsid w:val="00F54AF0"/>
    <w:rsid w:val="00F5568A"/>
    <w:rsid w:val="00F55ED6"/>
    <w:rsid w:val="00F57B63"/>
    <w:rsid w:val="00F60DE5"/>
    <w:rsid w:val="00F6185C"/>
    <w:rsid w:val="00F618A1"/>
    <w:rsid w:val="00F61C46"/>
    <w:rsid w:val="00F620C0"/>
    <w:rsid w:val="00F6387B"/>
    <w:rsid w:val="00F63A67"/>
    <w:rsid w:val="00F63EAE"/>
    <w:rsid w:val="00F6477F"/>
    <w:rsid w:val="00F649D5"/>
    <w:rsid w:val="00F6570E"/>
    <w:rsid w:val="00F65743"/>
    <w:rsid w:val="00F707C8"/>
    <w:rsid w:val="00F714FC"/>
    <w:rsid w:val="00F715B1"/>
    <w:rsid w:val="00F721EE"/>
    <w:rsid w:val="00F73DDE"/>
    <w:rsid w:val="00F74842"/>
    <w:rsid w:val="00F74AC9"/>
    <w:rsid w:val="00F753AC"/>
    <w:rsid w:val="00F758DC"/>
    <w:rsid w:val="00F75BFF"/>
    <w:rsid w:val="00F765B0"/>
    <w:rsid w:val="00F769A9"/>
    <w:rsid w:val="00F775EA"/>
    <w:rsid w:val="00F77BDA"/>
    <w:rsid w:val="00F77C02"/>
    <w:rsid w:val="00F77EB7"/>
    <w:rsid w:val="00F87F10"/>
    <w:rsid w:val="00F92708"/>
    <w:rsid w:val="00F92884"/>
    <w:rsid w:val="00F93658"/>
    <w:rsid w:val="00F943F2"/>
    <w:rsid w:val="00F949C3"/>
    <w:rsid w:val="00F96050"/>
    <w:rsid w:val="00F978EF"/>
    <w:rsid w:val="00FA05D7"/>
    <w:rsid w:val="00FA2221"/>
    <w:rsid w:val="00FA2C84"/>
    <w:rsid w:val="00FA4783"/>
    <w:rsid w:val="00FA5896"/>
    <w:rsid w:val="00FA5DFB"/>
    <w:rsid w:val="00FA697F"/>
    <w:rsid w:val="00FA731B"/>
    <w:rsid w:val="00FA794D"/>
    <w:rsid w:val="00FA794E"/>
    <w:rsid w:val="00FB1D8F"/>
    <w:rsid w:val="00FB2BAE"/>
    <w:rsid w:val="00FB2CEB"/>
    <w:rsid w:val="00FB429C"/>
    <w:rsid w:val="00FB43D9"/>
    <w:rsid w:val="00FB43ED"/>
    <w:rsid w:val="00FB578A"/>
    <w:rsid w:val="00FB5D17"/>
    <w:rsid w:val="00FB697D"/>
    <w:rsid w:val="00FC07BC"/>
    <w:rsid w:val="00FC16D2"/>
    <w:rsid w:val="00FC190C"/>
    <w:rsid w:val="00FC1A29"/>
    <w:rsid w:val="00FC31D5"/>
    <w:rsid w:val="00FC3AD7"/>
    <w:rsid w:val="00FC4631"/>
    <w:rsid w:val="00FC5CB2"/>
    <w:rsid w:val="00FC6BEA"/>
    <w:rsid w:val="00FC6FB5"/>
    <w:rsid w:val="00FD06FE"/>
    <w:rsid w:val="00FD1432"/>
    <w:rsid w:val="00FD152E"/>
    <w:rsid w:val="00FD411D"/>
    <w:rsid w:val="00FD4CEA"/>
    <w:rsid w:val="00FD557F"/>
    <w:rsid w:val="00FD5859"/>
    <w:rsid w:val="00FD77A4"/>
    <w:rsid w:val="00FD78AD"/>
    <w:rsid w:val="00FE0033"/>
    <w:rsid w:val="00FE0740"/>
    <w:rsid w:val="00FE2183"/>
    <w:rsid w:val="00FE28AE"/>
    <w:rsid w:val="00FE3A61"/>
    <w:rsid w:val="00FE4752"/>
    <w:rsid w:val="00FE4AD2"/>
    <w:rsid w:val="00FE7167"/>
    <w:rsid w:val="00FE76CC"/>
    <w:rsid w:val="00FF001C"/>
    <w:rsid w:val="00FF027F"/>
    <w:rsid w:val="00FF1774"/>
    <w:rsid w:val="00FF1F7B"/>
    <w:rsid w:val="00FF35B2"/>
    <w:rsid w:val="00FF362D"/>
    <w:rsid w:val="00FF3F44"/>
    <w:rsid w:val="00FF40DB"/>
    <w:rsid w:val="00FF5725"/>
    <w:rsid w:val="00FF57E5"/>
    <w:rsid w:val="00FF5DB1"/>
    <w:rsid w:val="00FF70E9"/>
    <w:rsid w:val="00FF79B2"/>
    <w:rsid w:val="00FF7A74"/>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2AD6E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pl-PL"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3C5556"/>
    <w:pPr>
      <w:jc w:val="both"/>
    </w:pPr>
    <w:rPr>
      <w:rFonts w:ascii="Lato" w:hAnsi="Lato"/>
      <w:sz w:val="20"/>
    </w:rPr>
  </w:style>
  <w:style w:type="paragraph" w:styleId="Nagwek1">
    <w:name w:val="heading 1"/>
    <w:basedOn w:val="Normalny"/>
    <w:next w:val="Normalny"/>
    <w:link w:val="Nagwek1Znak"/>
    <w:uiPriority w:val="9"/>
    <w:qFormat/>
    <w:rsid w:val="008057F6"/>
    <w:pPr>
      <w:keepNext/>
      <w:keepLines/>
      <w:numPr>
        <w:numId w:val="4"/>
      </w:numPr>
      <w:spacing w:before="240" w:after="360"/>
      <w:jc w:val="left"/>
      <w:outlineLvl w:val="0"/>
    </w:pPr>
    <w:rPr>
      <w:rFonts w:ascii="Bahnschrift" w:eastAsiaTheme="majorEastAsia" w:hAnsi="Bahnschrift" w:cstheme="majorBidi"/>
      <w:b/>
      <w:sz w:val="48"/>
      <w:szCs w:val="32"/>
    </w:rPr>
  </w:style>
  <w:style w:type="paragraph" w:styleId="Nagwek2">
    <w:name w:val="heading 2"/>
    <w:basedOn w:val="Normalny"/>
    <w:next w:val="Normalny"/>
    <w:link w:val="Nagwek2Znak"/>
    <w:uiPriority w:val="9"/>
    <w:unhideWhenUsed/>
    <w:qFormat/>
    <w:rsid w:val="00FF5725"/>
    <w:pPr>
      <w:keepNext/>
      <w:keepLines/>
      <w:numPr>
        <w:ilvl w:val="1"/>
        <w:numId w:val="4"/>
      </w:numPr>
      <w:spacing w:before="240" w:after="360"/>
      <w:jc w:val="left"/>
      <w:outlineLvl w:val="1"/>
    </w:pPr>
    <w:rPr>
      <w:rFonts w:ascii="Bahnschrift" w:eastAsiaTheme="majorEastAsia" w:hAnsi="Bahnschrift" w:cstheme="majorBidi"/>
      <w:b/>
      <w:sz w:val="44"/>
      <w:szCs w:val="26"/>
    </w:rPr>
  </w:style>
  <w:style w:type="paragraph" w:styleId="Nagwek3">
    <w:name w:val="heading 3"/>
    <w:basedOn w:val="Normalny"/>
    <w:next w:val="Normalny"/>
    <w:link w:val="Nagwek3Znak"/>
    <w:uiPriority w:val="9"/>
    <w:unhideWhenUsed/>
    <w:qFormat/>
    <w:rsid w:val="008F7850"/>
    <w:pPr>
      <w:keepNext/>
      <w:keepLines/>
      <w:numPr>
        <w:ilvl w:val="2"/>
        <w:numId w:val="4"/>
      </w:numPr>
      <w:spacing w:before="600" w:after="240"/>
      <w:jc w:val="left"/>
      <w:outlineLvl w:val="2"/>
    </w:pPr>
    <w:rPr>
      <w:rFonts w:ascii="Bahnschrift" w:eastAsiaTheme="majorEastAsia" w:hAnsi="Bahnschrift" w:cstheme="majorBidi"/>
      <w:b/>
      <w:sz w:val="40"/>
      <w:szCs w:val="24"/>
    </w:rPr>
  </w:style>
  <w:style w:type="paragraph" w:styleId="Nagwek4">
    <w:name w:val="heading 4"/>
    <w:basedOn w:val="Normalny"/>
    <w:next w:val="Normalny"/>
    <w:link w:val="Nagwek4Znak"/>
    <w:uiPriority w:val="9"/>
    <w:unhideWhenUsed/>
    <w:qFormat/>
    <w:rsid w:val="00E67CB8"/>
    <w:pPr>
      <w:keepNext/>
      <w:keepLines/>
      <w:numPr>
        <w:ilvl w:val="3"/>
        <w:numId w:val="4"/>
      </w:numPr>
      <w:spacing w:before="600" w:after="240"/>
      <w:ind w:left="862"/>
      <w:jc w:val="left"/>
      <w:outlineLvl w:val="3"/>
    </w:pPr>
    <w:rPr>
      <w:rFonts w:ascii="Bahnschrift" w:eastAsiaTheme="majorEastAsia" w:hAnsi="Bahnschrift" w:cstheme="majorBidi"/>
      <w:b/>
      <w:iCs/>
      <w:sz w:val="32"/>
    </w:rPr>
  </w:style>
  <w:style w:type="paragraph" w:styleId="Nagwek5">
    <w:name w:val="heading 5"/>
    <w:basedOn w:val="Normalny"/>
    <w:next w:val="Normalny"/>
    <w:link w:val="Nagwek5Znak"/>
    <w:uiPriority w:val="9"/>
    <w:unhideWhenUsed/>
    <w:qFormat/>
    <w:rsid w:val="00D05B5D"/>
    <w:pPr>
      <w:keepNext/>
      <w:keepLines/>
      <w:numPr>
        <w:ilvl w:val="4"/>
        <w:numId w:val="4"/>
      </w:numPr>
      <w:spacing w:before="40" w:after="0"/>
      <w:outlineLvl w:val="4"/>
    </w:pPr>
    <w:rPr>
      <w:rFonts w:asciiTheme="majorHAnsi" w:eastAsiaTheme="majorEastAsia" w:hAnsiTheme="majorHAnsi" w:cstheme="majorBidi"/>
      <w:color w:val="2F5496" w:themeColor="accent1" w:themeShade="BF"/>
    </w:rPr>
  </w:style>
  <w:style w:type="paragraph" w:styleId="Nagwek6">
    <w:name w:val="heading 6"/>
    <w:aliases w:val="Nagłówek 6_Działania"/>
    <w:basedOn w:val="Normalny"/>
    <w:next w:val="Normalny"/>
    <w:link w:val="Nagwek6Znak"/>
    <w:uiPriority w:val="9"/>
    <w:unhideWhenUsed/>
    <w:qFormat/>
    <w:rsid w:val="00661B98"/>
    <w:pPr>
      <w:keepNext/>
      <w:keepLines/>
      <w:numPr>
        <w:ilvl w:val="5"/>
        <w:numId w:val="4"/>
      </w:numPr>
      <w:spacing w:before="480" w:after="120"/>
      <w:jc w:val="left"/>
      <w:outlineLvl w:val="5"/>
    </w:pPr>
    <w:rPr>
      <w:rFonts w:ascii="Bahnschrift" w:eastAsiaTheme="majorEastAsia" w:hAnsi="Bahnschrift" w:cstheme="majorBidi"/>
      <w:b/>
      <w:color w:val="000000" w:themeColor="text1"/>
      <w:sz w:val="22"/>
    </w:rPr>
  </w:style>
  <w:style w:type="paragraph" w:styleId="Nagwek7">
    <w:name w:val="heading 7"/>
    <w:basedOn w:val="Normalny"/>
    <w:next w:val="Normalny"/>
    <w:link w:val="Nagwek7Znak"/>
    <w:uiPriority w:val="9"/>
    <w:semiHidden/>
    <w:unhideWhenUsed/>
    <w:qFormat/>
    <w:rsid w:val="00D05B5D"/>
    <w:pPr>
      <w:keepNext/>
      <w:keepLines/>
      <w:numPr>
        <w:ilvl w:val="6"/>
        <w:numId w:val="4"/>
      </w:numPr>
      <w:spacing w:before="40" w:after="0"/>
      <w:outlineLvl w:val="6"/>
    </w:pPr>
    <w:rPr>
      <w:rFonts w:asciiTheme="majorHAnsi" w:eastAsiaTheme="majorEastAsia" w:hAnsiTheme="majorHAnsi" w:cstheme="majorBidi"/>
      <w:i/>
      <w:iCs/>
      <w:color w:val="1F3763" w:themeColor="accent1" w:themeShade="7F"/>
    </w:rPr>
  </w:style>
  <w:style w:type="paragraph" w:styleId="Nagwek8">
    <w:name w:val="heading 8"/>
    <w:basedOn w:val="Normalny"/>
    <w:next w:val="Normalny"/>
    <w:link w:val="Nagwek8Znak"/>
    <w:uiPriority w:val="9"/>
    <w:semiHidden/>
    <w:unhideWhenUsed/>
    <w:qFormat/>
    <w:rsid w:val="00D05B5D"/>
    <w:pPr>
      <w:keepNext/>
      <w:keepLines/>
      <w:numPr>
        <w:ilvl w:val="7"/>
        <w:numId w:val="4"/>
      </w:numPr>
      <w:spacing w:before="40" w:after="0"/>
      <w:outlineLvl w:val="7"/>
    </w:pPr>
    <w:rPr>
      <w:rFonts w:asciiTheme="majorHAnsi" w:eastAsiaTheme="majorEastAsia" w:hAnsiTheme="majorHAnsi" w:cstheme="majorBidi"/>
      <w:color w:val="272727" w:themeColor="text1" w:themeTint="D8"/>
      <w:sz w:val="21"/>
      <w:szCs w:val="21"/>
    </w:rPr>
  </w:style>
  <w:style w:type="paragraph" w:styleId="Nagwek9">
    <w:name w:val="heading 9"/>
    <w:basedOn w:val="Normalny"/>
    <w:next w:val="Normalny"/>
    <w:link w:val="Nagwek9Znak"/>
    <w:uiPriority w:val="9"/>
    <w:semiHidden/>
    <w:unhideWhenUsed/>
    <w:qFormat/>
    <w:rsid w:val="00D05B5D"/>
    <w:pPr>
      <w:keepNext/>
      <w:keepLines/>
      <w:numPr>
        <w:ilvl w:val="8"/>
        <w:numId w:val="4"/>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8057F6"/>
    <w:rPr>
      <w:rFonts w:ascii="Bahnschrift" w:eastAsiaTheme="majorEastAsia" w:hAnsi="Bahnschrift" w:cstheme="majorBidi"/>
      <w:b/>
      <w:sz w:val="48"/>
      <w:szCs w:val="32"/>
    </w:rPr>
  </w:style>
  <w:style w:type="character" w:customStyle="1" w:styleId="Nagwek2Znak">
    <w:name w:val="Nagłówek 2 Znak"/>
    <w:basedOn w:val="Domylnaczcionkaakapitu"/>
    <w:link w:val="Nagwek2"/>
    <w:uiPriority w:val="9"/>
    <w:rsid w:val="00FF5725"/>
    <w:rPr>
      <w:rFonts w:ascii="Bahnschrift" w:eastAsiaTheme="majorEastAsia" w:hAnsi="Bahnschrift" w:cstheme="majorBidi"/>
      <w:b/>
      <w:sz w:val="44"/>
      <w:szCs w:val="26"/>
    </w:rPr>
  </w:style>
  <w:style w:type="character" w:customStyle="1" w:styleId="Nagwek3Znak">
    <w:name w:val="Nagłówek 3 Znak"/>
    <w:basedOn w:val="Domylnaczcionkaakapitu"/>
    <w:link w:val="Nagwek3"/>
    <w:uiPriority w:val="9"/>
    <w:rsid w:val="008F7850"/>
    <w:rPr>
      <w:rFonts w:ascii="Bahnschrift" w:eastAsiaTheme="majorEastAsia" w:hAnsi="Bahnschrift" w:cstheme="majorBidi"/>
      <w:b/>
      <w:sz w:val="40"/>
      <w:szCs w:val="24"/>
    </w:rPr>
  </w:style>
  <w:style w:type="character" w:customStyle="1" w:styleId="Nagwek4Znak">
    <w:name w:val="Nagłówek 4 Znak"/>
    <w:basedOn w:val="Domylnaczcionkaakapitu"/>
    <w:link w:val="Nagwek4"/>
    <w:uiPriority w:val="9"/>
    <w:rsid w:val="00E67CB8"/>
    <w:rPr>
      <w:rFonts w:ascii="Bahnschrift" w:eastAsiaTheme="majorEastAsia" w:hAnsi="Bahnschrift" w:cstheme="majorBidi"/>
      <w:b/>
      <w:iCs/>
      <w:sz w:val="32"/>
    </w:rPr>
  </w:style>
  <w:style w:type="table" w:styleId="Tabela-Siatka">
    <w:name w:val="Table Grid"/>
    <w:basedOn w:val="Standardowy"/>
    <w:uiPriority w:val="39"/>
    <w:rsid w:val="00691EA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istreci1">
    <w:name w:val="toc 1"/>
    <w:basedOn w:val="Normalny"/>
    <w:next w:val="Normalny"/>
    <w:autoRedefine/>
    <w:uiPriority w:val="39"/>
    <w:unhideWhenUsed/>
    <w:rsid w:val="0086761A"/>
    <w:pPr>
      <w:tabs>
        <w:tab w:val="left" w:pos="440"/>
        <w:tab w:val="right" w:leader="dot" w:pos="9062"/>
      </w:tabs>
      <w:spacing w:after="100"/>
    </w:pPr>
    <w:rPr>
      <w:rFonts w:ascii="Bahnschrift" w:hAnsi="Bahnschrift"/>
      <w:sz w:val="22"/>
    </w:rPr>
  </w:style>
  <w:style w:type="character" w:styleId="Odwoaniedokomentarza">
    <w:name w:val="annotation reference"/>
    <w:basedOn w:val="Domylnaczcionkaakapitu"/>
    <w:uiPriority w:val="99"/>
    <w:semiHidden/>
    <w:unhideWhenUsed/>
    <w:rsid w:val="0060410E"/>
    <w:rPr>
      <w:sz w:val="16"/>
      <w:szCs w:val="16"/>
    </w:rPr>
  </w:style>
  <w:style w:type="paragraph" w:styleId="Tekstkomentarza">
    <w:name w:val="annotation text"/>
    <w:basedOn w:val="Normalny"/>
    <w:link w:val="TekstkomentarzaZnak"/>
    <w:uiPriority w:val="99"/>
    <w:unhideWhenUsed/>
    <w:rsid w:val="0060410E"/>
    <w:pPr>
      <w:spacing w:line="240" w:lineRule="auto"/>
    </w:pPr>
    <w:rPr>
      <w:szCs w:val="20"/>
    </w:rPr>
  </w:style>
  <w:style w:type="character" w:customStyle="1" w:styleId="TekstkomentarzaZnak">
    <w:name w:val="Tekst komentarza Znak"/>
    <w:basedOn w:val="Domylnaczcionkaakapitu"/>
    <w:link w:val="Tekstkomentarza"/>
    <w:uiPriority w:val="99"/>
    <w:rsid w:val="0060410E"/>
    <w:rPr>
      <w:rFonts w:ascii="Lato" w:hAnsi="Lato"/>
      <w:sz w:val="20"/>
      <w:szCs w:val="20"/>
    </w:rPr>
  </w:style>
  <w:style w:type="paragraph" w:styleId="Tematkomentarza">
    <w:name w:val="annotation subject"/>
    <w:basedOn w:val="Tekstkomentarza"/>
    <w:next w:val="Tekstkomentarza"/>
    <w:link w:val="TematkomentarzaZnak"/>
    <w:uiPriority w:val="99"/>
    <w:semiHidden/>
    <w:unhideWhenUsed/>
    <w:rsid w:val="0060410E"/>
    <w:rPr>
      <w:b/>
      <w:bCs/>
    </w:rPr>
  </w:style>
  <w:style w:type="character" w:customStyle="1" w:styleId="TematkomentarzaZnak">
    <w:name w:val="Temat komentarza Znak"/>
    <w:basedOn w:val="TekstkomentarzaZnak"/>
    <w:link w:val="Tematkomentarza"/>
    <w:uiPriority w:val="99"/>
    <w:semiHidden/>
    <w:rsid w:val="0060410E"/>
    <w:rPr>
      <w:rFonts w:ascii="Lato" w:hAnsi="Lato"/>
      <w:b/>
      <w:bCs/>
      <w:sz w:val="20"/>
      <w:szCs w:val="20"/>
    </w:rPr>
  </w:style>
  <w:style w:type="character" w:styleId="Uwydatnienie">
    <w:name w:val="Emphasis"/>
    <w:basedOn w:val="Domylnaczcionkaakapitu"/>
    <w:uiPriority w:val="20"/>
    <w:qFormat/>
    <w:rsid w:val="008F3871"/>
    <w:rPr>
      <w:i/>
      <w:iCs/>
    </w:rPr>
  </w:style>
  <w:style w:type="paragraph" w:customStyle="1" w:styleId="x20181999">
    <w:name w:val="x2018/1999"/>
    <w:basedOn w:val="Normalny"/>
    <w:link w:val="x20181999Znak"/>
    <w:rsid w:val="002B5CFB"/>
    <w:pPr>
      <w:shd w:val="clear" w:color="auto" w:fill="BDD6EE" w:themeFill="accent5" w:themeFillTint="66"/>
    </w:pPr>
    <w:rPr>
      <w:color w:val="595959" w:themeColor="text1" w:themeTint="A6"/>
    </w:rPr>
  </w:style>
  <w:style w:type="character" w:customStyle="1" w:styleId="x20181999Znak">
    <w:name w:val="x2018/1999 Znak"/>
    <w:basedOn w:val="Domylnaczcionkaakapitu"/>
    <w:link w:val="x20181999"/>
    <w:rsid w:val="002B5CFB"/>
    <w:rPr>
      <w:rFonts w:ascii="Lato" w:hAnsi="Lato"/>
      <w:color w:val="595959" w:themeColor="text1" w:themeTint="A6"/>
      <w:shd w:val="clear" w:color="auto" w:fill="BDD6EE" w:themeFill="accent5" w:themeFillTint="66"/>
    </w:rPr>
  </w:style>
  <w:style w:type="paragraph" w:styleId="Nagwekspisutreci">
    <w:name w:val="TOC Heading"/>
    <w:basedOn w:val="Nagwek1"/>
    <w:next w:val="Normalny"/>
    <w:uiPriority w:val="39"/>
    <w:unhideWhenUsed/>
    <w:qFormat/>
    <w:rsid w:val="00BA46AC"/>
    <w:pPr>
      <w:spacing w:after="0"/>
      <w:outlineLvl w:val="9"/>
    </w:pPr>
    <w:rPr>
      <w:rFonts w:asciiTheme="majorHAnsi" w:hAnsiTheme="majorHAnsi"/>
      <w:b w:val="0"/>
      <w:kern w:val="0"/>
      <w:sz w:val="32"/>
      <w:lang w:eastAsia="pl-PL"/>
    </w:rPr>
  </w:style>
  <w:style w:type="paragraph" w:styleId="Spistreci3">
    <w:name w:val="toc 3"/>
    <w:basedOn w:val="Normalny"/>
    <w:next w:val="Normalny"/>
    <w:autoRedefine/>
    <w:uiPriority w:val="39"/>
    <w:unhideWhenUsed/>
    <w:rsid w:val="008A138F"/>
    <w:pPr>
      <w:tabs>
        <w:tab w:val="left" w:pos="1560"/>
        <w:tab w:val="right" w:leader="dot" w:pos="9062"/>
      </w:tabs>
      <w:spacing w:after="100"/>
      <w:ind w:left="1560" w:hanging="1134"/>
      <w:jc w:val="left"/>
    </w:pPr>
    <w:rPr>
      <w:rFonts w:ascii="Bahnschrift" w:hAnsi="Bahnschrift"/>
    </w:rPr>
  </w:style>
  <w:style w:type="paragraph" w:styleId="Spistreci2">
    <w:name w:val="toc 2"/>
    <w:basedOn w:val="Normalny"/>
    <w:next w:val="Normalny"/>
    <w:autoRedefine/>
    <w:uiPriority w:val="39"/>
    <w:unhideWhenUsed/>
    <w:rsid w:val="0074645C"/>
    <w:pPr>
      <w:tabs>
        <w:tab w:val="left" w:pos="880"/>
        <w:tab w:val="right" w:leader="dot" w:pos="9062"/>
      </w:tabs>
      <w:spacing w:after="100"/>
      <w:ind w:left="220"/>
      <w:jc w:val="left"/>
    </w:pPr>
    <w:rPr>
      <w:rFonts w:ascii="Bahnschrift" w:hAnsi="Bahnschrift"/>
    </w:rPr>
  </w:style>
  <w:style w:type="character" w:styleId="Hipercze">
    <w:name w:val="Hyperlink"/>
    <w:basedOn w:val="Domylnaczcionkaakapitu"/>
    <w:uiPriority w:val="99"/>
    <w:unhideWhenUsed/>
    <w:rsid w:val="00BA46AC"/>
    <w:rPr>
      <w:color w:val="0563C1" w:themeColor="hyperlink"/>
      <w:u w:val="single"/>
    </w:rPr>
  </w:style>
  <w:style w:type="paragraph" w:styleId="Akapitzlist">
    <w:name w:val="List Paragraph"/>
    <w:aliases w:val="Dot pt,F5 List Paragraph,List Paragraph1,Recommendation,List Paragraph11,List Paragraph,Kolorowa lista — akcent 11,Akapit z listą1,Numerowanie,1 Akapit z listą,목록 단락,Akapit z listą11,Numbered Para 1,No Spacing1,List Paragraph Char Char Ch"/>
    <w:basedOn w:val="Normalny"/>
    <w:link w:val="AkapitzlistZnak"/>
    <w:uiPriority w:val="34"/>
    <w:qFormat/>
    <w:rsid w:val="00476378"/>
    <w:pPr>
      <w:ind w:left="720"/>
      <w:contextualSpacing/>
    </w:pPr>
  </w:style>
  <w:style w:type="paragraph" w:customStyle="1" w:styleId="tekstroboczy">
    <w:name w:val="tekst roboczy"/>
    <w:basedOn w:val="Normalny"/>
    <w:link w:val="tekstroboczyZnak"/>
    <w:qFormat/>
    <w:rsid w:val="005F4621"/>
    <w:pPr>
      <w:shd w:val="clear" w:color="auto" w:fill="FFF2CC" w:themeFill="accent4" w:themeFillTint="33"/>
    </w:pPr>
    <w:rPr>
      <w:color w:val="660033"/>
    </w:rPr>
  </w:style>
  <w:style w:type="character" w:customStyle="1" w:styleId="tekstroboczyZnak">
    <w:name w:val="tekst roboczy Znak"/>
    <w:basedOn w:val="Domylnaczcionkaakapitu"/>
    <w:link w:val="tekstroboczy"/>
    <w:rsid w:val="005F4621"/>
    <w:rPr>
      <w:rFonts w:ascii="Lato" w:hAnsi="Lato"/>
      <w:color w:val="660033"/>
      <w:shd w:val="clear" w:color="auto" w:fill="FFF2CC" w:themeFill="accent4" w:themeFillTint="33"/>
    </w:rPr>
  </w:style>
  <w:style w:type="paragraph" w:styleId="Tekstprzypisukocowego">
    <w:name w:val="endnote text"/>
    <w:basedOn w:val="Normalny"/>
    <w:link w:val="TekstprzypisukocowegoZnak"/>
    <w:uiPriority w:val="99"/>
    <w:semiHidden/>
    <w:unhideWhenUsed/>
    <w:rsid w:val="003772B3"/>
    <w:pPr>
      <w:spacing w:after="0" w:line="240" w:lineRule="auto"/>
    </w:pPr>
    <w:rPr>
      <w:szCs w:val="20"/>
    </w:rPr>
  </w:style>
  <w:style w:type="character" w:customStyle="1" w:styleId="TekstprzypisukocowegoZnak">
    <w:name w:val="Tekst przypisu końcowego Znak"/>
    <w:basedOn w:val="Domylnaczcionkaakapitu"/>
    <w:link w:val="Tekstprzypisukocowego"/>
    <w:uiPriority w:val="99"/>
    <w:semiHidden/>
    <w:rsid w:val="003772B3"/>
    <w:rPr>
      <w:rFonts w:ascii="Lato" w:hAnsi="Lato"/>
      <w:sz w:val="20"/>
      <w:szCs w:val="20"/>
    </w:rPr>
  </w:style>
  <w:style w:type="character" w:styleId="Odwoanieprzypisukocowego">
    <w:name w:val="endnote reference"/>
    <w:basedOn w:val="Domylnaczcionkaakapitu"/>
    <w:uiPriority w:val="99"/>
    <w:semiHidden/>
    <w:unhideWhenUsed/>
    <w:rsid w:val="003772B3"/>
    <w:rPr>
      <w:vertAlign w:val="superscript"/>
    </w:rPr>
  </w:style>
  <w:style w:type="paragraph" w:styleId="Tekstprzypisudolnego">
    <w:name w:val="footnote text"/>
    <w:aliases w:val="Fußnotentextf,Footnote text,fn,Schriftart: 9 pt,Schriftart: 10 pt,Schriftart: 8 pt,WB-Fußnotentext,Podrozdział,Schriftart: 8 p,Char,Tekst przypisu,WB-Fuﬂnotentext,Voetnoottekst Char,Voetnoottekst Char1,Reference,Fußnote,Fußn"/>
    <w:basedOn w:val="Normalny"/>
    <w:link w:val="TekstprzypisudolnegoZnak"/>
    <w:uiPriority w:val="99"/>
    <w:unhideWhenUsed/>
    <w:rsid w:val="00F775EA"/>
    <w:pPr>
      <w:spacing w:after="0" w:line="240" w:lineRule="auto"/>
    </w:pPr>
    <w:rPr>
      <w:szCs w:val="20"/>
    </w:rPr>
  </w:style>
  <w:style w:type="character" w:customStyle="1" w:styleId="TekstprzypisudolnegoZnak">
    <w:name w:val="Tekst przypisu dolnego Znak"/>
    <w:aliases w:val="Fußnotentextf Znak,Footnote text Znak,fn Znak,Schriftart: 9 pt Znak,Schriftart: 10 pt Znak,Schriftart: 8 pt Znak,WB-Fußnotentext Znak,Podrozdział Znak,Schriftart: 8 p Znak,Char Znak,Tekst przypisu Znak,WB-Fuﬂnotentext Znak"/>
    <w:basedOn w:val="Domylnaczcionkaakapitu"/>
    <w:link w:val="Tekstprzypisudolnego"/>
    <w:uiPriority w:val="99"/>
    <w:rsid w:val="00F775EA"/>
    <w:rPr>
      <w:rFonts w:ascii="Lato" w:hAnsi="Lato"/>
      <w:sz w:val="20"/>
      <w:szCs w:val="20"/>
    </w:rPr>
  </w:style>
  <w:style w:type="character" w:styleId="Odwoanieprzypisudolnego">
    <w:name w:val="footnote reference"/>
    <w:aliases w:val="Footnote symbol,IT Fußnotenzeichen,Footnote symboFußnotenzeichen,Footnote sign,-E Fußnotenzeichen,ESPON Footnote No,Footnote call,Footnote Reference Superscript,Footnote reference number,Times 10 Point,Exposant 3 Point,Ref"/>
    <w:basedOn w:val="Domylnaczcionkaakapitu"/>
    <w:link w:val="FootnotesymbolCarZchn"/>
    <w:uiPriority w:val="99"/>
    <w:unhideWhenUsed/>
    <w:rsid w:val="00F775EA"/>
    <w:rPr>
      <w:vertAlign w:val="superscript"/>
    </w:rPr>
  </w:style>
  <w:style w:type="paragraph" w:styleId="Tekstpodstawowy">
    <w:name w:val="Body Text"/>
    <w:basedOn w:val="Normalny"/>
    <w:link w:val="TekstpodstawowyZnak"/>
    <w:uiPriority w:val="99"/>
    <w:semiHidden/>
    <w:unhideWhenUsed/>
    <w:rsid w:val="00136584"/>
    <w:pPr>
      <w:spacing w:after="120"/>
    </w:pPr>
  </w:style>
  <w:style w:type="paragraph" w:customStyle="1" w:styleId="odesaniedoza">
    <w:name w:val="odesłanie do zał"/>
    <w:basedOn w:val="Normalny"/>
    <w:link w:val="odesaniedozaZnak"/>
    <w:qFormat/>
    <w:rsid w:val="00FE4752"/>
    <w:pPr>
      <w:spacing w:before="120"/>
    </w:pPr>
    <w:rPr>
      <w:color w:val="808080" w:themeColor="background1" w:themeShade="80"/>
    </w:rPr>
  </w:style>
  <w:style w:type="character" w:customStyle="1" w:styleId="odesaniedozaZnak">
    <w:name w:val="odesłanie do zał Znak"/>
    <w:basedOn w:val="Domylnaczcionkaakapitu"/>
    <w:link w:val="odesaniedoza"/>
    <w:rsid w:val="00FE4752"/>
    <w:rPr>
      <w:rFonts w:ascii="Lato" w:hAnsi="Lato"/>
      <w:color w:val="808080" w:themeColor="background1" w:themeShade="80"/>
      <w:sz w:val="20"/>
    </w:rPr>
  </w:style>
  <w:style w:type="paragraph" w:customStyle="1" w:styleId="Przypisy">
    <w:name w:val="Przypisy"/>
    <w:basedOn w:val="Bezodstpw"/>
    <w:link w:val="PrzypisyZnak"/>
    <w:autoRedefine/>
    <w:qFormat/>
    <w:rsid w:val="00B45C43"/>
    <w:pPr>
      <w:spacing w:before="80" w:after="20"/>
      <w:ind w:firstLine="0"/>
    </w:pPr>
    <w:rPr>
      <w:rFonts w:eastAsia="Calibri" w:cs="Times New Roman"/>
      <w:sz w:val="18"/>
      <w:szCs w:val="18"/>
    </w:rPr>
  </w:style>
  <w:style w:type="character" w:customStyle="1" w:styleId="PrzypisyZnak">
    <w:name w:val="Przypisy Znak"/>
    <w:basedOn w:val="Domylnaczcionkaakapitu"/>
    <w:link w:val="Przypisy"/>
    <w:rsid w:val="00B45C43"/>
    <w:rPr>
      <w:rFonts w:ascii="Lato" w:eastAsia="Calibri" w:hAnsi="Lato" w:cs="Times New Roman"/>
      <w:kern w:val="0"/>
      <w:sz w:val="18"/>
      <w:szCs w:val="18"/>
    </w:rPr>
  </w:style>
  <w:style w:type="paragraph" w:styleId="Bezodstpw">
    <w:name w:val="No Spacing"/>
    <w:link w:val="BezodstpwZnak"/>
    <w:autoRedefine/>
    <w:uiPriority w:val="1"/>
    <w:qFormat/>
    <w:rsid w:val="00D45013"/>
    <w:pPr>
      <w:spacing w:after="0"/>
      <w:ind w:left="43" w:firstLine="79"/>
      <w:jc w:val="both"/>
    </w:pPr>
    <w:rPr>
      <w:rFonts w:ascii="Lato" w:hAnsi="Lato" w:cs="Calibri"/>
      <w:kern w:val="0"/>
    </w:rPr>
  </w:style>
  <w:style w:type="character" w:customStyle="1" w:styleId="BezodstpwZnak">
    <w:name w:val="Bez odstępów Znak"/>
    <w:basedOn w:val="Domylnaczcionkaakapitu"/>
    <w:link w:val="Bezodstpw"/>
    <w:uiPriority w:val="1"/>
    <w:rsid w:val="00D45013"/>
    <w:rPr>
      <w:rFonts w:ascii="Lato" w:hAnsi="Lato" w:cs="Calibri"/>
      <w:kern w:val="0"/>
    </w:rPr>
  </w:style>
  <w:style w:type="paragraph" w:styleId="Nagwek">
    <w:name w:val="header"/>
    <w:basedOn w:val="Normalny"/>
    <w:link w:val="NagwekZnak"/>
    <w:uiPriority w:val="99"/>
    <w:unhideWhenUsed/>
    <w:rsid w:val="00D92449"/>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D92449"/>
    <w:rPr>
      <w:rFonts w:ascii="Lato" w:hAnsi="Lato"/>
    </w:rPr>
  </w:style>
  <w:style w:type="paragraph" w:styleId="Stopka">
    <w:name w:val="footer"/>
    <w:basedOn w:val="Normalny"/>
    <w:link w:val="StopkaZnak"/>
    <w:uiPriority w:val="99"/>
    <w:unhideWhenUsed/>
    <w:rsid w:val="00D92449"/>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D92449"/>
    <w:rPr>
      <w:rFonts w:ascii="Lato" w:hAnsi="Lato"/>
    </w:rPr>
  </w:style>
  <w:style w:type="character" w:customStyle="1" w:styleId="Nagwek5Znak">
    <w:name w:val="Nagłówek 5 Znak"/>
    <w:basedOn w:val="Domylnaczcionkaakapitu"/>
    <w:link w:val="Nagwek5"/>
    <w:uiPriority w:val="9"/>
    <w:rsid w:val="00D05B5D"/>
    <w:rPr>
      <w:rFonts w:asciiTheme="majorHAnsi" w:eastAsiaTheme="majorEastAsia" w:hAnsiTheme="majorHAnsi" w:cstheme="majorBidi"/>
      <w:color w:val="2F5496" w:themeColor="accent1" w:themeShade="BF"/>
      <w:sz w:val="20"/>
    </w:rPr>
  </w:style>
  <w:style w:type="character" w:customStyle="1" w:styleId="Nagwek6Znak">
    <w:name w:val="Nagłówek 6 Znak"/>
    <w:aliases w:val="Nagłówek 6_Działania Znak"/>
    <w:basedOn w:val="Domylnaczcionkaakapitu"/>
    <w:link w:val="Nagwek6"/>
    <w:uiPriority w:val="9"/>
    <w:rsid w:val="00661B98"/>
    <w:rPr>
      <w:rFonts w:ascii="Bahnschrift" w:eastAsiaTheme="majorEastAsia" w:hAnsi="Bahnschrift" w:cstheme="majorBidi"/>
      <w:b/>
      <w:color w:val="000000" w:themeColor="text1"/>
    </w:rPr>
  </w:style>
  <w:style w:type="character" w:customStyle="1" w:styleId="Nagwek7Znak">
    <w:name w:val="Nagłówek 7 Znak"/>
    <w:basedOn w:val="Domylnaczcionkaakapitu"/>
    <w:link w:val="Nagwek7"/>
    <w:uiPriority w:val="9"/>
    <w:semiHidden/>
    <w:rsid w:val="00D05B5D"/>
    <w:rPr>
      <w:rFonts w:asciiTheme="majorHAnsi" w:eastAsiaTheme="majorEastAsia" w:hAnsiTheme="majorHAnsi" w:cstheme="majorBidi"/>
      <w:i/>
      <w:iCs/>
      <w:color w:val="1F3763" w:themeColor="accent1" w:themeShade="7F"/>
      <w:sz w:val="20"/>
    </w:rPr>
  </w:style>
  <w:style w:type="character" w:customStyle="1" w:styleId="Nagwek8Znak">
    <w:name w:val="Nagłówek 8 Znak"/>
    <w:basedOn w:val="Domylnaczcionkaakapitu"/>
    <w:link w:val="Nagwek8"/>
    <w:uiPriority w:val="9"/>
    <w:semiHidden/>
    <w:rsid w:val="00D05B5D"/>
    <w:rPr>
      <w:rFonts w:asciiTheme="majorHAnsi" w:eastAsiaTheme="majorEastAsia" w:hAnsiTheme="majorHAnsi" w:cstheme="majorBidi"/>
      <w:color w:val="272727" w:themeColor="text1" w:themeTint="D8"/>
      <w:sz w:val="21"/>
      <w:szCs w:val="21"/>
    </w:rPr>
  </w:style>
  <w:style w:type="character" w:customStyle="1" w:styleId="Nagwek9Znak">
    <w:name w:val="Nagłówek 9 Znak"/>
    <w:basedOn w:val="Domylnaczcionkaakapitu"/>
    <w:link w:val="Nagwek9"/>
    <w:uiPriority w:val="9"/>
    <w:semiHidden/>
    <w:rsid w:val="00D05B5D"/>
    <w:rPr>
      <w:rFonts w:asciiTheme="majorHAnsi" w:eastAsiaTheme="majorEastAsia" w:hAnsiTheme="majorHAnsi" w:cstheme="majorBidi"/>
      <w:i/>
      <w:iCs/>
      <w:color w:val="272727" w:themeColor="text1" w:themeTint="D8"/>
      <w:sz w:val="21"/>
      <w:szCs w:val="21"/>
    </w:rPr>
  </w:style>
  <w:style w:type="paragraph" w:customStyle="1" w:styleId="Cele">
    <w:name w:val="Cele"/>
    <w:basedOn w:val="Normalny"/>
    <w:link w:val="CeleZnak"/>
    <w:qFormat/>
    <w:rsid w:val="00470BAE"/>
    <w:pPr>
      <w:pBdr>
        <w:top w:val="single" w:sz="24" w:space="2" w:color="D9D9D9" w:themeColor="background1" w:themeShade="D9"/>
        <w:left w:val="single" w:sz="24" w:space="4" w:color="D9D9D9" w:themeColor="background1" w:themeShade="D9"/>
        <w:bottom w:val="single" w:sz="24" w:space="2" w:color="D9D9D9" w:themeColor="background1" w:themeShade="D9"/>
        <w:right w:val="single" w:sz="24" w:space="4" w:color="D9D9D9" w:themeColor="background1" w:themeShade="D9"/>
      </w:pBdr>
      <w:shd w:val="clear" w:color="auto" w:fill="D9D9D9" w:themeFill="background1" w:themeFillShade="D9"/>
      <w:spacing w:before="160" w:after="360"/>
      <w:jc w:val="center"/>
    </w:pPr>
    <w:rPr>
      <w:rFonts w:cs="Calibri"/>
      <w:sz w:val="24"/>
    </w:rPr>
  </w:style>
  <w:style w:type="character" w:customStyle="1" w:styleId="CeleZnak">
    <w:name w:val="Cele Znak"/>
    <w:basedOn w:val="Domylnaczcionkaakapitu"/>
    <w:link w:val="Cele"/>
    <w:rsid w:val="00470BAE"/>
    <w:rPr>
      <w:rFonts w:ascii="Lato" w:hAnsi="Lato" w:cs="Calibri"/>
      <w:sz w:val="24"/>
      <w:shd w:val="clear" w:color="auto" w:fill="D9D9D9" w:themeFill="background1" w:themeFillShade="D9"/>
    </w:rPr>
  </w:style>
  <w:style w:type="paragraph" w:styleId="Poprawka">
    <w:name w:val="Revision"/>
    <w:hidden/>
    <w:uiPriority w:val="99"/>
    <w:semiHidden/>
    <w:rsid w:val="00AC61D8"/>
    <w:pPr>
      <w:spacing w:after="0" w:line="240" w:lineRule="auto"/>
    </w:pPr>
    <w:rPr>
      <w:rFonts w:ascii="Lato" w:hAnsi="Lato"/>
    </w:rPr>
  </w:style>
  <w:style w:type="paragraph" w:customStyle="1" w:styleId="Polityka">
    <w:name w:val="Polityka"/>
    <w:basedOn w:val="Normalny"/>
    <w:link w:val="PolitykaZnak"/>
    <w:qFormat/>
    <w:rsid w:val="00F6387B"/>
    <w:pPr>
      <w:keepNext/>
      <w:spacing w:before="400" w:after="80"/>
    </w:pPr>
    <w:rPr>
      <w:rFonts w:ascii="Bahnschrift" w:hAnsi="Bahnschrift"/>
      <w:b/>
      <w:bCs/>
      <w:sz w:val="32"/>
      <w:szCs w:val="32"/>
    </w:rPr>
  </w:style>
  <w:style w:type="character" w:customStyle="1" w:styleId="PolitykaZnak">
    <w:name w:val="Polityka Znak"/>
    <w:basedOn w:val="Domylnaczcionkaakapitu"/>
    <w:link w:val="Polityka"/>
    <w:rsid w:val="00F6387B"/>
    <w:rPr>
      <w:rFonts w:ascii="Bahnschrift" w:hAnsi="Bahnschrift"/>
      <w:b/>
      <w:bCs/>
      <w:sz w:val="32"/>
      <w:szCs w:val="32"/>
    </w:rPr>
  </w:style>
  <w:style w:type="character" w:styleId="Nierozpoznanawzmianka">
    <w:name w:val="Unresolved Mention"/>
    <w:basedOn w:val="Domylnaczcionkaakapitu"/>
    <w:uiPriority w:val="99"/>
    <w:semiHidden/>
    <w:unhideWhenUsed/>
    <w:rsid w:val="00AB47C0"/>
    <w:rPr>
      <w:color w:val="605E5C"/>
      <w:shd w:val="clear" w:color="auto" w:fill="E1DFDD"/>
    </w:rPr>
  </w:style>
  <w:style w:type="character" w:customStyle="1" w:styleId="TekstpodstawowyZnak">
    <w:name w:val="Tekst podstawowy Znak"/>
    <w:basedOn w:val="Domylnaczcionkaakapitu"/>
    <w:link w:val="Tekstpodstawowy"/>
    <w:uiPriority w:val="99"/>
    <w:semiHidden/>
    <w:rsid w:val="00136584"/>
    <w:rPr>
      <w:rFonts w:ascii="Lato" w:hAnsi="Lato"/>
    </w:rPr>
  </w:style>
  <w:style w:type="paragraph" w:customStyle="1" w:styleId="Ramka">
    <w:name w:val="Ramka"/>
    <w:basedOn w:val="Normalny"/>
    <w:link w:val="RamkaZnak"/>
    <w:qFormat/>
    <w:rsid w:val="00B64F0D"/>
    <w:pPr>
      <w:spacing w:after="120"/>
      <w:jc w:val="center"/>
    </w:pPr>
    <w:rPr>
      <w:color w:val="595959" w:themeColor="text1" w:themeTint="A6"/>
      <w:sz w:val="18"/>
      <w:szCs w:val="18"/>
    </w:rPr>
  </w:style>
  <w:style w:type="character" w:customStyle="1" w:styleId="RamkaZnak">
    <w:name w:val="Ramka Znak"/>
    <w:basedOn w:val="Domylnaczcionkaakapitu"/>
    <w:link w:val="Ramka"/>
    <w:rsid w:val="00B64F0D"/>
    <w:rPr>
      <w:rFonts w:ascii="Lato" w:hAnsi="Lato"/>
      <w:color w:val="595959" w:themeColor="text1" w:themeTint="A6"/>
      <w:sz w:val="18"/>
      <w:szCs w:val="18"/>
    </w:rPr>
  </w:style>
  <w:style w:type="paragraph" w:styleId="Legenda">
    <w:name w:val="caption"/>
    <w:basedOn w:val="Normalny"/>
    <w:next w:val="Normalny"/>
    <w:link w:val="LegendaZnak"/>
    <w:uiPriority w:val="35"/>
    <w:unhideWhenUsed/>
    <w:qFormat/>
    <w:rsid w:val="003142A0"/>
    <w:pPr>
      <w:spacing w:before="60" w:after="120" w:line="240" w:lineRule="auto"/>
    </w:pPr>
    <w:rPr>
      <w:i/>
      <w:iCs/>
      <w:color w:val="44546A" w:themeColor="text2"/>
      <w:sz w:val="18"/>
      <w:szCs w:val="18"/>
    </w:rPr>
  </w:style>
  <w:style w:type="paragraph" w:styleId="Tytu">
    <w:name w:val="Title"/>
    <w:aliases w:val="spisy"/>
    <w:basedOn w:val="Normalny"/>
    <w:next w:val="Normalny"/>
    <w:link w:val="TytuZnak"/>
    <w:uiPriority w:val="10"/>
    <w:qFormat/>
    <w:rsid w:val="00BA64EC"/>
    <w:pPr>
      <w:spacing w:after="0" w:line="240" w:lineRule="auto"/>
      <w:contextualSpacing/>
      <w:jc w:val="left"/>
    </w:pPr>
    <w:rPr>
      <w:rFonts w:ascii="Bahnschrift" w:eastAsiaTheme="majorEastAsia" w:hAnsi="Bahnschrift" w:cstheme="majorBidi"/>
      <w:color w:val="FFFFFF" w:themeColor="background1"/>
      <w:spacing w:val="-10"/>
      <w:kern w:val="28"/>
      <w:sz w:val="56"/>
      <w:szCs w:val="56"/>
    </w:rPr>
  </w:style>
  <w:style w:type="character" w:customStyle="1" w:styleId="TytuZnak">
    <w:name w:val="Tytuł Znak"/>
    <w:aliases w:val="spisy Znak"/>
    <w:basedOn w:val="Domylnaczcionkaakapitu"/>
    <w:link w:val="Tytu"/>
    <w:uiPriority w:val="10"/>
    <w:rsid w:val="00BA64EC"/>
    <w:rPr>
      <w:rFonts w:ascii="Bahnschrift" w:eastAsiaTheme="majorEastAsia" w:hAnsi="Bahnschrift" w:cstheme="majorBidi"/>
      <w:color w:val="FFFFFF" w:themeColor="background1"/>
      <w:spacing w:val="-10"/>
      <w:kern w:val="28"/>
      <w:sz w:val="56"/>
      <w:szCs w:val="56"/>
    </w:rPr>
  </w:style>
  <w:style w:type="character" w:customStyle="1" w:styleId="AkapitzlistZnak">
    <w:name w:val="Akapit z listą Znak"/>
    <w:aliases w:val="Dot pt Znak,F5 List Paragraph Znak,List Paragraph1 Znak,Recommendation Znak,List Paragraph11 Znak,List Paragraph Znak,Kolorowa lista — akcent 11 Znak,Akapit z listą1 Znak,Numerowanie Znak,1 Akapit z listą Znak,목록 단락 Znak"/>
    <w:link w:val="Akapitzlist"/>
    <w:uiPriority w:val="34"/>
    <w:qFormat/>
    <w:locked/>
    <w:rsid w:val="005F740C"/>
    <w:rPr>
      <w:rFonts w:ascii="Lato" w:hAnsi="Lato"/>
      <w:sz w:val="20"/>
    </w:rPr>
  </w:style>
  <w:style w:type="paragraph" w:styleId="Spistreci4">
    <w:name w:val="toc 4"/>
    <w:basedOn w:val="Normalny"/>
    <w:next w:val="Normalny"/>
    <w:autoRedefine/>
    <w:uiPriority w:val="39"/>
    <w:unhideWhenUsed/>
    <w:rsid w:val="008A138F"/>
    <w:pPr>
      <w:tabs>
        <w:tab w:val="left" w:pos="1560"/>
        <w:tab w:val="left" w:pos="1843"/>
        <w:tab w:val="right" w:leader="dot" w:pos="9062"/>
      </w:tabs>
      <w:spacing w:after="100"/>
      <w:ind w:left="1560" w:hanging="851"/>
      <w:jc w:val="left"/>
    </w:pPr>
    <w:rPr>
      <w:rFonts w:ascii="Bahnschrift" w:hAnsi="Bahnschrift"/>
      <w:sz w:val="18"/>
    </w:rPr>
  </w:style>
  <w:style w:type="paragraph" w:styleId="Spistreci5">
    <w:name w:val="toc 5"/>
    <w:basedOn w:val="Normalny"/>
    <w:next w:val="Normalny"/>
    <w:autoRedefine/>
    <w:uiPriority w:val="39"/>
    <w:unhideWhenUsed/>
    <w:rsid w:val="001D4BA5"/>
    <w:pPr>
      <w:spacing w:after="100"/>
      <w:ind w:left="880"/>
      <w:jc w:val="left"/>
    </w:pPr>
    <w:rPr>
      <w:rFonts w:ascii="Bahnschrift" w:eastAsiaTheme="minorEastAsia" w:hAnsi="Bahnschrift"/>
      <w:sz w:val="22"/>
      <w:lang w:eastAsia="pl-PL"/>
    </w:rPr>
  </w:style>
  <w:style w:type="paragraph" w:styleId="Spistreci6">
    <w:name w:val="toc 6"/>
    <w:basedOn w:val="Normalny"/>
    <w:next w:val="Normalny"/>
    <w:autoRedefine/>
    <w:uiPriority w:val="39"/>
    <w:unhideWhenUsed/>
    <w:rsid w:val="00955EE6"/>
    <w:pPr>
      <w:spacing w:after="100"/>
      <w:ind w:left="1100"/>
      <w:jc w:val="left"/>
    </w:pPr>
    <w:rPr>
      <w:rFonts w:asciiTheme="minorHAnsi" w:eastAsiaTheme="minorEastAsia" w:hAnsiTheme="minorHAnsi"/>
      <w:sz w:val="22"/>
      <w:lang w:eastAsia="pl-PL"/>
    </w:rPr>
  </w:style>
  <w:style w:type="paragraph" w:styleId="Spistreci7">
    <w:name w:val="toc 7"/>
    <w:basedOn w:val="Normalny"/>
    <w:next w:val="Normalny"/>
    <w:autoRedefine/>
    <w:uiPriority w:val="39"/>
    <w:unhideWhenUsed/>
    <w:rsid w:val="001D4BA5"/>
    <w:pPr>
      <w:spacing w:after="100"/>
      <w:ind w:left="1320"/>
      <w:jc w:val="left"/>
    </w:pPr>
    <w:rPr>
      <w:rFonts w:ascii="Bahnschrift" w:eastAsiaTheme="minorEastAsia" w:hAnsi="Bahnschrift"/>
      <w:sz w:val="22"/>
      <w:lang w:eastAsia="pl-PL"/>
    </w:rPr>
  </w:style>
  <w:style w:type="paragraph" w:styleId="Spistreci8">
    <w:name w:val="toc 8"/>
    <w:basedOn w:val="Normalny"/>
    <w:next w:val="Normalny"/>
    <w:autoRedefine/>
    <w:uiPriority w:val="39"/>
    <w:unhideWhenUsed/>
    <w:rsid w:val="00955EE6"/>
    <w:pPr>
      <w:spacing w:after="100"/>
      <w:ind w:left="1540"/>
      <w:jc w:val="left"/>
    </w:pPr>
    <w:rPr>
      <w:rFonts w:asciiTheme="minorHAnsi" w:eastAsiaTheme="minorEastAsia" w:hAnsiTheme="minorHAnsi"/>
      <w:sz w:val="22"/>
      <w:lang w:eastAsia="pl-PL"/>
    </w:rPr>
  </w:style>
  <w:style w:type="paragraph" w:styleId="Spistreci9">
    <w:name w:val="toc 9"/>
    <w:basedOn w:val="Normalny"/>
    <w:next w:val="Normalny"/>
    <w:autoRedefine/>
    <w:uiPriority w:val="39"/>
    <w:unhideWhenUsed/>
    <w:rsid w:val="00955EE6"/>
    <w:pPr>
      <w:spacing w:after="100"/>
      <w:ind w:left="1760"/>
      <w:jc w:val="left"/>
    </w:pPr>
    <w:rPr>
      <w:rFonts w:asciiTheme="minorHAnsi" w:eastAsiaTheme="minorEastAsia" w:hAnsiTheme="minorHAnsi"/>
      <w:sz w:val="22"/>
      <w:lang w:eastAsia="pl-PL"/>
    </w:rPr>
  </w:style>
  <w:style w:type="character" w:customStyle="1" w:styleId="ui-provider">
    <w:name w:val="ui-provider"/>
    <w:basedOn w:val="Domylnaczcionkaakapitu"/>
    <w:rsid w:val="001F1F27"/>
  </w:style>
  <w:style w:type="character" w:styleId="UyteHipercze">
    <w:name w:val="FollowedHyperlink"/>
    <w:basedOn w:val="Domylnaczcionkaakapitu"/>
    <w:uiPriority w:val="99"/>
    <w:semiHidden/>
    <w:unhideWhenUsed/>
    <w:rsid w:val="00665822"/>
    <w:rPr>
      <w:color w:val="954F72" w:themeColor="followedHyperlink"/>
      <w:u w:val="single"/>
    </w:rPr>
  </w:style>
  <w:style w:type="paragraph" w:customStyle="1" w:styleId="Dziaanie">
    <w:name w:val="Działanie"/>
    <w:basedOn w:val="Normalny"/>
    <w:link w:val="DziaanieZnak"/>
    <w:rsid w:val="0043213A"/>
    <w:pPr>
      <w:spacing w:before="480"/>
    </w:pPr>
    <w:rPr>
      <w:rFonts w:ascii="Bahnschrift" w:hAnsi="Bahnschrift"/>
      <w:b/>
      <w:bCs/>
      <w:sz w:val="22"/>
    </w:rPr>
  </w:style>
  <w:style w:type="character" w:customStyle="1" w:styleId="DziaanieZnak">
    <w:name w:val="Działanie Znak"/>
    <w:basedOn w:val="Domylnaczcionkaakapitu"/>
    <w:link w:val="Dziaanie"/>
    <w:rsid w:val="0043213A"/>
    <w:rPr>
      <w:rFonts w:ascii="Bahnschrift" w:hAnsi="Bahnschrift"/>
      <w:b/>
      <w:bCs/>
    </w:rPr>
  </w:style>
  <w:style w:type="paragraph" w:customStyle="1" w:styleId="Nag-dziaania">
    <w:name w:val="Nagł-działania"/>
    <w:basedOn w:val="Bezodstpw"/>
    <w:rsid w:val="009F667D"/>
    <w:pPr>
      <w:shd w:val="clear" w:color="auto" w:fill="FFFFFF" w:themeFill="background1"/>
      <w:jc w:val="right"/>
    </w:pPr>
    <w:rPr>
      <w:rFonts w:ascii="Bahnschrift" w:eastAsia="MS Gothic" w:hAnsi="Bahnschrift"/>
      <w:b/>
      <w:color w:val="000000" w:themeColor="text1"/>
      <w:sz w:val="20"/>
    </w:rPr>
  </w:style>
  <w:style w:type="character" w:customStyle="1" w:styleId="rynqvb">
    <w:name w:val="rynqvb"/>
    <w:basedOn w:val="Domylnaczcionkaakapitu"/>
    <w:rsid w:val="003142A0"/>
  </w:style>
  <w:style w:type="character" w:customStyle="1" w:styleId="LegendaZnak">
    <w:name w:val="Legenda Znak"/>
    <w:basedOn w:val="Domylnaczcionkaakapitu"/>
    <w:link w:val="Legenda"/>
    <w:uiPriority w:val="35"/>
    <w:locked/>
    <w:rsid w:val="003142A0"/>
    <w:rPr>
      <w:rFonts w:ascii="Lato" w:hAnsi="Lato"/>
      <w:i/>
      <w:iCs/>
      <w:color w:val="44546A" w:themeColor="text2"/>
      <w:sz w:val="18"/>
      <w:szCs w:val="18"/>
    </w:rPr>
  </w:style>
  <w:style w:type="paragraph" w:customStyle="1" w:styleId="Tekstprzypisudolnego1">
    <w:name w:val="Tekst przypisu dolnego1"/>
    <w:basedOn w:val="Normalny"/>
    <w:next w:val="Tekstprzypisudolnego"/>
    <w:uiPriority w:val="99"/>
    <w:semiHidden/>
    <w:unhideWhenUsed/>
    <w:rsid w:val="00A868D5"/>
    <w:pPr>
      <w:spacing w:after="0" w:line="240" w:lineRule="auto"/>
      <w:jc w:val="left"/>
    </w:pPr>
    <w:rPr>
      <w:rFonts w:asciiTheme="minorHAnsi" w:hAnsiTheme="minorHAnsi"/>
      <w:kern w:val="0"/>
      <w:szCs w:val="20"/>
      <w14:ligatures w14:val="none"/>
    </w:rPr>
  </w:style>
  <w:style w:type="paragraph" w:styleId="NormalnyWeb">
    <w:name w:val="Normal (Web)"/>
    <w:basedOn w:val="Normalny"/>
    <w:uiPriority w:val="99"/>
    <w:unhideWhenUsed/>
    <w:rsid w:val="00992F1C"/>
    <w:pPr>
      <w:spacing w:before="100" w:beforeAutospacing="1" w:after="100" w:afterAutospacing="1" w:line="240" w:lineRule="auto"/>
      <w:jc w:val="left"/>
    </w:pPr>
    <w:rPr>
      <w:rFonts w:ascii="Times New Roman" w:eastAsia="Times New Roman" w:hAnsi="Times New Roman" w:cs="Times New Roman"/>
      <w:kern w:val="0"/>
      <w:sz w:val="24"/>
      <w:szCs w:val="24"/>
      <w:lang w:eastAsia="pl-PL"/>
      <w14:ligatures w14:val="none"/>
    </w:rPr>
  </w:style>
  <w:style w:type="character" w:customStyle="1" w:styleId="markedcontent">
    <w:name w:val="markedcontent"/>
    <w:basedOn w:val="Domylnaczcionkaakapitu"/>
    <w:rsid w:val="00992F1C"/>
  </w:style>
  <w:style w:type="paragraph" w:customStyle="1" w:styleId="tyturys">
    <w:name w:val="tytuł rys"/>
    <w:basedOn w:val="Normalny"/>
    <w:link w:val="tyturysZnak"/>
    <w:qFormat/>
    <w:rsid w:val="00D5040C"/>
    <w:pPr>
      <w:spacing w:after="0" w:line="256" w:lineRule="auto"/>
      <w:jc w:val="center"/>
    </w:pPr>
    <w:rPr>
      <w:b/>
      <w:bCs/>
      <w:color w:val="323E4F" w:themeColor="text2" w:themeShade="BF"/>
      <w:sz w:val="28"/>
      <w:szCs w:val="32"/>
    </w:rPr>
  </w:style>
  <w:style w:type="character" w:customStyle="1" w:styleId="tyturysZnak">
    <w:name w:val="tytuł rys Znak"/>
    <w:basedOn w:val="Domylnaczcionkaakapitu"/>
    <w:link w:val="tyturys"/>
    <w:rsid w:val="00D5040C"/>
    <w:rPr>
      <w:rFonts w:ascii="Lato" w:hAnsi="Lato"/>
      <w:b/>
      <w:bCs/>
      <w:color w:val="323E4F" w:themeColor="text2" w:themeShade="BF"/>
      <w:sz w:val="28"/>
      <w:szCs w:val="32"/>
    </w:rPr>
  </w:style>
  <w:style w:type="paragraph" w:customStyle="1" w:styleId="FootnotesymbolCarZchn">
    <w:name w:val="Footnote symbol Car Zchn"/>
    <w:aliases w:val="Footnote Car Zchn,Times 10 Point Car Zchn,Exposant 3 Point Car Zchn,Footnote Reference Superscript Car Zchn,Char Char Char Char Char Car Zchn,BVI fnr Car Zchn,SUPERS Car Zchn"/>
    <w:basedOn w:val="Normalny"/>
    <w:link w:val="Odwoanieprzypisudolnego"/>
    <w:uiPriority w:val="99"/>
    <w:rsid w:val="007051E8"/>
    <w:pPr>
      <w:spacing w:line="240" w:lineRule="exact"/>
      <w:jc w:val="left"/>
    </w:pPr>
    <w:rPr>
      <w:rFonts w:asciiTheme="minorHAnsi" w:hAnsiTheme="minorHAnsi"/>
      <w:sz w:val="22"/>
      <w:vertAlign w:val="superscript"/>
    </w:rPr>
  </w:style>
  <w:style w:type="paragraph" w:customStyle="1" w:styleId="nawigator">
    <w:name w:val="nawigator"/>
    <w:basedOn w:val="Normalny"/>
    <w:link w:val="nawigatorZnak"/>
    <w:qFormat/>
    <w:rsid w:val="00D32EE4"/>
    <w:pPr>
      <w:spacing w:after="0" w:line="228" w:lineRule="auto"/>
      <w:jc w:val="left"/>
    </w:pPr>
    <w:rPr>
      <w:rFonts w:ascii="Bahnschrift" w:hAnsi="Bahnschrift" w:cs="Times New Roman"/>
      <w:b/>
      <w:kern w:val="0"/>
      <w:szCs w:val="20"/>
      <w14:ligatures w14:val="none"/>
    </w:rPr>
  </w:style>
  <w:style w:type="character" w:customStyle="1" w:styleId="nawigatorZnak">
    <w:name w:val="nawigator Znak"/>
    <w:basedOn w:val="Domylnaczcionkaakapitu"/>
    <w:link w:val="nawigator"/>
    <w:rsid w:val="00D32EE4"/>
    <w:rPr>
      <w:rFonts w:ascii="Bahnschrift" w:hAnsi="Bahnschrift" w:cs="Times New Roman"/>
      <w:b/>
      <w:kern w:val="0"/>
      <w:sz w:val="20"/>
      <w:szCs w:val="20"/>
      <w14:ligatures w14:val="none"/>
    </w:rPr>
  </w:style>
  <w:style w:type="paragraph" w:customStyle="1" w:styleId="Streszcz">
    <w:name w:val="Streszcz"/>
    <w:basedOn w:val="Bezodstpw"/>
    <w:link w:val="StreszczZnak"/>
    <w:qFormat/>
    <w:rsid w:val="00483BCD"/>
    <w:pPr>
      <w:spacing w:before="80" w:after="80"/>
      <w:ind w:left="0" w:firstLine="0"/>
    </w:pPr>
    <w:rPr>
      <w:sz w:val="20"/>
    </w:rPr>
  </w:style>
  <w:style w:type="character" w:customStyle="1" w:styleId="StreszczZnak">
    <w:name w:val="Streszcz Znak"/>
    <w:basedOn w:val="BezodstpwZnak"/>
    <w:link w:val="Streszcz"/>
    <w:rsid w:val="00483BCD"/>
    <w:rPr>
      <w:rFonts w:ascii="Lato" w:hAnsi="Lato" w:cs="Calibri"/>
      <w:kern w:val="0"/>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3140134">
      <w:bodyDiv w:val="1"/>
      <w:marLeft w:val="0"/>
      <w:marRight w:val="0"/>
      <w:marTop w:val="0"/>
      <w:marBottom w:val="0"/>
      <w:divBdr>
        <w:top w:val="none" w:sz="0" w:space="0" w:color="auto"/>
        <w:left w:val="none" w:sz="0" w:space="0" w:color="auto"/>
        <w:bottom w:val="none" w:sz="0" w:space="0" w:color="auto"/>
        <w:right w:val="none" w:sz="0" w:space="0" w:color="auto"/>
      </w:divBdr>
    </w:div>
    <w:div w:id="84615360">
      <w:bodyDiv w:val="1"/>
      <w:marLeft w:val="0"/>
      <w:marRight w:val="0"/>
      <w:marTop w:val="0"/>
      <w:marBottom w:val="0"/>
      <w:divBdr>
        <w:top w:val="none" w:sz="0" w:space="0" w:color="auto"/>
        <w:left w:val="none" w:sz="0" w:space="0" w:color="auto"/>
        <w:bottom w:val="none" w:sz="0" w:space="0" w:color="auto"/>
        <w:right w:val="none" w:sz="0" w:space="0" w:color="auto"/>
      </w:divBdr>
    </w:div>
    <w:div w:id="100495413">
      <w:bodyDiv w:val="1"/>
      <w:marLeft w:val="0"/>
      <w:marRight w:val="0"/>
      <w:marTop w:val="0"/>
      <w:marBottom w:val="0"/>
      <w:divBdr>
        <w:top w:val="none" w:sz="0" w:space="0" w:color="auto"/>
        <w:left w:val="none" w:sz="0" w:space="0" w:color="auto"/>
        <w:bottom w:val="none" w:sz="0" w:space="0" w:color="auto"/>
        <w:right w:val="none" w:sz="0" w:space="0" w:color="auto"/>
      </w:divBdr>
    </w:div>
    <w:div w:id="134884202">
      <w:bodyDiv w:val="1"/>
      <w:marLeft w:val="0"/>
      <w:marRight w:val="0"/>
      <w:marTop w:val="0"/>
      <w:marBottom w:val="0"/>
      <w:divBdr>
        <w:top w:val="none" w:sz="0" w:space="0" w:color="auto"/>
        <w:left w:val="none" w:sz="0" w:space="0" w:color="auto"/>
        <w:bottom w:val="none" w:sz="0" w:space="0" w:color="auto"/>
        <w:right w:val="none" w:sz="0" w:space="0" w:color="auto"/>
      </w:divBdr>
    </w:div>
    <w:div w:id="137260986">
      <w:bodyDiv w:val="1"/>
      <w:marLeft w:val="0"/>
      <w:marRight w:val="0"/>
      <w:marTop w:val="0"/>
      <w:marBottom w:val="0"/>
      <w:divBdr>
        <w:top w:val="none" w:sz="0" w:space="0" w:color="auto"/>
        <w:left w:val="none" w:sz="0" w:space="0" w:color="auto"/>
        <w:bottom w:val="none" w:sz="0" w:space="0" w:color="auto"/>
        <w:right w:val="none" w:sz="0" w:space="0" w:color="auto"/>
      </w:divBdr>
    </w:div>
    <w:div w:id="160629679">
      <w:bodyDiv w:val="1"/>
      <w:marLeft w:val="0"/>
      <w:marRight w:val="0"/>
      <w:marTop w:val="0"/>
      <w:marBottom w:val="0"/>
      <w:divBdr>
        <w:top w:val="none" w:sz="0" w:space="0" w:color="auto"/>
        <w:left w:val="none" w:sz="0" w:space="0" w:color="auto"/>
        <w:bottom w:val="none" w:sz="0" w:space="0" w:color="auto"/>
        <w:right w:val="none" w:sz="0" w:space="0" w:color="auto"/>
      </w:divBdr>
    </w:div>
    <w:div w:id="193426052">
      <w:bodyDiv w:val="1"/>
      <w:marLeft w:val="0"/>
      <w:marRight w:val="0"/>
      <w:marTop w:val="0"/>
      <w:marBottom w:val="0"/>
      <w:divBdr>
        <w:top w:val="none" w:sz="0" w:space="0" w:color="auto"/>
        <w:left w:val="none" w:sz="0" w:space="0" w:color="auto"/>
        <w:bottom w:val="none" w:sz="0" w:space="0" w:color="auto"/>
        <w:right w:val="none" w:sz="0" w:space="0" w:color="auto"/>
      </w:divBdr>
    </w:div>
    <w:div w:id="208418356">
      <w:bodyDiv w:val="1"/>
      <w:marLeft w:val="0"/>
      <w:marRight w:val="0"/>
      <w:marTop w:val="0"/>
      <w:marBottom w:val="0"/>
      <w:divBdr>
        <w:top w:val="none" w:sz="0" w:space="0" w:color="auto"/>
        <w:left w:val="none" w:sz="0" w:space="0" w:color="auto"/>
        <w:bottom w:val="none" w:sz="0" w:space="0" w:color="auto"/>
        <w:right w:val="none" w:sz="0" w:space="0" w:color="auto"/>
      </w:divBdr>
    </w:div>
    <w:div w:id="290862955">
      <w:bodyDiv w:val="1"/>
      <w:marLeft w:val="0"/>
      <w:marRight w:val="0"/>
      <w:marTop w:val="0"/>
      <w:marBottom w:val="0"/>
      <w:divBdr>
        <w:top w:val="none" w:sz="0" w:space="0" w:color="auto"/>
        <w:left w:val="none" w:sz="0" w:space="0" w:color="auto"/>
        <w:bottom w:val="none" w:sz="0" w:space="0" w:color="auto"/>
        <w:right w:val="none" w:sz="0" w:space="0" w:color="auto"/>
      </w:divBdr>
    </w:div>
    <w:div w:id="307906984">
      <w:bodyDiv w:val="1"/>
      <w:marLeft w:val="0"/>
      <w:marRight w:val="0"/>
      <w:marTop w:val="0"/>
      <w:marBottom w:val="0"/>
      <w:divBdr>
        <w:top w:val="none" w:sz="0" w:space="0" w:color="auto"/>
        <w:left w:val="none" w:sz="0" w:space="0" w:color="auto"/>
        <w:bottom w:val="none" w:sz="0" w:space="0" w:color="auto"/>
        <w:right w:val="none" w:sz="0" w:space="0" w:color="auto"/>
      </w:divBdr>
    </w:div>
    <w:div w:id="343164801">
      <w:bodyDiv w:val="1"/>
      <w:marLeft w:val="0"/>
      <w:marRight w:val="0"/>
      <w:marTop w:val="0"/>
      <w:marBottom w:val="0"/>
      <w:divBdr>
        <w:top w:val="none" w:sz="0" w:space="0" w:color="auto"/>
        <w:left w:val="none" w:sz="0" w:space="0" w:color="auto"/>
        <w:bottom w:val="none" w:sz="0" w:space="0" w:color="auto"/>
        <w:right w:val="none" w:sz="0" w:space="0" w:color="auto"/>
      </w:divBdr>
    </w:div>
    <w:div w:id="349141079">
      <w:bodyDiv w:val="1"/>
      <w:marLeft w:val="0"/>
      <w:marRight w:val="0"/>
      <w:marTop w:val="0"/>
      <w:marBottom w:val="0"/>
      <w:divBdr>
        <w:top w:val="none" w:sz="0" w:space="0" w:color="auto"/>
        <w:left w:val="none" w:sz="0" w:space="0" w:color="auto"/>
        <w:bottom w:val="none" w:sz="0" w:space="0" w:color="auto"/>
        <w:right w:val="none" w:sz="0" w:space="0" w:color="auto"/>
      </w:divBdr>
    </w:div>
    <w:div w:id="353967927">
      <w:bodyDiv w:val="1"/>
      <w:marLeft w:val="0"/>
      <w:marRight w:val="0"/>
      <w:marTop w:val="0"/>
      <w:marBottom w:val="0"/>
      <w:divBdr>
        <w:top w:val="none" w:sz="0" w:space="0" w:color="auto"/>
        <w:left w:val="none" w:sz="0" w:space="0" w:color="auto"/>
        <w:bottom w:val="none" w:sz="0" w:space="0" w:color="auto"/>
        <w:right w:val="none" w:sz="0" w:space="0" w:color="auto"/>
      </w:divBdr>
    </w:div>
    <w:div w:id="397824851">
      <w:bodyDiv w:val="1"/>
      <w:marLeft w:val="0"/>
      <w:marRight w:val="0"/>
      <w:marTop w:val="0"/>
      <w:marBottom w:val="0"/>
      <w:divBdr>
        <w:top w:val="none" w:sz="0" w:space="0" w:color="auto"/>
        <w:left w:val="none" w:sz="0" w:space="0" w:color="auto"/>
        <w:bottom w:val="none" w:sz="0" w:space="0" w:color="auto"/>
        <w:right w:val="none" w:sz="0" w:space="0" w:color="auto"/>
      </w:divBdr>
    </w:div>
    <w:div w:id="413088574">
      <w:bodyDiv w:val="1"/>
      <w:marLeft w:val="0"/>
      <w:marRight w:val="0"/>
      <w:marTop w:val="0"/>
      <w:marBottom w:val="0"/>
      <w:divBdr>
        <w:top w:val="none" w:sz="0" w:space="0" w:color="auto"/>
        <w:left w:val="none" w:sz="0" w:space="0" w:color="auto"/>
        <w:bottom w:val="none" w:sz="0" w:space="0" w:color="auto"/>
        <w:right w:val="none" w:sz="0" w:space="0" w:color="auto"/>
      </w:divBdr>
    </w:div>
    <w:div w:id="414013901">
      <w:bodyDiv w:val="1"/>
      <w:marLeft w:val="0"/>
      <w:marRight w:val="0"/>
      <w:marTop w:val="0"/>
      <w:marBottom w:val="0"/>
      <w:divBdr>
        <w:top w:val="none" w:sz="0" w:space="0" w:color="auto"/>
        <w:left w:val="none" w:sz="0" w:space="0" w:color="auto"/>
        <w:bottom w:val="none" w:sz="0" w:space="0" w:color="auto"/>
        <w:right w:val="none" w:sz="0" w:space="0" w:color="auto"/>
      </w:divBdr>
    </w:div>
    <w:div w:id="576480662">
      <w:bodyDiv w:val="1"/>
      <w:marLeft w:val="0"/>
      <w:marRight w:val="0"/>
      <w:marTop w:val="0"/>
      <w:marBottom w:val="0"/>
      <w:divBdr>
        <w:top w:val="none" w:sz="0" w:space="0" w:color="auto"/>
        <w:left w:val="none" w:sz="0" w:space="0" w:color="auto"/>
        <w:bottom w:val="none" w:sz="0" w:space="0" w:color="auto"/>
        <w:right w:val="none" w:sz="0" w:space="0" w:color="auto"/>
      </w:divBdr>
    </w:div>
    <w:div w:id="578294539">
      <w:bodyDiv w:val="1"/>
      <w:marLeft w:val="0"/>
      <w:marRight w:val="0"/>
      <w:marTop w:val="0"/>
      <w:marBottom w:val="0"/>
      <w:divBdr>
        <w:top w:val="none" w:sz="0" w:space="0" w:color="auto"/>
        <w:left w:val="none" w:sz="0" w:space="0" w:color="auto"/>
        <w:bottom w:val="none" w:sz="0" w:space="0" w:color="auto"/>
        <w:right w:val="none" w:sz="0" w:space="0" w:color="auto"/>
      </w:divBdr>
    </w:div>
    <w:div w:id="586041228">
      <w:bodyDiv w:val="1"/>
      <w:marLeft w:val="0"/>
      <w:marRight w:val="0"/>
      <w:marTop w:val="0"/>
      <w:marBottom w:val="0"/>
      <w:divBdr>
        <w:top w:val="none" w:sz="0" w:space="0" w:color="auto"/>
        <w:left w:val="none" w:sz="0" w:space="0" w:color="auto"/>
        <w:bottom w:val="none" w:sz="0" w:space="0" w:color="auto"/>
        <w:right w:val="none" w:sz="0" w:space="0" w:color="auto"/>
      </w:divBdr>
    </w:div>
    <w:div w:id="617569058">
      <w:bodyDiv w:val="1"/>
      <w:marLeft w:val="0"/>
      <w:marRight w:val="0"/>
      <w:marTop w:val="0"/>
      <w:marBottom w:val="0"/>
      <w:divBdr>
        <w:top w:val="none" w:sz="0" w:space="0" w:color="auto"/>
        <w:left w:val="none" w:sz="0" w:space="0" w:color="auto"/>
        <w:bottom w:val="none" w:sz="0" w:space="0" w:color="auto"/>
        <w:right w:val="none" w:sz="0" w:space="0" w:color="auto"/>
      </w:divBdr>
    </w:div>
    <w:div w:id="620459414">
      <w:bodyDiv w:val="1"/>
      <w:marLeft w:val="0"/>
      <w:marRight w:val="0"/>
      <w:marTop w:val="0"/>
      <w:marBottom w:val="0"/>
      <w:divBdr>
        <w:top w:val="none" w:sz="0" w:space="0" w:color="auto"/>
        <w:left w:val="none" w:sz="0" w:space="0" w:color="auto"/>
        <w:bottom w:val="none" w:sz="0" w:space="0" w:color="auto"/>
        <w:right w:val="none" w:sz="0" w:space="0" w:color="auto"/>
      </w:divBdr>
    </w:div>
    <w:div w:id="641158020">
      <w:bodyDiv w:val="1"/>
      <w:marLeft w:val="0"/>
      <w:marRight w:val="0"/>
      <w:marTop w:val="0"/>
      <w:marBottom w:val="0"/>
      <w:divBdr>
        <w:top w:val="none" w:sz="0" w:space="0" w:color="auto"/>
        <w:left w:val="none" w:sz="0" w:space="0" w:color="auto"/>
        <w:bottom w:val="none" w:sz="0" w:space="0" w:color="auto"/>
        <w:right w:val="none" w:sz="0" w:space="0" w:color="auto"/>
      </w:divBdr>
    </w:div>
    <w:div w:id="667097637">
      <w:bodyDiv w:val="1"/>
      <w:marLeft w:val="0"/>
      <w:marRight w:val="0"/>
      <w:marTop w:val="0"/>
      <w:marBottom w:val="0"/>
      <w:divBdr>
        <w:top w:val="none" w:sz="0" w:space="0" w:color="auto"/>
        <w:left w:val="none" w:sz="0" w:space="0" w:color="auto"/>
        <w:bottom w:val="none" w:sz="0" w:space="0" w:color="auto"/>
        <w:right w:val="none" w:sz="0" w:space="0" w:color="auto"/>
      </w:divBdr>
    </w:div>
    <w:div w:id="704792901">
      <w:bodyDiv w:val="1"/>
      <w:marLeft w:val="0"/>
      <w:marRight w:val="0"/>
      <w:marTop w:val="0"/>
      <w:marBottom w:val="0"/>
      <w:divBdr>
        <w:top w:val="none" w:sz="0" w:space="0" w:color="auto"/>
        <w:left w:val="none" w:sz="0" w:space="0" w:color="auto"/>
        <w:bottom w:val="none" w:sz="0" w:space="0" w:color="auto"/>
        <w:right w:val="none" w:sz="0" w:space="0" w:color="auto"/>
      </w:divBdr>
    </w:div>
    <w:div w:id="708921852">
      <w:bodyDiv w:val="1"/>
      <w:marLeft w:val="0"/>
      <w:marRight w:val="0"/>
      <w:marTop w:val="0"/>
      <w:marBottom w:val="0"/>
      <w:divBdr>
        <w:top w:val="none" w:sz="0" w:space="0" w:color="auto"/>
        <w:left w:val="none" w:sz="0" w:space="0" w:color="auto"/>
        <w:bottom w:val="none" w:sz="0" w:space="0" w:color="auto"/>
        <w:right w:val="none" w:sz="0" w:space="0" w:color="auto"/>
      </w:divBdr>
    </w:div>
    <w:div w:id="736561154">
      <w:bodyDiv w:val="1"/>
      <w:marLeft w:val="0"/>
      <w:marRight w:val="0"/>
      <w:marTop w:val="0"/>
      <w:marBottom w:val="0"/>
      <w:divBdr>
        <w:top w:val="none" w:sz="0" w:space="0" w:color="auto"/>
        <w:left w:val="none" w:sz="0" w:space="0" w:color="auto"/>
        <w:bottom w:val="none" w:sz="0" w:space="0" w:color="auto"/>
        <w:right w:val="none" w:sz="0" w:space="0" w:color="auto"/>
      </w:divBdr>
    </w:div>
    <w:div w:id="758479763">
      <w:bodyDiv w:val="1"/>
      <w:marLeft w:val="0"/>
      <w:marRight w:val="0"/>
      <w:marTop w:val="0"/>
      <w:marBottom w:val="0"/>
      <w:divBdr>
        <w:top w:val="none" w:sz="0" w:space="0" w:color="auto"/>
        <w:left w:val="none" w:sz="0" w:space="0" w:color="auto"/>
        <w:bottom w:val="none" w:sz="0" w:space="0" w:color="auto"/>
        <w:right w:val="none" w:sz="0" w:space="0" w:color="auto"/>
      </w:divBdr>
    </w:div>
    <w:div w:id="762848084">
      <w:bodyDiv w:val="1"/>
      <w:marLeft w:val="0"/>
      <w:marRight w:val="0"/>
      <w:marTop w:val="0"/>
      <w:marBottom w:val="0"/>
      <w:divBdr>
        <w:top w:val="none" w:sz="0" w:space="0" w:color="auto"/>
        <w:left w:val="none" w:sz="0" w:space="0" w:color="auto"/>
        <w:bottom w:val="none" w:sz="0" w:space="0" w:color="auto"/>
        <w:right w:val="none" w:sz="0" w:space="0" w:color="auto"/>
      </w:divBdr>
      <w:divsChild>
        <w:div w:id="2106532334">
          <w:marLeft w:val="0"/>
          <w:marRight w:val="0"/>
          <w:marTop w:val="0"/>
          <w:marBottom w:val="0"/>
          <w:divBdr>
            <w:top w:val="none" w:sz="0" w:space="0" w:color="auto"/>
            <w:left w:val="none" w:sz="0" w:space="0" w:color="auto"/>
            <w:bottom w:val="none" w:sz="0" w:space="0" w:color="auto"/>
            <w:right w:val="none" w:sz="0" w:space="0" w:color="auto"/>
          </w:divBdr>
        </w:div>
      </w:divsChild>
    </w:div>
    <w:div w:id="780145978">
      <w:bodyDiv w:val="1"/>
      <w:marLeft w:val="0"/>
      <w:marRight w:val="0"/>
      <w:marTop w:val="0"/>
      <w:marBottom w:val="0"/>
      <w:divBdr>
        <w:top w:val="none" w:sz="0" w:space="0" w:color="auto"/>
        <w:left w:val="none" w:sz="0" w:space="0" w:color="auto"/>
        <w:bottom w:val="none" w:sz="0" w:space="0" w:color="auto"/>
        <w:right w:val="none" w:sz="0" w:space="0" w:color="auto"/>
      </w:divBdr>
    </w:div>
    <w:div w:id="816193387">
      <w:bodyDiv w:val="1"/>
      <w:marLeft w:val="0"/>
      <w:marRight w:val="0"/>
      <w:marTop w:val="0"/>
      <w:marBottom w:val="0"/>
      <w:divBdr>
        <w:top w:val="none" w:sz="0" w:space="0" w:color="auto"/>
        <w:left w:val="none" w:sz="0" w:space="0" w:color="auto"/>
        <w:bottom w:val="none" w:sz="0" w:space="0" w:color="auto"/>
        <w:right w:val="none" w:sz="0" w:space="0" w:color="auto"/>
      </w:divBdr>
    </w:div>
    <w:div w:id="846023493">
      <w:bodyDiv w:val="1"/>
      <w:marLeft w:val="0"/>
      <w:marRight w:val="0"/>
      <w:marTop w:val="0"/>
      <w:marBottom w:val="0"/>
      <w:divBdr>
        <w:top w:val="none" w:sz="0" w:space="0" w:color="auto"/>
        <w:left w:val="none" w:sz="0" w:space="0" w:color="auto"/>
        <w:bottom w:val="none" w:sz="0" w:space="0" w:color="auto"/>
        <w:right w:val="none" w:sz="0" w:space="0" w:color="auto"/>
      </w:divBdr>
    </w:div>
    <w:div w:id="867451977">
      <w:bodyDiv w:val="1"/>
      <w:marLeft w:val="0"/>
      <w:marRight w:val="0"/>
      <w:marTop w:val="0"/>
      <w:marBottom w:val="0"/>
      <w:divBdr>
        <w:top w:val="none" w:sz="0" w:space="0" w:color="auto"/>
        <w:left w:val="none" w:sz="0" w:space="0" w:color="auto"/>
        <w:bottom w:val="none" w:sz="0" w:space="0" w:color="auto"/>
        <w:right w:val="none" w:sz="0" w:space="0" w:color="auto"/>
      </w:divBdr>
    </w:div>
    <w:div w:id="869416784">
      <w:bodyDiv w:val="1"/>
      <w:marLeft w:val="0"/>
      <w:marRight w:val="0"/>
      <w:marTop w:val="0"/>
      <w:marBottom w:val="0"/>
      <w:divBdr>
        <w:top w:val="none" w:sz="0" w:space="0" w:color="auto"/>
        <w:left w:val="none" w:sz="0" w:space="0" w:color="auto"/>
        <w:bottom w:val="none" w:sz="0" w:space="0" w:color="auto"/>
        <w:right w:val="none" w:sz="0" w:space="0" w:color="auto"/>
      </w:divBdr>
    </w:div>
    <w:div w:id="926763956">
      <w:bodyDiv w:val="1"/>
      <w:marLeft w:val="0"/>
      <w:marRight w:val="0"/>
      <w:marTop w:val="0"/>
      <w:marBottom w:val="0"/>
      <w:divBdr>
        <w:top w:val="none" w:sz="0" w:space="0" w:color="auto"/>
        <w:left w:val="none" w:sz="0" w:space="0" w:color="auto"/>
        <w:bottom w:val="none" w:sz="0" w:space="0" w:color="auto"/>
        <w:right w:val="none" w:sz="0" w:space="0" w:color="auto"/>
      </w:divBdr>
    </w:div>
    <w:div w:id="962462826">
      <w:bodyDiv w:val="1"/>
      <w:marLeft w:val="0"/>
      <w:marRight w:val="0"/>
      <w:marTop w:val="0"/>
      <w:marBottom w:val="0"/>
      <w:divBdr>
        <w:top w:val="none" w:sz="0" w:space="0" w:color="auto"/>
        <w:left w:val="none" w:sz="0" w:space="0" w:color="auto"/>
        <w:bottom w:val="none" w:sz="0" w:space="0" w:color="auto"/>
        <w:right w:val="none" w:sz="0" w:space="0" w:color="auto"/>
      </w:divBdr>
      <w:divsChild>
        <w:div w:id="42364180">
          <w:marLeft w:val="0"/>
          <w:marRight w:val="0"/>
          <w:marTop w:val="0"/>
          <w:marBottom w:val="0"/>
          <w:divBdr>
            <w:top w:val="none" w:sz="0" w:space="0" w:color="auto"/>
            <w:left w:val="none" w:sz="0" w:space="0" w:color="auto"/>
            <w:bottom w:val="none" w:sz="0" w:space="0" w:color="auto"/>
            <w:right w:val="none" w:sz="0" w:space="0" w:color="auto"/>
          </w:divBdr>
        </w:div>
        <w:div w:id="1044670915">
          <w:marLeft w:val="0"/>
          <w:marRight w:val="0"/>
          <w:marTop w:val="0"/>
          <w:marBottom w:val="0"/>
          <w:divBdr>
            <w:top w:val="none" w:sz="0" w:space="0" w:color="auto"/>
            <w:left w:val="none" w:sz="0" w:space="0" w:color="auto"/>
            <w:bottom w:val="none" w:sz="0" w:space="0" w:color="auto"/>
            <w:right w:val="none" w:sz="0" w:space="0" w:color="auto"/>
          </w:divBdr>
        </w:div>
      </w:divsChild>
    </w:div>
    <w:div w:id="978151508">
      <w:bodyDiv w:val="1"/>
      <w:marLeft w:val="0"/>
      <w:marRight w:val="0"/>
      <w:marTop w:val="0"/>
      <w:marBottom w:val="0"/>
      <w:divBdr>
        <w:top w:val="none" w:sz="0" w:space="0" w:color="auto"/>
        <w:left w:val="none" w:sz="0" w:space="0" w:color="auto"/>
        <w:bottom w:val="none" w:sz="0" w:space="0" w:color="auto"/>
        <w:right w:val="none" w:sz="0" w:space="0" w:color="auto"/>
      </w:divBdr>
    </w:div>
    <w:div w:id="980576556">
      <w:bodyDiv w:val="1"/>
      <w:marLeft w:val="0"/>
      <w:marRight w:val="0"/>
      <w:marTop w:val="0"/>
      <w:marBottom w:val="0"/>
      <w:divBdr>
        <w:top w:val="none" w:sz="0" w:space="0" w:color="auto"/>
        <w:left w:val="none" w:sz="0" w:space="0" w:color="auto"/>
        <w:bottom w:val="none" w:sz="0" w:space="0" w:color="auto"/>
        <w:right w:val="none" w:sz="0" w:space="0" w:color="auto"/>
      </w:divBdr>
    </w:div>
    <w:div w:id="986132325">
      <w:bodyDiv w:val="1"/>
      <w:marLeft w:val="0"/>
      <w:marRight w:val="0"/>
      <w:marTop w:val="0"/>
      <w:marBottom w:val="0"/>
      <w:divBdr>
        <w:top w:val="none" w:sz="0" w:space="0" w:color="auto"/>
        <w:left w:val="none" w:sz="0" w:space="0" w:color="auto"/>
        <w:bottom w:val="none" w:sz="0" w:space="0" w:color="auto"/>
        <w:right w:val="none" w:sz="0" w:space="0" w:color="auto"/>
      </w:divBdr>
    </w:div>
    <w:div w:id="989678347">
      <w:bodyDiv w:val="1"/>
      <w:marLeft w:val="0"/>
      <w:marRight w:val="0"/>
      <w:marTop w:val="0"/>
      <w:marBottom w:val="0"/>
      <w:divBdr>
        <w:top w:val="none" w:sz="0" w:space="0" w:color="auto"/>
        <w:left w:val="none" w:sz="0" w:space="0" w:color="auto"/>
        <w:bottom w:val="none" w:sz="0" w:space="0" w:color="auto"/>
        <w:right w:val="none" w:sz="0" w:space="0" w:color="auto"/>
      </w:divBdr>
    </w:div>
    <w:div w:id="1013992662">
      <w:bodyDiv w:val="1"/>
      <w:marLeft w:val="0"/>
      <w:marRight w:val="0"/>
      <w:marTop w:val="0"/>
      <w:marBottom w:val="0"/>
      <w:divBdr>
        <w:top w:val="none" w:sz="0" w:space="0" w:color="auto"/>
        <w:left w:val="none" w:sz="0" w:space="0" w:color="auto"/>
        <w:bottom w:val="none" w:sz="0" w:space="0" w:color="auto"/>
        <w:right w:val="none" w:sz="0" w:space="0" w:color="auto"/>
      </w:divBdr>
    </w:div>
    <w:div w:id="1059523443">
      <w:bodyDiv w:val="1"/>
      <w:marLeft w:val="0"/>
      <w:marRight w:val="0"/>
      <w:marTop w:val="0"/>
      <w:marBottom w:val="0"/>
      <w:divBdr>
        <w:top w:val="none" w:sz="0" w:space="0" w:color="auto"/>
        <w:left w:val="none" w:sz="0" w:space="0" w:color="auto"/>
        <w:bottom w:val="none" w:sz="0" w:space="0" w:color="auto"/>
        <w:right w:val="none" w:sz="0" w:space="0" w:color="auto"/>
      </w:divBdr>
    </w:div>
    <w:div w:id="1073815359">
      <w:bodyDiv w:val="1"/>
      <w:marLeft w:val="0"/>
      <w:marRight w:val="0"/>
      <w:marTop w:val="0"/>
      <w:marBottom w:val="0"/>
      <w:divBdr>
        <w:top w:val="none" w:sz="0" w:space="0" w:color="auto"/>
        <w:left w:val="none" w:sz="0" w:space="0" w:color="auto"/>
        <w:bottom w:val="none" w:sz="0" w:space="0" w:color="auto"/>
        <w:right w:val="none" w:sz="0" w:space="0" w:color="auto"/>
      </w:divBdr>
    </w:div>
    <w:div w:id="1103456662">
      <w:bodyDiv w:val="1"/>
      <w:marLeft w:val="0"/>
      <w:marRight w:val="0"/>
      <w:marTop w:val="0"/>
      <w:marBottom w:val="0"/>
      <w:divBdr>
        <w:top w:val="none" w:sz="0" w:space="0" w:color="auto"/>
        <w:left w:val="none" w:sz="0" w:space="0" w:color="auto"/>
        <w:bottom w:val="none" w:sz="0" w:space="0" w:color="auto"/>
        <w:right w:val="none" w:sz="0" w:space="0" w:color="auto"/>
      </w:divBdr>
    </w:div>
    <w:div w:id="1104955054">
      <w:bodyDiv w:val="1"/>
      <w:marLeft w:val="0"/>
      <w:marRight w:val="0"/>
      <w:marTop w:val="0"/>
      <w:marBottom w:val="0"/>
      <w:divBdr>
        <w:top w:val="none" w:sz="0" w:space="0" w:color="auto"/>
        <w:left w:val="none" w:sz="0" w:space="0" w:color="auto"/>
        <w:bottom w:val="none" w:sz="0" w:space="0" w:color="auto"/>
        <w:right w:val="none" w:sz="0" w:space="0" w:color="auto"/>
      </w:divBdr>
    </w:div>
    <w:div w:id="1117144531">
      <w:bodyDiv w:val="1"/>
      <w:marLeft w:val="0"/>
      <w:marRight w:val="0"/>
      <w:marTop w:val="0"/>
      <w:marBottom w:val="0"/>
      <w:divBdr>
        <w:top w:val="none" w:sz="0" w:space="0" w:color="auto"/>
        <w:left w:val="none" w:sz="0" w:space="0" w:color="auto"/>
        <w:bottom w:val="none" w:sz="0" w:space="0" w:color="auto"/>
        <w:right w:val="none" w:sz="0" w:space="0" w:color="auto"/>
      </w:divBdr>
    </w:div>
    <w:div w:id="1121149931">
      <w:bodyDiv w:val="1"/>
      <w:marLeft w:val="0"/>
      <w:marRight w:val="0"/>
      <w:marTop w:val="0"/>
      <w:marBottom w:val="0"/>
      <w:divBdr>
        <w:top w:val="none" w:sz="0" w:space="0" w:color="auto"/>
        <w:left w:val="none" w:sz="0" w:space="0" w:color="auto"/>
        <w:bottom w:val="none" w:sz="0" w:space="0" w:color="auto"/>
        <w:right w:val="none" w:sz="0" w:space="0" w:color="auto"/>
      </w:divBdr>
    </w:div>
    <w:div w:id="1150748908">
      <w:bodyDiv w:val="1"/>
      <w:marLeft w:val="0"/>
      <w:marRight w:val="0"/>
      <w:marTop w:val="0"/>
      <w:marBottom w:val="0"/>
      <w:divBdr>
        <w:top w:val="none" w:sz="0" w:space="0" w:color="auto"/>
        <w:left w:val="none" w:sz="0" w:space="0" w:color="auto"/>
        <w:bottom w:val="none" w:sz="0" w:space="0" w:color="auto"/>
        <w:right w:val="none" w:sz="0" w:space="0" w:color="auto"/>
      </w:divBdr>
    </w:div>
    <w:div w:id="1227765923">
      <w:bodyDiv w:val="1"/>
      <w:marLeft w:val="0"/>
      <w:marRight w:val="0"/>
      <w:marTop w:val="0"/>
      <w:marBottom w:val="0"/>
      <w:divBdr>
        <w:top w:val="none" w:sz="0" w:space="0" w:color="auto"/>
        <w:left w:val="none" w:sz="0" w:space="0" w:color="auto"/>
        <w:bottom w:val="none" w:sz="0" w:space="0" w:color="auto"/>
        <w:right w:val="none" w:sz="0" w:space="0" w:color="auto"/>
      </w:divBdr>
    </w:div>
    <w:div w:id="1318260941">
      <w:bodyDiv w:val="1"/>
      <w:marLeft w:val="0"/>
      <w:marRight w:val="0"/>
      <w:marTop w:val="0"/>
      <w:marBottom w:val="0"/>
      <w:divBdr>
        <w:top w:val="none" w:sz="0" w:space="0" w:color="auto"/>
        <w:left w:val="none" w:sz="0" w:space="0" w:color="auto"/>
        <w:bottom w:val="none" w:sz="0" w:space="0" w:color="auto"/>
        <w:right w:val="none" w:sz="0" w:space="0" w:color="auto"/>
      </w:divBdr>
    </w:div>
    <w:div w:id="1320159103">
      <w:bodyDiv w:val="1"/>
      <w:marLeft w:val="0"/>
      <w:marRight w:val="0"/>
      <w:marTop w:val="0"/>
      <w:marBottom w:val="0"/>
      <w:divBdr>
        <w:top w:val="none" w:sz="0" w:space="0" w:color="auto"/>
        <w:left w:val="none" w:sz="0" w:space="0" w:color="auto"/>
        <w:bottom w:val="none" w:sz="0" w:space="0" w:color="auto"/>
        <w:right w:val="none" w:sz="0" w:space="0" w:color="auto"/>
      </w:divBdr>
    </w:div>
    <w:div w:id="1340541225">
      <w:bodyDiv w:val="1"/>
      <w:marLeft w:val="0"/>
      <w:marRight w:val="0"/>
      <w:marTop w:val="0"/>
      <w:marBottom w:val="0"/>
      <w:divBdr>
        <w:top w:val="none" w:sz="0" w:space="0" w:color="auto"/>
        <w:left w:val="none" w:sz="0" w:space="0" w:color="auto"/>
        <w:bottom w:val="none" w:sz="0" w:space="0" w:color="auto"/>
        <w:right w:val="none" w:sz="0" w:space="0" w:color="auto"/>
      </w:divBdr>
    </w:div>
    <w:div w:id="1344942653">
      <w:bodyDiv w:val="1"/>
      <w:marLeft w:val="0"/>
      <w:marRight w:val="0"/>
      <w:marTop w:val="0"/>
      <w:marBottom w:val="0"/>
      <w:divBdr>
        <w:top w:val="none" w:sz="0" w:space="0" w:color="auto"/>
        <w:left w:val="none" w:sz="0" w:space="0" w:color="auto"/>
        <w:bottom w:val="none" w:sz="0" w:space="0" w:color="auto"/>
        <w:right w:val="none" w:sz="0" w:space="0" w:color="auto"/>
      </w:divBdr>
    </w:div>
    <w:div w:id="1361275105">
      <w:bodyDiv w:val="1"/>
      <w:marLeft w:val="0"/>
      <w:marRight w:val="0"/>
      <w:marTop w:val="0"/>
      <w:marBottom w:val="0"/>
      <w:divBdr>
        <w:top w:val="none" w:sz="0" w:space="0" w:color="auto"/>
        <w:left w:val="none" w:sz="0" w:space="0" w:color="auto"/>
        <w:bottom w:val="none" w:sz="0" w:space="0" w:color="auto"/>
        <w:right w:val="none" w:sz="0" w:space="0" w:color="auto"/>
      </w:divBdr>
    </w:div>
    <w:div w:id="1376656014">
      <w:bodyDiv w:val="1"/>
      <w:marLeft w:val="0"/>
      <w:marRight w:val="0"/>
      <w:marTop w:val="0"/>
      <w:marBottom w:val="0"/>
      <w:divBdr>
        <w:top w:val="none" w:sz="0" w:space="0" w:color="auto"/>
        <w:left w:val="none" w:sz="0" w:space="0" w:color="auto"/>
        <w:bottom w:val="none" w:sz="0" w:space="0" w:color="auto"/>
        <w:right w:val="none" w:sz="0" w:space="0" w:color="auto"/>
      </w:divBdr>
    </w:div>
    <w:div w:id="1392925528">
      <w:bodyDiv w:val="1"/>
      <w:marLeft w:val="0"/>
      <w:marRight w:val="0"/>
      <w:marTop w:val="0"/>
      <w:marBottom w:val="0"/>
      <w:divBdr>
        <w:top w:val="none" w:sz="0" w:space="0" w:color="auto"/>
        <w:left w:val="none" w:sz="0" w:space="0" w:color="auto"/>
        <w:bottom w:val="none" w:sz="0" w:space="0" w:color="auto"/>
        <w:right w:val="none" w:sz="0" w:space="0" w:color="auto"/>
      </w:divBdr>
    </w:div>
    <w:div w:id="1476488321">
      <w:bodyDiv w:val="1"/>
      <w:marLeft w:val="0"/>
      <w:marRight w:val="0"/>
      <w:marTop w:val="0"/>
      <w:marBottom w:val="0"/>
      <w:divBdr>
        <w:top w:val="none" w:sz="0" w:space="0" w:color="auto"/>
        <w:left w:val="none" w:sz="0" w:space="0" w:color="auto"/>
        <w:bottom w:val="none" w:sz="0" w:space="0" w:color="auto"/>
        <w:right w:val="none" w:sz="0" w:space="0" w:color="auto"/>
      </w:divBdr>
    </w:div>
    <w:div w:id="1478231128">
      <w:bodyDiv w:val="1"/>
      <w:marLeft w:val="0"/>
      <w:marRight w:val="0"/>
      <w:marTop w:val="0"/>
      <w:marBottom w:val="0"/>
      <w:divBdr>
        <w:top w:val="none" w:sz="0" w:space="0" w:color="auto"/>
        <w:left w:val="none" w:sz="0" w:space="0" w:color="auto"/>
        <w:bottom w:val="none" w:sz="0" w:space="0" w:color="auto"/>
        <w:right w:val="none" w:sz="0" w:space="0" w:color="auto"/>
      </w:divBdr>
    </w:div>
    <w:div w:id="1488550717">
      <w:bodyDiv w:val="1"/>
      <w:marLeft w:val="0"/>
      <w:marRight w:val="0"/>
      <w:marTop w:val="0"/>
      <w:marBottom w:val="0"/>
      <w:divBdr>
        <w:top w:val="none" w:sz="0" w:space="0" w:color="auto"/>
        <w:left w:val="none" w:sz="0" w:space="0" w:color="auto"/>
        <w:bottom w:val="none" w:sz="0" w:space="0" w:color="auto"/>
        <w:right w:val="none" w:sz="0" w:space="0" w:color="auto"/>
      </w:divBdr>
    </w:div>
    <w:div w:id="1574074497">
      <w:bodyDiv w:val="1"/>
      <w:marLeft w:val="0"/>
      <w:marRight w:val="0"/>
      <w:marTop w:val="0"/>
      <w:marBottom w:val="0"/>
      <w:divBdr>
        <w:top w:val="none" w:sz="0" w:space="0" w:color="auto"/>
        <w:left w:val="none" w:sz="0" w:space="0" w:color="auto"/>
        <w:bottom w:val="none" w:sz="0" w:space="0" w:color="auto"/>
        <w:right w:val="none" w:sz="0" w:space="0" w:color="auto"/>
      </w:divBdr>
    </w:div>
    <w:div w:id="1599606485">
      <w:bodyDiv w:val="1"/>
      <w:marLeft w:val="0"/>
      <w:marRight w:val="0"/>
      <w:marTop w:val="0"/>
      <w:marBottom w:val="0"/>
      <w:divBdr>
        <w:top w:val="none" w:sz="0" w:space="0" w:color="auto"/>
        <w:left w:val="none" w:sz="0" w:space="0" w:color="auto"/>
        <w:bottom w:val="none" w:sz="0" w:space="0" w:color="auto"/>
        <w:right w:val="none" w:sz="0" w:space="0" w:color="auto"/>
      </w:divBdr>
    </w:div>
    <w:div w:id="1635402411">
      <w:bodyDiv w:val="1"/>
      <w:marLeft w:val="0"/>
      <w:marRight w:val="0"/>
      <w:marTop w:val="0"/>
      <w:marBottom w:val="0"/>
      <w:divBdr>
        <w:top w:val="none" w:sz="0" w:space="0" w:color="auto"/>
        <w:left w:val="none" w:sz="0" w:space="0" w:color="auto"/>
        <w:bottom w:val="none" w:sz="0" w:space="0" w:color="auto"/>
        <w:right w:val="none" w:sz="0" w:space="0" w:color="auto"/>
      </w:divBdr>
    </w:div>
    <w:div w:id="1649821808">
      <w:bodyDiv w:val="1"/>
      <w:marLeft w:val="0"/>
      <w:marRight w:val="0"/>
      <w:marTop w:val="0"/>
      <w:marBottom w:val="0"/>
      <w:divBdr>
        <w:top w:val="none" w:sz="0" w:space="0" w:color="auto"/>
        <w:left w:val="none" w:sz="0" w:space="0" w:color="auto"/>
        <w:bottom w:val="none" w:sz="0" w:space="0" w:color="auto"/>
        <w:right w:val="none" w:sz="0" w:space="0" w:color="auto"/>
      </w:divBdr>
    </w:div>
    <w:div w:id="1691638031">
      <w:bodyDiv w:val="1"/>
      <w:marLeft w:val="0"/>
      <w:marRight w:val="0"/>
      <w:marTop w:val="0"/>
      <w:marBottom w:val="0"/>
      <w:divBdr>
        <w:top w:val="none" w:sz="0" w:space="0" w:color="auto"/>
        <w:left w:val="none" w:sz="0" w:space="0" w:color="auto"/>
        <w:bottom w:val="none" w:sz="0" w:space="0" w:color="auto"/>
        <w:right w:val="none" w:sz="0" w:space="0" w:color="auto"/>
      </w:divBdr>
    </w:div>
    <w:div w:id="1709640281">
      <w:bodyDiv w:val="1"/>
      <w:marLeft w:val="0"/>
      <w:marRight w:val="0"/>
      <w:marTop w:val="0"/>
      <w:marBottom w:val="0"/>
      <w:divBdr>
        <w:top w:val="none" w:sz="0" w:space="0" w:color="auto"/>
        <w:left w:val="none" w:sz="0" w:space="0" w:color="auto"/>
        <w:bottom w:val="none" w:sz="0" w:space="0" w:color="auto"/>
        <w:right w:val="none" w:sz="0" w:space="0" w:color="auto"/>
      </w:divBdr>
    </w:div>
    <w:div w:id="1740906512">
      <w:bodyDiv w:val="1"/>
      <w:marLeft w:val="0"/>
      <w:marRight w:val="0"/>
      <w:marTop w:val="0"/>
      <w:marBottom w:val="0"/>
      <w:divBdr>
        <w:top w:val="none" w:sz="0" w:space="0" w:color="auto"/>
        <w:left w:val="none" w:sz="0" w:space="0" w:color="auto"/>
        <w:bottom w:val="none" w:sz="0" w:space="0" w:color="auto"/>
        <w:right w:val="none" w:sz="0" w:space="0" w:color="auto"/>
      </w:divBdr>
    </w:div>
    <w:div w:id="1760518538">
      <w:bodyDiv w:val="1"/>
      <w:marLeft w:val="0"/>
      <w:marRight w:val="0"/>
      <w:marTop w:val="0"/>
      <w:marBottom w:val="0"/>
      <w:divBdr>
        <w:top w:val="none" w:sz="0" w:space="0" w:color="auto"/>
        <w:left w:val="none" w:sz="0" w:space="0" w:color="auto"/>
        <w:bottom w:val="none" w:sz="0" w:space="0" w:color="auto"/>
        <w:right w:val="none" w:sz="0" w:space="0" w:color="auto"/>
      </w:divBdr>
    </w:div>
    <w:div w:id="1766068982">
      <w:bodyDiv w:val="1"/>
      <w:marLeft w:val="0"/>
      <w:marRight w:val="0"/>
      <w:marTop w:val="0"/>
      <w:marBottom w:val="0"/>
      <w:divBdr>
        <w:top w:val="none" w:sz="0" w:space="0" w:color="auto"/>
        <w:left w:val="none" w:sz="0" w:space="0" w:color="auto"/>
        <w:bottom w:val="none" w:sz="0" w:space="0" w:color="auto"/>
        <w:right w:val="none" w:sz="0" w:space="0" w:color="auto"/>
      </w:divBdr>
    </w:div>
    <w:div w:id="1771773572">
      <w:bodyDiv w:val="1"/>
      <w:marLeft w:val="0"/>
      <w:marRight w:val="0"/>
      <w:marTop w:val="0"/>
      <w:marBottom w:val="0"/>
      <w:divBdr>
        <w:top w:val="none" w:sz="0" w:space="0" w:color="auto"/>
        <w:left w:val="none" w:sz="0" w:space="0" w:color="auto"/>
        <w:bottom w:val="none" w:sz="0" w:space="0" w:color="auto"/>
        <w:right w:val="none" w:sz="0" w:space="0" w:color="auto"/>
      </w:divBdr>
    </w:div>
    <w:div w:id="1800495180">
      <w:bodyDiv w:val="1"/>
      <w:marLeft w:val="0"/>
      <w:marRight w:val="0"/>
      <w:marTop w:val="0"/>
      <w:marBottom w:val="0"/>
      <w:divBdr>
        <w:top w:val="none" w:sz="0" w:space="0" w:color="auto"/>
        <w:left w:val="none" w:sz="0" w:space="0" w:color="auto"/>
        <w:bottom w:val="none" w:sz="0" w:space="0" w:color="auto"/>
        <w:right w:val="none" w:sz="0" w:space="0" w:color="auto"/>
      </w:divBdr>
    </w:div>
    <w:div w:id="1825047392">
      <w:bodyDiv w:val="1"/>
      <w:marLeft w:val="0"/>
      <w:marRight w:val="0"/>
      <w:marTop w:val="0"/>
      <w:marBottom w:val="0"/>
      <w:divBdr>
        <w:top w:val="none" w:sz="0" w:space="0" w:color="auto"/>
        <w:left w:val="none" w:sz="0" w:space="0" w:color="auto"/>
        <w:bottom w:val="none" w:sz="0" w:space="0" w:color="auto"/>
        <w:right w:val="none" w:sz="0" w:space="0" w:color="auto"/>
      </w:divBdr>
    </w:div>
    <w:div w:id="1883398171">
      <w:bodyDiv w:val="1"/>
      <w:marLeft w:val="0"/>
      <w:marRight w:val="0"/>
      <w:marTop w:val="0"/>
      <w:marBottom w:val="0"/>
      <w:divBdr>
        <w:top w:val="none" w:sz="0" w:space="0" w:color="auto"/>
        <w:left w:val="none" w:sz="0" w:space="0" w:color="auto"/>
        <w:bottom w:val="none" w:sz="0" w:space="0" w:color="auto"/>
        <w:right w:val="none" w:sz="0" w:space="0" w:color="auto"/>
      </w:divBdr>
    </w:div>
    <w:div w:id="1918896869">
      <w:bodyDiv w:val="1"/>
      <w:marLeft w:val="0"/>
      <w:marRight w:val="0"/>
      <w:marTop w:val="0"/>
      <w:marBottom w:val="0"/>
      <w:divBdr>
        <w:top w:val="none" w:sz="0" w:space="0" w:color="auto"/>
        <w:left w:val="none" w:sz="0" w:space="0" w:color="auto"/>
        <w:bottom w:val="none" w:sz="0" w:space="0" w:color="auto"/>
        <w:right w:val="none" w:sz="0" w:space="0" w:color="auto"/>
      </w:divBdr>
    </w:div>
    <w:div w:id="1935087421">
      <w:bodyDiv w:val="1"/>
      <w:marLeft w:val="0"/>
      <w:marRight w:val="0"/>
      <w:marTop w:val="0"/>
      <w:marBottom w:val="0"/>
      <w:divBdr>
        <w:top w:val="none" w:sz="0" w:space="0" w:color="auto"/>
        <w:left w:val="none" w:sz="0" w:space="0" w:color="auto"/>
        <w:bottom w:val="none" w:sz="0" w:space="0" w:color="auto"/>
        <w:right w:val="none" w:sz="0" w:space="0" w:color="auto"/>
      </w:divBdr>
    </w:div>
    <w:div w:id="1937127148">
      <w:bodyDiv w:val="1"/>
      <w:marLeft w:val="0"/>
      <w:marRight w:val="0"/>
      <w:marTop w:val="0"/>
      <w:marBottom w:val="0"/>
      <w:divBdr>
        <w:top w:val="none" w:sz="0" w:space="0" w:color="auto"/>
        <w:left w:val="none" w:sz="0" w:space="0" w:color="auto"/>
        <w:bottom w:val="none" w:sz="0" w:space="0" w:color="auto"/>
        <w:right w:val="none" w:sz="0" w:space="0" w:color="auto"/>
      </w:divBdr>
    </w:div>
    <w:div w:id="1957323683">
      <w:bodyDiv w:val="1"/>
      <w:marLeft w:val="0"/>
      <w:marRight w:val="0"/>
      <w:marTop w:val="0"/>
      <w:marBottom w:val="0"/>
      <w:divBdr>
        <w:top w:val="none" w:sz="0" w:space="0" w:color="auto"/>
        <w:left w:val="none" w:sz="0" w:space="0" w:color="auto"/>
        <w:bottom w:val="none" w:sz="0" w:space="0" w:color="auto"/>
        <w:right w:val="none" w:sz="0" w:space="0" w:color="auto"/>
      </w:divBdr>
    </w:div>
    <w:div w:id="1960408162">
      <w:bodyDiv w:val="1"/>
      <w:marLeft w:val="0"/>
      <w:marRight w:val="0"/>
      <w:marTop w:val="0"/>
      <w:marBottom w:val="0"/>
      <w:divBdr>
        <w:top w:val="none" w:sz="0" w:space="0" w:color="auto"/>
        <w:left w:val="none" w:sz="0" w:space="0" w:color="auto"/>
        <w:bottom w:val="none" w:sz="0" w:space="0" w:color="auto"/>
        <w:right w:val="none" w:sz="0" w:space="0" w:color="auto"/>
      </w:divBdr>
    </w:div>
    <w:div w:id="1964655538">
      <w:bodyDiv w:val="1"/>
      <w:marLeft w:val="0"/>
      <w:marRight w:val="0"/>
      <w:marTop w:val="0"/>
      <w:marBottom w:val="0"/>
      <w:divBdr>
        <w:top w:val="none" w:sz="0" w:space="0" w:color="auto"/>
        <w:left w:val="none" w:sz="0" w:space="0" w:color="auto"/>
        <w:bottom w:val="none" w:sz="0" w:space="0" w:color="auto"/>
        <w:right w:val="none" w:sz="0" w:space="0" w:color="auto"/>
      </w:divBdr>
    </w:div>
    <w:div w:id="1976326035">
      <w:bodyDiv w:val="1"/>
      <w:marLeft w:val="0"/>
      <w:marRight w:val="0"/>
      <w:marTop w:val="0"/>
      <w:marBottom w:val="0"/>
      <w:divBdr>
        <w:top w:val="none" w:sz="0" w:space="0" w:color="auto"/>
        <w:left w:val="none" w:sz="0" w:space="0" w:color="auto"/>
        <w:bottom w:val="none" w:sz="0" w:space="0" w:color="auto"/>
        <w:right w:val="none" w:sz="0" w:space="0" w:color="auto"/>
      </w:divBdr>
    </w:div>
    <w:div w:id="2039088745">
      <w:bodyDiv w:val="1"/>
      <w:marLeft w:val="0"/>
      <w:marRight w:val="0"/>
      <w:marTop w:val="0"/>
      <w:marBottom w:val="0"/>
      <w:divBdr>
        <w:top w:val="none" w:sz="0" w:space="0" w:color="auto"/>
        <w:left w:val="none" w:sz="0" w:space="0" w:color="auto"/>
        <w:bottom w:val="none" w:sz="0" w:space="0" w:color="auto"/>
        <w:right w:val="none" w:sz="0" w:space="0" w:color="auto"/>
      </w:divBdr>
    </w:div>
    <w:div w:id="2048213353">
      <w:bodyDiv w:val="1"/>
      <w:marLeft w:val="0"/>
      <w:marRight w:val="0"/>
      <w:marTop w:val="0"/>
      <w:marBottom w:val="0"/>
      <w:divBdr>
        <w:top w:val="none" w:sz="0" w:space="0" w:color="auto"/>
        <w:left w:val="none" w:sz="0" w:space="0" w:color="auto"/>
        <w:bottom w:val="none" w:sz="0" w:space="0" w:color="auto"/>
        <w:right w:val="none" w:sz="0" w:space="0" w:color="auto"/>
      </w:divBdr>
    </w:div>
    <w:div w:id="2049721951">
      <w:bodyDiv w:val="1"/>
      <w:marLeft w:val="0"/>
      <w:marRight w:val="0"/>
      <w:marTop w:val="0"/>
      <w:marBottom w:val="0"/>
      <w:divBdr>
        <w:top w:val="none" w:sz="0" w:space="0" w:color="auto"/>
        <w:left w:val="none" w:sz="0" w:space="0" w:color="auto"/>
        <w:bottom w:val="none" w:sz="0" w:space="0" w:color="auto"/>
        <w:right w:val="none" w:sz="0" w:space="0" w:color="auto"/>
      </w:divBdr>
    </w:div>
    <w:div w:id="2078739990">
      <w:bodyDiv w:val="1"/>
      <w:marLeft w:val="0"/>
      <w:marRight w:val="0"/>
      <w:marTop w:val="0"/>
      <w:marBottom w:val="0"/>
      <w:divBdr>
        <w:top w:val="none" w:sz="0" w:space="0" w:color="auto"/>
        <w:left w:val="none" w:sz="0" w:space="0" w:color="auto"/>
        <w:bottom w:val="none" w:sz="0" w:space="0" w:color="auto"/>
        <w:right w:val="none" w:sz="0" w:space="0" w:color="auto"/>
      </w:divBdr>
    </w:div>
    <w:div w:id="2081977893">
      <w:bodyDiv w:val="1"/>
      <w:marLeft w:val="0"/>
      <w:marRight w:val="0"/>
      <w:marTop w:val="0"/>
      <w:marBottom w:val="0"/>
      <w:divBdr>
        <w:top w:val="none" w:sz="0" w:space="0" w:color="auto"/>
        <w:left w:val="none" w:sz="0" w:space="0" w:color="auto"/>
        <w:bottom w:val="none" w:sz="0" w:space="0" w:color="auto"/>
        <w:right w:val="none" w:sz="0" w:space="0" w:color="auto"/>
      </w:divBdr>
    </w:div>
    <w:div w:id="2090808207">
      <w:bodyDiv w:val="1"/>
      <w:marLeft w:val="0"/>
      <w:marRight w:val="0"/>
      <w:marTop w:val="0"/>
      <w:marBottom w:val="0"/>
      <w:divBdr>
        <w:top w:val="none" w:sz="0" w:space="0" w:color="auto"/>
        <w:left w:val="none" w:sz="0" w:space="0" w:color="auto"/>
        <w:bottom w:val="none" w:sz="0" w:space="0" w:color="auto"/>
        <w:right w:val="none" w:sz="0" w:space="0" w:color="auto"/>
      </w:divBdr>
    </w:div>
    <w:div w:id="2124691157">
      <w:bodyDiv w:val="1"/>
      <w:marLeft w:val="0"/>
      <w:marRight w:val="0"/>
      <w:marTop w:val="0"/>
      <w:marBottom w:val="0"/>
      <w:divBdr>
        <w:top w:val="none" w:sz="0" w:space="0" w:color="auto"/>
        <w:left w:val="none" w:sz="0" w:space="0" w:color="auto"/>
        <w:bottom w:val="none" w:sz="0" w:space="0" w:color="auto"/>
        <w:right w:val="none" w:sz="0" w:space="0" w:color="auto"/>
      </w:divBdr>
    </w:div>
    <w:div w:id="2132699491">
      <w:bodyDiv w:val="1"/>
      <w:marLeft w:val="0"/>
      <w:marRight w:val="0"/>
      <w:marTop w:val="0"/>
      <w:marBottom w:val="0"/>
      <w:divBdr>
        <w:top w:val="none" w:sz="0" w:space="0" w:color="auto"/>
        <w:left w:val="none" w:sz="0" w:space="0" w:color="auto"/>
        <w:bottom w:val="none" w:sz="0" w:space="0" w:color="auto"/>
        <w:right w:val="none" w:sz="0" w:space="0" w:color="auto"/>
      </w:divBdr>
      <w:divsChild>
        <w:div w:id="1799102092">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eur-lex.europa.eu/legal-content/PL/TXT/?uri=CELEX%3A32023R0839" TargetMode="External"/><Relationship Id="rId21" Type="http://schemas.openxmlformats.org/officeDocument/2006/relationships/image" Target="media/image12.png"/><Relationship Id="rId42" Type="http://schemas.openxmlformats.org/officeDocument/2006/relationships/image" Target="media/image28.png"/><Relationship Id="rId47" Type="http://schemas.openxmlformats.org/officeDocument/2006/relationships/image" Target="media/image33.png"/><Relationship Id="rId63" Type="http://schemas.openxmlformats.org/officeDocument/2006/relationships/hyperlink" Target="https://www.gov.pl/web/klimat/polityka-surowcowa-panstwa" TargetMode="External"/><Relationship Id="rId68" Type="http://schemas.openxmlformats.org/officeDocument/2006/relationships/chart" Target="charts/chart10.xml"/><Relationship Id="rId84" Type="http://schemas.openxmlformats.org/officeDocument/2006/relationships/image" Target="media/image41.jpeg"/><Relationship Id="rId89" Type="http://schemas.openxmlformats.org/officeDocument/2006/relationships/header" Target="header9.xml"/><Relationship Id="rId112" Type="http://schemas.openxmlformats.org/officeDocument/2006/relationships/hyperlink" Target="https://eur-lex.europa.eu/legal-content/EN/TXT/?uri=OJ%3AJOL_2023_231_R_0001&amp;qid=1695186598766" TargetMode="External"/><Relationship Id="rId16" Type="http://schemas.openxmlformats.org/officeDocument/2006/relationships/image" Target="media/image7.png"/><Relationship Id="rId107" Type="http://schemas.openxmlformats.org/officeDocument/2006/relationships/hyperlink" Target="https://eur-lex.europa.eu/legal-content/PL/TXT/?uri=CELEX%3A32016L2284" TargetMode="External"/><Relationship Id="rId11" Type="http://schemas.openxmlformats.org/officeDocument/2006/relationships/image" Target="media/image2.jpeg"/><Relationship Id="rId32" Type="http://schemas.openxmlformats.org/officeDocument/2006/relationships/header" Target="header2.xml"/><Relationship Id="rId37" Type="http://schemas.openxmlformats.org/officeDocument/2006/relationships/chart" Target="charts/chart1.xml"/><Relationship Id="rId53" Type="http://schemas.openxmlformats.org/officeDocument/2006/relationships/chart" Target="charts/chart6.xml"/><Relationship Id="rId58" Type="http://schemas.openxmlformats.org/officeDocument/2006/relationships/chart" Target="charts/chart8.xml"/><Relationship Id="rId74" Type="http://schemas.openxmlformats.org/officeDocument/2006/relationships/image" Target="media/image38.png"/><Relationship Id="rId79" Type="http://schemas.openxmlformats.org/officeDocument/2006/relationships/chart" Target="charts/chart13.xml"/><Relationship Id="rId102" Type="http://schemas.openxmlformats.org/officeDocument/2006/relationships/hyperlink" Target="https://eur-lex.europa.eu/legal-content/PL/TXT/PDF/?uri=CELEX:02000L0053-20200306&amp;from=EN" TargetMode="External"/><Relationship Id="rId123" Type="http://schemas.openxmlformats.org/officeDocument/2006/relationships/hyperlink" Target="https://eur-lex.europa.eu/legal-content/PL/TXT/PDF/?uri=CELEX:32023R0957" TargetMode="External"/><Relationship Id="rId128" Type="http://schemas.openxmlformats.org/officeDocument/2006/relationships/header" Target="header21.xml"/><Relationship Id="rId5" Type="http://schemas.openxmlformats.org/officeDocument/2006/relationships/webSettings" Target="webSettings.xml"/><Relationship Id="rId90" Type="http://schemas.openxmlformats.org/officeDocument/2006/relationships/header" Target="header10.xml"/><Relationship Id="rId95" Type="http://schemas.openxmlformats.org/officeDocument/2006/relationships/header" Target="header15.xml"/><Relationship Id="rId22" Type="http://schemas.openxmlformats.org/officeDocument/2006/relationships/image" Target="media/image13.png"/><Relationship Id="rId27" Type="http://schemas.openxmlformats.org/officeDocument/2006/relationships/image" Target="media/image18.png"/><Relationship Id="rId43" Type="http://schemas.openxmlformats.org/officeDocument/2006/relationships/image" Target="media/image29.png"/><Relationship Id="rId48" Type="http://schemas.openxmlformats.org/officeDocument/2006/relationships/image" Target="media/image34.png"/><Relationship Id="rId64" Type="http://schemas.openxmlformats.org/officeDocument/2006/relationships/hyperlink" Target="https://bip.mos.gov.pl/strategie-plany-programy/strategiczny-plan-adaptacji-2020/" TargetMode="External"/><Relationship Id="rId69" Type="http://schemas.openxmlformats.org/officeDocument/2006/relationships/chart" Target="charts/chart11.xml"/><Relationship Id="rId113" Type="http://schemas.openxmlformats.org/officeDocument/2006/relationships/hyperlink" Target="https://eur-lex.europa.eu/legal-content/EN/TXT/?uri=CELEX%3A32023L2413&amp;qid=1699364355105" TargetMode="External"/><Relationship Id="rId118" Type="http://schemas.openxmlformats.org/officeDocument/2006/relationships/hyperlink" Target="https://eur-lex.europa.eu/legal-content/PL/TXT/?uri=CELEX%3A32023R0857" TargetMode="External"/><Relationship Id="rId80" Type="http://schemas.openxmlformats.org/officeDocument/2006/relationships/chart" Target="charts/chart14.xml"/><Relationship Id="rId85" Type="http://schemas.openxmlformats.org/officeDocument/2006/relationships/header" Target="header5.xml"/><Relationship Id="rId12" Type="http://schemas.openxmlformats.org/officeDocument/2006/relationships/image" Target="media/image3.png"/><Relationship Id="rId17" Type="http://schemas.openxmlformats.org/officeDocument/2006/relationships/image" Target="media/image8.png"/><Relationship Id="rId33" Type="http://schemas.openxmlformats.org/officeDocument/2006/relationships/header" Target="header3.xml"/><Relationship Id="rId38" Type="http://schemas.openxmlformats.org/officeDocument/2006/relationships/chart" Target="charts/chart2.xml"/><Relationship Id="rId59" Type="http://schemas.openxmlformats.org/officeDocument/2006/relationships/hyperlink" Target="https://www.gov.pl/web/rolnictwo/plan-strategiczny-dla-wspolnej-polityki-rolnej-na-lata-2023-27" TargetMode="External"/><Relationship Id="rId103" Type="http://schemas.openxmlformats.org/officeDocument/2006/relationships/hyperlink" Target="https://eur-lex.europa.eu/legal-content/PL/TXT/?uri=celex%3A32000L0060" TargetMode="External"/><Relationship Id="rId108" Type="http://schemas.openxmlformats.org/officeDocument/2006/relationships/hyperlink" Target="https://eur-lex.europa.eu/legal-content/PL/TXT/?uri=celex%3A32018L2001" TargetMode="External"/><Relationship Id="rId124" Type="http://schemas.openxmlformats.org/officeDocument/2006/relationships/hyperlink" Target="https://eur-lex.europa.eu/eli/reg/2024/1735" TargetMode="External"/><Relationship Id="rId129" Type="http://schemas.openxmlformats.org/officeDocument/2006/relationships/header" Target="header22.xml"/><Relationship Id="rId54" Type="http://schemas.openxmlformats.org/officeDocument/2006/relationships/hyperlink" Target="https://www.gov.pl/web/infrastruktura/program-bezpiecznej-infrastruktury-drogowej-na-lata-2021-2024" TargetMode="External"/><Relationship Id="rId70" Type="http://schemas.openxmlformats.org/officeDocument/2006/relationships/hyperlink" Target="https://www.gov.pl/web/klimat/efektywnosc-energetyczna" TargetMode="External"/><Relationship Id="rId75" Type="http://schemas.openxmlformats.org/officeDocument/2006/relationships/hyperlink" Target="https://www.gov.pl/web/klimat/plan-dzialan-zapobiegawczych" TargetMode="External"/><Relationship Id="rId91" Type="http://schemas.openxmlformats.org/officeDocument/2006/relationships/header" Target="header11.xml"/><Relationship Id="rId96" Type="http://schemas.openxmlformats.org/officeDocument/2006/relationships/header" Target="header16.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4.png"/><Relationship Id="rId28" Type="http://schemas.openxmlformats.org/officeDocument/2006/relationships/image" Target="media/image19.png"/><Relationship Id="rId49" Type="http://schemas.openxmlformats.org/officeDocument/2006/relationships/image" Target="media/image35.png"/><Relationship Id="rId114" Type="http://schemas.openxmlformats.org/officeDocument/2006/relationships/hyperlink" Target="https://eur-lex.europa.eu/legal-content/PL/TXT/?uri=CELEX%3A32024L1275&amp;qid=1723469223172" TargetMode="External"/><Relationship Id="rId119" Type="http://schemas.openxmlformats.org/officeDocument/2006/relationships/hyperlink" Target="https://eur-lex.europa.eu/legal-content/PL/TXT/?uri=CELEX%3A32023R1804" TargetMode="External"/><Relationship Id="rId44" Type="http://schemas.openxmlformats.org/officeDocument/2006/relationships/image" Target="media/image30.png"/><Relationship Id="rId60" Type="http://schemas.openxmlformats.org/officeDocument/2006/relationships/hyperlink" Target="https://bip.mos.gov.pl/strategie-plany-programy/polityka-ekologiczna-panstwa/polityka-ekologiczna-panstwa-2030-strategia-rozwoju-w-obszarze-srodowiska-i-gospodarki-wodnej/" TargetMode="External"/><Relationship Id="rId65" Type="http://schemas.openxmlformats.org/officeDocument/2006/relationships/hyperlink" Target="https://www.gov.pl/web/fundusze-regiony/polityka-miejska" TargetMode="External"/><Relationship Id="rId81" Type="http://schemas.openxmlformats.org/officeDocument/2006/relationships/image" Target="media/image39.jpeg"/><Relationship Id="rId86" Type="http://schemas.openxmlformats.org/officeDocument/2006/relationships/header" Target="header6.xml"/><Relationship Id="rId130" Type="http://schemas.openxmlformats.org/officeDocument/2006/relationships/fontTable" Target="fontTable.xml"/><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26.png"/><Relationship Id="rId109" Type="http://schemas.openxmlformats.org/officeDocument/2006/relationships/hyperlink" Target="https://eur-lex.europa.eu/legal-content/PL/ALL/?uri=CELEX%3A32019L0944" TargetMode="External"/><Relationship Id="rId34" Type="http://schemas.openxmlformats.org/officeDocument/2006/relationships/header" Target="header4.xml"/><Relationship Id="rId50" Type="http://schemas.openxmlformats.org/officeDocument/2006/relationships/chart" Target="charts/chart3.xml"/><Relationship Id="rId55" Type="http://schemas.openxmlformats.org/officeDocument/2006/relationships/hyperlink" Target="https://www.gov.pl/web/infrastruktura/program-wzmocnienia-krajowej-sieci-drogowej-do-2030-roku" TargetMode="External"/><Relationship Id="rId76" Type="http://schemas.openxmlformats.org/officeDocument/2006/relationships/hyperlink" Target="https://www.gov.pl/web/klimat/plany-na-wypadek-sytuacji-nadzwyczajnej" TargetMode="External"/><Relationship Id="rId97" Type="http://schemas.openxmlformats.org/officeDocument/2006/relationships/header" Target="header17.xml"/><Relationship Id="rId104" Type="http://schemas.openxmlformats.org/officeDocument/2006/relationships/hyperlink" Target="https://eur-lex.europa.eu/legal-content/PL/ALL/?uri=CELEX%3A32006L0066" TargetMode="External"/><Relationship Id="rId120" Type="http://schemas.openxmlformats.org/officeDocument/2006/relationships/hyperlink" Target="https://eur-lex.europa.eu/legal-content/PL/TXT/?uri=CELEX%3A32023R1542" TargetMode="External"/><Relationship Id="rId125" Type="http://schemas.openxmlformats.org/officeDocument/2006/relationships/hyperlink" Target="https://eur-lex.europa.eu/legal-content/PL/TXT/?uri=CELEX%3A32024R1252" TargetMode="External"/><Relationship Id="rId7" Type="http://schemas.openxmlformats.org/officeDocument/2006/relationships/endnotes" Target="endnotes.xml"/><Relationship Id="rId71" Type="http://schemas.openxmlformats.org/officeDocument/2006/relationships/chart" Target="charts/chart12.xml"/><Relationship Id="rId92" Type="http://schemas.openxmlformats.org/officeDocument/2006/relationships/header" Target="header12.xml"/><Relationship Id="rId2" Type="http://schemas.openxmlformats.org/officeDocument/2006/relationships/numbering" Target="numbering.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image" Target="media/image27.png"/><Relationship Id="rId45" Type="http://schemas.openxmlformats.org/officeDocument/2006/relationships/image" Target="media/image31.png"/><Relationship Id="rId66" Type="http://schemas.openxmlformats.org/officeDocument/2006/relationships/image" Target="media/image36.jpeg"/><Relationship Id="rId87" Type="http://schemas.openxmlformats.org/officeDocument/2006/relationships/header" Target="header7.xml"/><Relationship Id="rId110" Type="http://schemas.openxmlformats.org/officeDocument/2006/relationships/hyperlink" Target="https://eur-lex.europa.eu/legal-content/pl/TXT/?uri=CELEX%3A32019L1161" TargetMode="External"/><Relationship Id="rId115" Type="http://schemas.openxmlformats.org/officeDocument/2006/relationships/hyperlink" Target="https://eur-lex.europa.eu/legal-content/PL/ALL/?uri=CELEX%3A32018R0841" TargetMode="External"/><Relationship Id="rId131" Type="http://schemas.openxmlformats.org/officeDocument/2006/relationships/theme" Target="theme/theme1.xml"/><Relationship Id="rId61" Type="http://schemas.openxmlformats.org/officeDocument/2006/relationships/hyperlink" Target="https://isap.sejm.gov.pl/isap.nsf/DocDetails.xsp?id=WDU20230000244" TargetMode="External"/><Relationship Id="rId82" Type="http://schemas.openxmlformats.org/officeDocument/2006/relationships/image" Target="media/image40.jpeg"/><Relationship Id="rId19" Type="http://schemas.openxmlformats.org/officeDocument/2006/relationships/image" Target="media/image10.png"/><Relationship Id="rId14" Type="http://schemas.openxmlformats.org/officeDocument/2006/relationships/image" Target="media/image5.png"/><Relationship Id="rId30" Type="http://schemas.openxmlformats.org/officeDocument/2006/relationships/image" Target="media/image21.png"/><Relationship Id="rId35" Type="http://schemas.openxmlformats.org/officeDocument/2006/relationships/image" Target="media/image23.jpeg"/><Relationship Id="rId56" Type="http://schemas.openxmlformats.org/officeDocument/2006/relationships/hyperlink" Target="https://www.gov.pl/web/infrastruktura/polityka-rozwoju-lotnictwa-cywilnego-w-polsce-do-2030-r-z-perspektywa-do-2040-r" TargetMode="External"/><Relationship Id="rId77" Type="http://schemas.openxmlformats.org/officeDocument/2006/relationships/hyperlink" Target="https://www.gov.pl/web/polski-atom/program-polskiej-energetyki-jadrowej" TargetMode="External"/><Relationship Id="rId100" Type="http://schemas.openxmlformats.org/officeDocument/2006/relationships/hyperlink" Target="https://eur-lex.europa.eu/legal-content/PL/TXT/PDF/?uri=CELEX:01994L0062-20180704&amp;from=RO" TargetMode="External"/><Relationship Id="rId105" Type="http://schemas.openxmlformats.org/officeDocument/2006/relationships/hyperlink" Target="https://eur-lex.europa.eu/legal-content/PL/TXT/?uri=CELEX%3A32008L0098" TargetMode="External"/><Relationship Id="rId126" Type="http://schemas.openxmlformats.org/officeDocument/2006/relationships/hyperlink" Target="https://eur-lex.europa.eu/legal-content/PL/ALL/?uri=CELEX%3A52019DC0640" TargetMode="External"/><Relationship Id="rId8" Type="http://schemas.openxmlformats.org/officeDocument/2006/relationships/image" Target="media/image1.png"/><Relationship Id="rId51" Type="http://schemas.openxmlformats.org/officeDocument/2006/relationships/chart" Target="charts/chart4.xml"/><Relationship Id="rId72" Type="http://schemas.openxmlformats.org/officeDocument/2006/relationships/hyperlink" Target="https://www.gov.pl/web/rozwoj-technologia/Dlugoterminowa-strategia-renowacji-budynkow" TargetMode="External"/><Relationship Id="rId93" Type="http://schemas.openxmlformats.org/officeDocument/2006/relationships/header" Target="header13.xml"/><Relationship Id="rId98" Type="http://schemas.openxmlformats.org/officeDocument/2006/relationships/header" Target="header18.xml"/><Relationship Id="rId121" Type="http://schemas.openxmlformats.org/officeDocument/2006/relationships/hyperlink" Target="https://eur-lex.europa.eu/legal-content/PL/TXT/?uri=CELEX:32023R2405&amp;qid=1701689763262" TargetMode="External"/><Relationship Id="rId3" Type="http://schemas.openxmlformats.org/officeDocument/2006/relationships/styles" Target="styles.xml"/><Relationship Id="rId25" Type="http://schemas.openxmlformats.org/officeDocument/2006/relationships/image" Target="media/image16.svg"/><Relationship Id="rId46" Type="http://schemas.openxmlformats.org/officeDocument/2006/relationships/image" Target="media/image32.png"/><Relationship Id="rId67" Type="http://schemas.openxmlformats.org/officeDocument/2006/relationships/chart" Target="charts/chart9.xml"/><Relationship Id="rId116" Type="http://schemas.openxmlformats.org/officeDocument/2006/relationships/hyperlink" Target="https://eur-lex.europa.eu/eli/reg/2018/1999/oj?locale=pl" TargetMode="External"/><Relationship Id="rId20" Type="http://schemas.openxmlformats.org/officeDocument/2006/relationships/image" Target="media/image11.png"/><Relationship Id="rId41" Type="http://schemas.openxmlformats.org/officeDocument/2006/relationships/image" Target="media/image25.png"/><Relationship Id="rId62" Type="http://schemas.openxmlformats.org/officeDocument/2006/relationships/hyperlink" Target="https://environment.ec.europa.eu/publications/eu-soil-strategy-2030_en" TargetMode="External"/><Relationship Id="rId83" Type="http://schemas.openxmlformats.org/officeDocument/2006/relationships/hyperlink" Target="https://www.google.com/url?sa=t&amp;rct=j&amp;q=&amp;esrc=s&amp;source=web&amp;cd=&amp;ved=2ahUKEwjjv_m62YKEAxUrcvEDHSTfAv8QFnoECBUQAQ&amp;url=https%3A%2F%2Fwww.gov.pl%2Fattachment%2Fc47d37f9-eaab-4701-adce-84cf7585013e&amp;usg=AOvVaw2uJ-E74aZcX0eidoeVftEj&amp;opi=89978449" TargetMode="External"/><Relationship Id="rId88" Type="http://schemas.openxmlformats.org/officeDocument/2006/relationships/header" Target="header8.xml"/><Relationship Id="rId111" Type="http://schemas.openxmlformats.org/officeDocument/2006/relationships/hyperlink" Target="https://eur-lex.europa.eu/legal-content/PL/TXT/?uri=CELEX%3A32023L0959" TargetMode="External"/><Relationship Id="rId15" Type="http://schemas.openxmlformats.org/officeDocument/2006/relationships/image" Target="media/image6.png"/><Relationship Id="rId36" Type="http://schemas.openxmlformats.org/officeDocument/2006/relationships/image" Target="media/image24.jpg"/><Relationship Id="rId57" Type="http://schemas.openxmlformats.org/officeDocument/2006/relationships/chart" Target="charts/chart7.xml"/><Relationship Id="rId106" Type="http://schemas.openxmlformats.org/officeDocument/2006/relationships/hyperlink" Target="https://eur-lex.europa.eu/eli/dir/2012/19/oj/pol" TargetMode="External"/><Relationship Id="rId127" Type="http://schemas.openxmlformats.org/officeDocument/2006/relationships/header" Target="header20.xml"/><Relationship Id="rId10" Type="http://schemas.openxmlformats.org/officeDocument/2006/relationships/footer" Target="footer1.xml"/><Relationship Id="rId31" Type="http://schemas.openxmlformats.org/officeDocument/2006/relationships/image" Target="media/image22.png"/><Relationship Id="rId52" Type="http://schemas.openxmlformats.org/officeDocument/2006/relationships/chart" Target="charts/chart5.xml"/><Relationship Id="rId73" Type="http://schemas.openxmlformats.org/officeDocument/2006/relationships/image" Target="media/image37.jpeg"/><Relationship Id="rId78" Type="http://schemas.openxmlformats.org/officeDocument/2006/relationships/hyperlink" Target="https://www.gov.pl/web/klimat/polska-strategia-wodorowa-do-roku-2030" TargetMode="External"/><Relationship Id="rId94" Type="http://schemas.openxmlformats.org/officeDocument/2006/relationships/header" Target="header14.xml"/><Relationship Id="rId99" Type="http://schemas.openxmlformats.org/officeDocument/2006/relationships/header" Target="header19.xml"/><Relationship Id="rId101" Type="http://schemas.openxmlformats.org/officeDocument/2006/relationships/hyperlink" Target="https://eur-lex.europa.eu/legal-content/PL/TXT/PDF/?uri=CELEX:01999L0031-20031120&amp;from=EN" TargetMode="External"/><Relationship Id="rId122" Type="http://schemas.openxmlformats.org/officeDocument/2006/relationships/hyperlink" Target="https://eur-lex.europa.eu/legal-content/PL/TXT/?uri=CELEX:32023R1805" TargetMode="External"/><Relationship Id="rId4" Type="http://schemas.openxmlformats.org/officeDocument/2006/relationships/settings" Target="settings.xml"/><Relationship Id="rId9" Type="http://schemas.openxmlformats.org/officeDocument/2006/relationships/header" Target="header1.xml"/><Relationship Id="rId26" Type="http://schemas.openxmlformats.org/officeDocument/2006/relationships/image" Target="media/image17.png"/></Relationships>
</file>

<file path=word/_rels/footnotes.xml.rels><?xml version="1.0" encoding="UTF-8" standalone="yes"?>
<Relationships xmlns="http://schemas.openxmlformats.org/package/2006/relationships"><Relationship Id="rId8" Type="http://schemas.openxmlformats.org/officeDocument/2006/relationships/hyperlink" Target="https://www.are.waw.pl/badania-statystyczne/wynikowe-informacje-statystyczne" TargetMode="External"/><Relationship Id="rId3" Type="http://schemas.openxmlformats.org/officeDocument/2006/relationships/hyperlink" Target="https://ec.europa.eu/eurostat/web/products-eurostat-news/w/ddn-20240205-1" TargetMode="External"/><Relationship Id="rId7" Type="http://schemas.openxmlformats.org/officeDocument/2006/relationships/hyperlink" Target="https://www.are.waw.pl/badania-statystyczne/wynikowe-informacje-statystyczne" TargetMode="External"/><Relationship Id="rId2" Type="http://schemas.openxmlformats.org/officeDocument/2006/relationships/hyperlink" Target="https://eur-lex.europa.eu/legal-content/EN/TXT/?uri=CELEX:52021SC0621" TargetMode="External"/><Relationship Id="rId1" Type="http://schemas.openxmlformats.org/officeDocument/2006/relationships/hyperlink" Target="https://www.kobize.pl/pl/fileCategory/id/16/krajowa-inwentaryzacja-emisji" TargetMode="External"/><Relationship Id="rId6" Type="http://schemas.openxmlformats.org/officeDocument/2006/relationships/hyperlink" Target="https://www.are.waw.pl/badania-statystyczne/wynikowe-informacje-statystyczne" TargetMode="External"/><Relationship Id="rId5" Type="http://schemas.openxmlformats.org/officeDocument/2006/relationships/hyperlink" Target="https://eur-lex.europa.eu/legal-content/EN/TXT/?uri=COM%3A2023%3A796%3AFIN&amp;pk_campaign=preparatory&amp;pk_source=EURLEX&amp;pk_medium=TW&amp;pk_keyword=EUGreenDeal&amp;pk_content=Communication&amp;pk_cid=EURLEX_todaysOJ" TargetMode="External"/><Relationship Id="rId4" Type="http://schemas.openxmlformats.org/officeDocument/2006/relationships/hyperlink" Target="https://www.bdl.lasy.gov.pl/portal/Media/Default/Publikacje/WISL2019-2023.pdf"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5" Type="http://schemas.openxmlformats.org/officeDocument/2006/relationships/chartUserShapes" Target="../drawings/drawing1.xml"/><Relationship Id="rId4" Type="http://schemas.openxmlformats.org/officeDocument/2006/relationships/oleObject" Target="NULL" TargetMode="External"/></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oleObject" Target="NULL" TargetMode="External"/></Relationships>
</file>

<file path=word/charts/_rels/chart11.xml.rels><?xml version="1.0" encoding="UTF-8" standalone="yes"?>
<Relationships xmlns="http://schemas.openxmlformats.org/package/2006/relationships"><Relationship Id="rId3" Type="http://schemas.openxmlformats.org/officeDocument/2006/relationships/oleObject" Target="NULL"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12.xml"/><Relationship Id="rId1" Type="http://schemas.microsoft.com/office/2011/relationships/chartStyle" Target="style12.xml"/><Relationship Id="rId4" Type="http://schemas.openxmlformats.org/officeDocument/2006/relationships/oleObject" Target="NULL" TargetMode="External"/></Relationships>
</file>

<file path=word/charts/_rels/chart13.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13.xml"/><Relationship Id="rId1" Type="http://schemas.microsoft.com/office/2011/relationships/chartStyle" Target="style13.xml"/><Relationship Id="rId4" Type="http://schemas.openxmlformats.org/officeDocument/2006/relationships/oleObject" Target="NULL" TargetMode="External"/></Relationships>
</file>

<file path=word/charts/_rels/chart14.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14.xml"/><Relationship Id="rId1" Type="http://schemas.microsoft.com/office/2011/relationships/chartStyle" Target="style14.xml"/><Relationship Id="rId4" Type="http://schemas.openxmlformats.org/officeDocument/2006/relationships/oleObject" Target="NULL" TargetMode="Externa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5" Type="http://schemas.openxmlformats.org/officeDocument/2006/relationships/chartUserShapes" Target="../drawings/drawing2.xml"/><Relationship Id="rId4" Type="http://schemas.openxmlformats.org/officeDocument/2006/relationships/oleObject" Target="NULL" TargetMode="Externa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NULL"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NULL" TargetMode="Externa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oleObject" Target="NULL" TargetMode="External"/></Relationships>
</file>

<file path=word/charts/_rels/chart6.xml.rels><?xml version="1.0" encoding="UTF-8" standalone="yes"?>
<Relationships xmlns="http://schemas.openxmlformats.org/package/2006/relationships"><Relationship Id="rId3" Type="http://schemas.openxmlformats.org/officeDocument/2006/relationships/oleObject" Target="NULL"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NULL" TargetMode="Externa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chartUserShapes" Target="../drawings/drawing3.xml"/></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8.xml"/><Relationship Id="rId1" Type="http://schemas.microsoft.com/office/2011/relationships/chartStyle" Target="style8.xml"/><Relationship Id="rId5" Type="http://schemas.openxmlformats.org/officeDocument/2006/relationships/chartUserShapes" Target="../drawings/drawing4.xml"/><Relationship Id="rId4" Type="http://schemas.openxmlformats.org/officeDocument/2006/relationships/oleObject" Target="NULL" TargetMode="External"/></Relationships>
</file>

<file path=word/charts/_rels/chart9.xml.rels><?xml version="1.0" encoding="UTF-8" standalone="yes"?>
<Relationships xmlns="http://schemas.openxmlformats.org/package/2006/relationships"><Relationship Id="rId3" Type="http://schemas.openxmlformats.org/officeDocument/2006/relationships/oleObject" Target="NULL" TargetMode="Externa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chartUserShapes" Target="../drawings/drawing5.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stacked"/>
        <c:varyColors val="0"/>
        <c:ser>
          <c:idx val="0"/>
          <c:order val="0"/>
          <c:tx>
            <c:strRef>
              <c:f>Emisje!$B$5</c:f>
              <c:strCache>
                <c:ptCount val="1"/>
                <c:pt idx="0">
                  <c:v>Energia</c:v>
                </c:pt>
              </c:strCache>
            </c:strRef>
          </c:tx>
          <c:spPr>
            <a:solidFill>
              <a:schemeClr val="accent1"/>
            </a:solidFill>
            <a:ln>
              <a:noFill/>
            </a:ln>
            <a:effectLst/>
          </c:spPr>
          <c:invertIfNegative val="0"/>
          <c:cat>
            <c:numRef>
              <c:f>Emisje!$C$4:$F$4</c:f>
              <c:numCache>
                <c:formatCode>General</c:formatCode>
                <c:ptCount val="4"/>
                <c:pt idx="0" formatCode="0">
                  <c:v>1990</c:v>
                </c:pt>
                <c:pt idx="1">
                  <c:v>2021</c:v>
                </c:pt>
                <c:pt idx="2">
                  <c:v>2030</c:v>
                </c:pt>
                <c:pt idx="3">
                  <c:v>2040</c:v>
                </c:pt>
              </c:numCache>
            </c:numRef>
          </c:cat>
          <c:val>
            <c:numRef>
              <c:f>Emisje!$C$5:$F$5</c:f>
              <c:numCache>
                <c:formatCode>#,##0</c:formatCode>
                <c:ptCount val="4"/>
                <c:pt idx="0">
                  <c:v>385.1487385362654</c:v>
                </c:pt>
                <c:pt idx="1">
                  <c:v>336.17051584225396</c:v>
                </c:pt>
                <c:pt idx="2">
                  <c:v>202.92683114638513</c:v>
                </c:pt>
                <c:pt idx="3">
                  <c:v>105.33889617552444</c:v>
                </c:pt>
              </c:numCache>
            </c:numRef>
          </c:val>
          <c:extLst>
            <c:ext xmlns:c16="http://schemas.microsoft.com/office/drawing/2014/chart" uri="{C3380CC4-5D6E-409C-BE32-E72D297353CC}">
              <c16:uniqueId val="{00000000-F0D6-48FA-B7E3-2C1AD04B9490}"/>
            </c:ext>
          </c:extLst>
        </c:ser>
        <c:ser>
          <c:idx val="1"/>
          <c:order val="1"/>
          <c:tx>
            <c:strRef>
              <c:f>Emisje!$B$6</c:f>
              <c:strCache>
                <c:ptCount val="1"/>
                <c:pt idx="0">
                  <c:v>Procesy przemysłowe i użytowanie produktów</c:v>
                </c:pt>
              </c:strCache>
            </c:strRef>
          </c:tx>
          <c:spPr>
            <a:solidFill>
              <a:schemeClr val="accent2"/>
            </a:solidFill>
            <a:ln>
              <a:noFill/>
            </a:ln>
            <a:effectLst/>
          </c:spPr>
          <c:invertIfNegative val="0"/>
          <c:cat>
            <c:numRef>
              <c:f>Emisje!$C$4:$F$4</c:f>
              <c:numCache>
                <c:formatCode>General</c:formatCode>
                <c:ptCount val="4"/>
                <c:pt idx="0" formatCode="0">
                  <c:v>1990</c:v>
                </c:pt>
                <c:pt idx="1">
                  <c:v>2021</c:v>
                </c:pt>
                <c:pt idx="2">
                  <c:v>2030</c:v>
                </c:pt>
                <c:pt idx="3">
                  <c:v>2040</c:v>
                </c:pt>
              </c:numCache>
            </c:numRef>
          </c:cat>
          <c:val>
            <c:numRef>
              <c:f>Emisje!$C$6:$F$6</c:f>
              <c:numCache>
                <c:formatCode>#\ ##0.0</c:formatCode>
                <c:ptCount val="4"/>
                <c:pt idx="0" formatCode="#,##0">
                  <c:v>21.971957985021021</c:v>
                </c:pt>
                <c:pt idx="1">
                  <c:v>24.557988821688202</c:v>
                </c:pt>
                <c:pt idx="2">
                  <c:v>23.526810042691228</c:v>
                </c:pt>
                <c:pt idx="3">
                  <c:v>22.650889010045461</c:v>
                </c:pt>
              </c:numCache>
            </c:numRef>
          </c:val>
          <c:extLst>
            <c:ext xmlns:c16="http://schemas.microsoft.com/office/drawing/2014/chart" uri="{C3380CC4-5D6E-409C-BE32-E72D297353CC}">
              <c16:uniqueId val="{00000001-F0D6-48FA-B7E3-2C1AD04B9490}"/>
            </c:ext>
          </c:extLst>
        </c:ser>
        <c:ser>
          <c:idx val="2"/>
          <c:order val="2"/>
          <c:tx>
            <c:strRef>
              <c:f>Emisje!$B$7</c:f>
              <c:strCache>
                <c:ptCount val="1"/>
                <c:pt idx="0">
                  <c:v>Rolnictwo</c:v>
                </c:pt>
              </c:strCache>
            </c:strRef>
          </c:tx>
          <c:spPr>
            <a:solidFill>
              <a:schemeClr val="accent6"/>
            </a:solidFill>
            <a:ln>
              <a:noFill/>
            </a:ln>
            <a:effectLst/>
          </c:spPr>
          <c:invertIfNegative val="0"/>
          <c:cat>
            <c:numRef>
              <c:f>Emisje!$C$4:$F$4</c:f>
              <c:numCache>
                <c:formatCode>General</c:formatCode>
                <c:ptCount val="4"/>
                <c:pt idx="0" formatCode="0">
                  <c:v>1990</c:v>
                </c:pt>
                <c:pt idx="1">
                  <c:v>2021</c:v>
                </c:pt>
                <c:pt idx="2">
                  <c:v>2030</c:v>
                </c:pt>
                <c:pt idx="3">
                  <c:v>2040</c:v>
                </c:pt>
              </c:numCache>
            </c:numRef>
          </c:cat>
          <c:val>
            <c:numRef>
              <c:f>Emisje!$C$7:$F$7</c:f>
              <c:numCache>
                <c:formatCode>#,##0</c:formatCode>
                <c:ptCount val="4"/>
                <c:pt idx="0">
                  <c:v>49.29134267963196</c:v>
                </c:pt>
                <c:pt idx="1">
                  <c:v>34.035260211382585</c:v>
                </c:pt>
                <c:pt idx="2">
                  <c:v>32.093927666188648</c:v>
                </c:pt>
                <c:pt idx="3">
                  <c:v>30.483546825222188</c:v>
                </c:pt>
              </c:numCache>
            </c:numRef>
          </c:val>
          <c:extLst>
            <c:ext xmlns:c16="http://schemas.microsoft.com/office/drawing/2014/chart" uri="{C3380CC4-5D6E-409C-BE32-E72D297353CC}">
              <c16:uniqueId val="{00000002-F0D6-48FA-B7E3-2C1AD04B9490}"/>
            </c:ext>
          </c:extLst>
        </c:ser>
        <c:ser>
          <c:idx val="3"/>
          <c:order val="3"/>
          <c:tx>
            <c:strRef>
              <c:f>Emisje!$B$8</c:f>
              <c:strCache>
                <c:ptCount val="1"/>
                <c:pt idx="0">
                  <c:v>LULUCF</c:v>
                </c:pt>
              </c:strCache>
            </c:strRef>
          </c:tx>
          <c:spPr>
            <a:solidFill>
              <a:schemeClr val="accent4"/>
            </a:solidFill>
            <a:ln>
              <a:noFill/>
            </a:ln>
            <a:effectLst/>
          </c:spPr>
          <c:invertIfNegative val="0"/>
          <c:cat>
            <c:numRef>
              <c:f>Emisje!$C$4:$F$4</c:f>
              <c:numCache>
                <c:formatCode>General</c:formatCode>
                <c:ptCount val="4"/>
                <c:pt idx="0" formatCode="0">
                  <c:v>1990</c:v>
                </c:pt>
                <c:pt idx="1">
                  <c:v>2021</c:v>
                </c:pt>
                <c:pt idx="2">
                  <c:v>2030</c:v>
                </c:pt>
                <c:pt idx="3">
                  <c:v>2040</c:v>
                </c:pt>
              </c:numCache>
            </c:numRef>
          </c:cat>
          <c:val>
            <c:numRef>
              <c:f>Emisje!$C$8:$F$8</c:f>
              <c:numCache>
                <c:formatCode>#,##0</c:formatCode>
                <c:ptCount val="4"/>
                <c:pt idx="0">
                  <c:v>-28.493663008329154</c:v>
                </c:pt>
                <c:pt idx="1">
                  <c:v>-20.094722948312796</c:v>
                </c:pt>
                <c:pt idx="2">
                  <c:v>-42.082995959306913</c:v>
                </c:pt>
                <c:pt idx="3">
                  <c:v>-29.984467003008316</c:v>
                </c:pt>
              </c:numCache>
            </c:numRef>
          </c:val>
          <c:extLst>
            <c:ext xmlns:c16="http://schemas.microsoft.com/office/drawing/2014/chart" uri="{C3380CC4-5D6E-409C-BE32-E72D297353CC}">
              <c16:uniqueId val="{00000003-F0D6-48FA-B7E3-2C1AD04B9490}"/>
            </c:ext>
          </c:extLst>
        </c:ser>
        <c:ser>
          <c:idx val="4"/>
          <c:order val="4"/>
          <c:tx>
            <c:strRef>
              <c:f>Emisje!$B$9</c:f>
              <c:strCache>
                <c:ptCount val="1"/>
                <c:pt idx="0">
                  <c:v>Odpady</c:v>
                </c:pt>
              </c:strCache>
            </c:strRef>
          </c:tx>
          <c:spPr>
            <a:solidFill>
              <a:schemeClr val="accent3"/>
            </a:solidFill>
            <a:ln>
              <a:noFill/>
            </a:ln>
            <a:effectLst/>
          </c:spPr>
          <c:invertIfNegative val="0"/>
          <c:cat>
            <c:numRef>
              <c:f>Emisje!$C$4:$F$4</c:f>
              <c:numCache>
                <c:formatCode>General</c:formatCode>
                <c:ptCount val="4"/>
                <c:pt idx="0" formatCode="0">
                  <c:v>1990</c:v>
                </c:pt>
                <c:pt idx="1">
                  <c:v>2021</c:v>
                </c:pt>
                <c:pt idx="2">
                  <c:v>2030</c:v>
                </c:pt>
                <c:pt idx="3">
                  <c:v>2040</c:v>
                </c:pt>
              </c:numCache>
            </c:numRef>
          </c:cat>
          <c:val>
            <c:numRef>
              <c:f>Emisje!$C$9:$F$9</c:f>
              <c:numCache>
                <c:formatCode>#,##0</c:formatCode>
                <c:ptCount val="4"/>
                <c:pt idx="0">
                  <c:v>18.142283141215589</c:v>
                </c:pt>
                <c:pt idx="1">
                  <c:v>4.674724137847222</c:v>
                </c:pt>
                <c:pt idx="2">
                  <c:v>4.2687002379773604</c:v>
                </c:pt>
                <c:pt idx="3">
                  <c:v>3.7862236381623982</c:v>
                </c:pt>
              </c:numCache>
            </c:numRef>
          </c:val>
          <c:extLst>
            <c:ext xmlns:c16="http://schemas.microsoft.com/office/drawing/2014/chart" uri="{C3380CC4-5D6E-409C-BE32-E72D297353CC}">
              <c16:uniqueId val="{00000004-F0D6-48FA-B7E3-2C1AD04B9490}"/>
            </c:ext>
          </c:extLst>
        </c:ser>
        <c:dLbls>
          <c:showLegendKey val="0"/>
          <c:showVal val="0"/>
          <c:showCatName val="0"/>
          <c:showSerName val="0"/>
          <c:showPercent val="0"/>
          <c:showBubbleSize val="0"/>
        </c:dLbls>
        <c:gapWidth val="55"/>
        <c:overlap val="100"/>
        <c:axId val="771686208"/>
        <c:axId val="771686688"/>
        <c:extLst>
          <c:ext xmlns:c15="http://schemas.microsoft.com/office/drawing/2012/chart" uri="{02D57815-91ED-43cb-92C2-25804820EDAC}">
            <c15:filteredBarSeries>
              <c15:ser>
                <c:idx val="5"/>
                <c:order val="5"/>
                <c:tx>
                  <c:strRef>
                    <c:extLst>
                      <c:ext uri="{02D57815-91ED-43cb-92C2-25804820EDAC}">
                        <c15:formulaRef>
                          <c15:sqref>Emisje!$B$10</c15:sqref>
                        </c15:formulaRef>
                      </c:ext>
                    </c:extLst>
                    <c:strCache>
                      <c:ptCount val="1"/>
                      <c:pt idx="0">
                        <c:v>Emisja pośrednia CO2</c:v>
                      </c:pt>
                    </c:strCache>
                  </c:strRef>
                </c:tx>
                <c:spPr>
                  <a:solidFill>
                    <a:schemeClr val="accent6"/>
                  </a:solidFill>
                  <a:ln>
                    <a:noFill/>
                  </a:ln>
                  <a:effectLst/>
                </c:spPr>
                <c:invertIfNegative val="0"/>
                <c:cat>
                  <c:numRef>
                    <c:extLst>
                      <c:ext uri="{02D57815-91ED-43cb-92C2-25804820EDAC}">
                        <c15:formulaRef>
                          <c15:sqref>Emisje!$C$4:$F$4</c15:sqref>
                        </c15:formulaRef>
                      </c:ext>
                    </c:extLst>
                    <c:numCache>
                      <c:formatCode>General</c:formatCode>
                      <c:ptCount val="4"/>
                      <c:pt idx="0" formatCode="0">
                        <c:v>1990</c:v>
                      </c:pt>
                      <c:pt idx="1">
                        <c:v>2021</c:v>
                      </c:pt>
                      <c:pt idx="2">
                        <c:v>2030</c:v>
                      </c:pt>
                      <c:pt idx="3">
                        <c:v>2040</c:v>
                      </c:pt>
                    </c:numCache>
                  </c:numRef>
                </c:cat>
                <c:val>
                  <c:numRef>
                    <c:extLst>
                      <c:ext uri="{02D57815-91ED-43cb-92C2-25804820EDAC}">
                        <c15:formulaRef>
                          <c15:sqref>Emisje!$C$10:$F$10</c15:sqref>
                        </c15:formulaRef>
                      </c:ext>
                    </c:extLst>
                    <c:numCache>
                      <c:formatCode>#,##0</c:formatCode>
                      <c:ptCount val="4"/>
                      <c:pt idx="0">
                        <c:v>0.28392690612366073</c:v>
                      </c:pt>
                      <c:pt idx="1">
                        <c:v>0.49911856041993474</c:v>
                      </c:pt>
                      <c:pt idx="2">
                        <c:v>0.53996670975349581</c:v>
                      </c:pt>
                      <c:pt idx="3">
                        <c:v>0.52359744665660968</c:v>
                      </c:pt>
                    </c:numCache>
                  </c:numRef>
                </c:val>
                <c:extLst>
                  <c:ext xmlns:c16="http://schemas.microsoft.com/office/drawing/2014/chart" uri="{C3380CC4-5D6E-409C-BE32-E72D297353CC}">
                    <c16:uniqueId val="{00000007-F0D6-48FA-B7E3-2C1AD04B9490}"/>
                  </c:ext>
                </c:extLst>
              </c15:ser>
            </c15:filteredBarSeries>
          </c:ext>
        </c:extLst>
      </c:barChart>
      <c:lineChart>
        <c:grouping val="standard"/>
        <c:varyColors val="0"/>
        <c:ser>
          <c:idx val="6"/>
          <c:order val="6"/>
          <c:tx>
            <c:strRef>
              <c:f>Emisje!$B$11</c:f>
              <c:strCache>
                <c:ptCount val="1"/>
                <c:pt idx="0">
                  <c:v>Całkowita emisja z uwzględnieniem LULUCF</c:v>
                </c:pt>
              </c:strCache>
            </c:strRef>
          </c:tx>
          <c:spPr>
            <a:ln w="28575" cap="rnd">
              <a:solidFill>
                <a:schemeClr val="accent1">
                  <a:lumMod val="60000"/>
                </a:schemeClr>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lumMod val="75000"/>
                        <a:lumOff val="25000"/>
                      </a:schemeClr>
                    </a:solidFill>
                    <a:latin typeface="+mn-lt"/>
                    <a:ea typeface="+mn-ea"/>
                    <a:cs typeface="+mn-cs"/>
                  </a:defRPr>
                </a:pPr>
                <a:endParaRPr lang="pl-PL"/>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Emisje!$C$4:$F$4</c:f>
              <c:numCache>
                <c:formatCode>General</c:formatCode>
                <c:ptCount val="4"/>
                <c:pt idx="0" formatCode="0">
                  <c:v>1990</c:v>
                </c:pt>
                <c:pt idx="1">
                  <c:v>2021</c:v>
                </c:pt>
                <c:pt idx="2">
                  <c:v>2030</c:v>
                </c:pt>
                <c:pt idx="3">
                  <c:v>2040</c:v>
                </c:pt>
              </c:numCache>
            </c:numRef>
          </c:cat>
          <c:val>
            <c:numRef>
              <c:f>Emisje!$C$11:$F$11</c:f>
              <c:numCache>
                <c:formatCode>#,##0</c:formatCode>
                <c:ptCount val="4"/>
                <c:pt idx="0">
                  <c:v>446.34458623992839</c:v>
                </c:pt>
                <c:pt idx="1">
                  <c:v>379.84288462527911</c:v>
                </c:pt>
                <c:pt idx="2">
                  <c:v>221.27323984368894</c:v>
                </c:pt>
                <c:pt idx="3">
                  <c:v>132.79868609260276</c:v>
                </c:pt>
              </c:numCache>
            </c:numRef>
          </c:val>
          <c:smooth val="0"/>
          <c:extLst>
            <c:ext xmlns:c16="http://schemas.microsoft.com/office/drawing/2014/chart" uri="{C3380CC4-5D6E-409C-BE32-E72D297353CC}">
              <c16:uniqueId val="{00000005-F0D6-48FA-B7E3-2C1AD04B9490}"/>
            </c:ext>
          </c:extLst>
        </c:ser>
        <c:ser>
          <c:idx val="8"/>
          <c:order val="8"/>
          <c:tx>
            <c:strRef>
              <c:f>Emisje!$B$20</c:f>
              <c:strCache>
                <c:ptCount val="1"/>
                <c:pt idx="0">
                  <c:v>Całkowita emisja bez uwzględnienia LULUCF</c:v>
                </c:pt>
              </c:strCache>
            </c:strRef>
          </c:tx>
          <c:spPr>
            <a:ln w="12700" cap="rnd">
              <a:solidFill>
                <a:schemeClr val="accent6"/>
              </a:solidFill>
              <a:round/>
            </a:ln>
            <a:effectLst/>
          </c:spPr>
          <c:marker>
            <c:symbol val="none"/>
          </c:marker>
          <c:cat>
            <c:numRef>
              <c:f>Emisje!$C$4:$F$4</c:f>
              <c:numCache>
                <c:formatCode>General</c:formatCode>
                <c:ptCount val="4"/>
                <c:pt idx="0" formatCode="0">
                  <c:v>1990</c:v>
                </c:pt>
                <c:pt idx="1">
                  <c:v>2021</c:v>
                </c:pt>
                <c:pt idx="2">
                  <c:v>2030</c:v>
                </c:pt>
                <c:pt idx="3">
                  <c:v>2040</c:v>
                </c:pt>
              </c:numCache>
            </c:numRef>
          </c:cat>
          <c:val>
            <c:numRef>
              <c:f>Emisje!$C$20:$F$20</c:f>
              <c:numCache>
                <c:formatCode>#,##0</c:formatCode>
                <c:ptCount val="4"/>
                <c:pt idx="0">
                  <c:v>474.83824924825757</c:v>
                </c:pt>
                <c:pt idx="1">
                  <c:v>474.83824924825757</c:v>
                </c:pt>
                <c:pt idx="2">
                  <c:v>474.83824924825757</c:v>
                </c:pt>
                <c:pt idx="3">
                  <c:v>474.83824924825757</c:v>
                </c:pt>
              </c:numCache>
            </c:numRef>
          </c:val>
          <c:smooth val="0"/>
          <c:extLst>
            <c:ext xmlns:c16="http://schemas.microsoft.com/office/drawing/2014/chart" uri="{C3380CC4-5D6E-409C-BE32-E72D297353CC}">
              <c16:uniqueId val="{00000006-F0D6-48FA-B7E3-2C1AD04B9490}"/>
            </c:ext>
          </c:extLst>
        </c:ser>
        <c:dLbls>
          <c:showLegendKey val="0"/>
          <c:showVal val="0"/>
          <c:showCatName val="0"/>
          <c:showSerName val="0"/>
          <c:showPercent val="0"/>
          <c:showBubbleSize val="0"/>
        </c:dLbls>
        <c:marker val="1"/>
        <c:smooth val="0"/>
        <c:axId val="1101564064"/>
        <c:axId val="1101562144"/>
        <c:extLst>
          <c:ext xmlns:c15="http://schemas.microsoft.com/office/drawing/2012/chart" uri="{02D57815-91ED-43cb-92C2-25804820EDAC}">
            <c15:filteredLineSeries>
              <c15:ser>
                <c:idx val="7"/>
                <c:order val="7"/>
                <c:tx>
                  <c:strRef>
                    <c:extLst>
                      <c:ext uri="{02D57815-91ED-43cb-92C2-25804820EDAC}">
                        <c15:formulaRef>
                          <c15:sqref>Emisje!$B$12</c15:sqref>
                        </c15:formulaRef>
                      </c:ext>
                    </c:extLst>
                    <c:strCache>
                      <c:ptCount val="1"/>
                      <c:pt idx="0">
                        <c:v>Całkowita emisja bez uwzględnienia LULUCF</c:v>
                      </c:pt>
                    </c:strCache>
                  </c:strRef>
                </c:tx>
                <c:spPr>
                  <a:ln w="28575" cap="rnd">
                    <a:solidFill>
                      <a:schemeClr val="accent2">
                        <a:lumMod val="60000"/>
                      </a:schemeClr>
                    </a:solidFill>
                    <a:round/>
                  </a:ln>
                  <a:effectLst/>
                </c:spPr>
                <c:marker>
                  <c:symbol val="none"/>
                </c:marker>
                <c:cat>
                  <c:numRef>
                    <c:extLst>
                      <c:ext uri="{02D57815-91ED-43cb-92C2-25804820EDAC}">
                        <c15:formulaRef>
                          <c15:sqref>Emisje!$C$4:$F$4</c15:sqref>
                        </c15:formulaRef>
                      </c:ext>
                    </c:extLst>
                    <c:numCache>
                      <c:formatCode>General</c:formatCode>
                      <c:ptCount val="4"/>
                      <c:pt idx="0" formatCode="0">
                        <c:v>1990</c:v>
                      </c:pt>
                      <c:pt idx="1">
                        <c:v>2021</c:v>
                      </c:pt>
                      <c:pt idx="2">
                        <c:v>2030</c:v>
                      </c:pt>
                      <c:pt idx="3">
                        <c:v>2040</c:v>
                      </c:pt>
                    </c:numCache>
                  </c:numRef>
                </c:cat>
                <c:val>
                  <c:numRef>
                    <c:extLst>
                      <c:ext uri="{02D57815-91ED-43cb-92C2-25804820EDAC}">
                        <c15:formulaRef>
                          <c15:sqref>Emisje!$C$12:$F$12</c15:sqref>
                        </c15:formulaRef>
                      </c:ext>
                    </c:extLst>
                    <c:numCache>
                      <c:formatCode>#,##0</c:formatCode>
                      <c:ptCount val="4"/>
                      <c:pt idx="0">
                        <c:v>474.83824924825757</c:v>
                      </c:pt>
                      <c:pt idx="1">
                        <c:v>399.93760757359195</c:v>
                      </c:pt>
                      <c:pt idx="2">
                        <c:v>263.35623580299585</c:v>
                      </c:pt>
                      <c:pt idx="3">
                        <c:v>162.78315309561108</c:v>
                      </c:pt>
                    </c:numCache>
                  </c:numRef>
                </c:val>
                <c:smooth val="0"/>
                <c:extLst>
                  <c:ext xmlns:c16="http://schemas.microsoft.com/office/drawing/2014/chart" uri="{C3380CC4-5D6E-409C-BE32-E72D297353CC}">
                    <c16:uniqueId val="{00000008-F0D6-48FA-B7E3-2C1AD04B9490}"/>
                  </c:ext>
                </c:extLst>
              </c15:ser>
            </c15:filteredLineSeries>
          </c:ext>
        </c:extLst>
      </c:lineChart>
      <c:catAx>
        <c:axId val="771686208"/>
        <c:scaling>
          <c:orientation val="minMax"/>
        </c:scaling>
        <c:delete val="0"/>
        <c:axPos val="b"/>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771686688"/>
        <c:crossesAt val="0"/>
        <c:auto val="1"/>
        <c:lblAlgn val="ctr"/>
        <c:lblOffset val="100"/>
        <c:noMultiLvlLbl val="0"/>
      </c:catAx>
      <c:valAx>
        <c:axId val="771686688"/>
        <c:scaling>
          <c:orientation val="minMax"/>
          <c:max val="500"/>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pl-PL" sz="900" b="0" i="0" u="none" strike="noStrike" kern="1200" baseline="0">
                    <a:solidFill>
                      <a:sysClr val="windowText" lastClr="000000">
                        <a:lumMod val="65000"/>
                        <a:lumOff val="35000"/>
                      </a:sysClr>
                    </a:solidFill>
                  </a:rPr>
                  <a:t>[mln t ekw. CO2]</a:t>
                </a:r>
                <a:endParaRPr lang="pl-PL" sz="1050"/>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pl-PL"/>
            </a:p>
          </c:txPr>
        </c:title>
        <c:numFmt formatCode="#,##0" sourceLinked="1"/>
        <c:majorTickMark val="none"/>
        <c:minorTickMark val="none"/>
        <c:tickLblPos val="nextTo"/>
        <c:spPr>
          <a:noFill/>
          <a:ln>
            <a:solidFill>
              <a:schemeClr val="bg1">
                <a:lumMod val="85000"/>
              </a:schemeClr>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771686208"/>
        <c:crosses val="autoZero"/>
        <c:crossBetween val="between"/>
      </c:valAx>
      <c:valAx>
        <c:axId val="1101562144"/>
        <c:scaling>
          <c:orientation val="minMax"/>
        </c:scaling>
        <c:delete val="1"/>
        <c:axPos val="r"/>
        <c:numFmt formatCode="#,##0" sourceLinked="1"/>
        <c:majorTickMark val="out"/>
        <c:minorTickMark val="none"/>
        <c:tickLblPos val="nextTo"/>
        <c:crossAx val="1101564064"/>
        <c:crosses val="max"/>
        <c:crossBetween val="between"/>
      </c:valAx>
      <c:catAx>
        <c:axId val="1101564064"/>
        <c:scaling>
          <c:orientation val="minMax"/>
        </c:scaling>
        <c:delete val="1"/>
        <c:axPos val="b"/>
        <c:numFmt formatCode="0" sourceLinked="1"/>
        <c:majorTickMark val="out"/>
        <c:minorTickMark val="none"/>
        <c:tickLblPos val="nextTo"/>
        <c:crossAx val="1101562144"/>
        <c:crosses val="autoZero"/>
        <c:auto val="1"/>
        <c:lblAlgn val="ctr"/>
        <c:lblOffset val="100"/>
        <c:noMultiLvlLbl val="0"/>
      </c:catAx>
      <c:spPr>
        <a:noFill/>
        <a:ln>
          <a:noFill/>
        </a:ln>
        <a:effectLst/>
      </c:spPr>
    </c:plotArea>
    <c:legend>
      <c:legendPos val="r"/>
      <c:legendEntry>
        <c:idx val="6"/>
        <c:delete val="1"/>
      </c:legendEntry>
      <c:layout>
        <c:manualLayout>
          <c:xMode val="edge"/>
          <c:yMode val="edge"/>
          <c:x val="0.71315217542251652"/>
          <c:y val="0.17199818199330588"/>
          <c:w val="0.27414939799191762"/>
          <c:h val="0.6950468347419874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pl-PL"/>
    </a:p>
  </c:txPr>
  <c:externalData r:id="rId4">
    <c:autoUpdate val="0"/>
  </c:externalData>
  <c:userShapes r:id="rId5"/>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665937591134441"/>
          <c:y val="4.2270437217208356E-2"/>
          <c:w val="0.87728287436292685"/>
          <c:h val="0.71914851108650657"/>
        </c:manualLayout>
      </c:layout>
      <c:barChart>
        <c:barDir val="col"/>
        <c:grouping val="clustered"/>
        <c:varyColors val="0"/>
        <c:ser>
          <c:idx val="0"/>
          <c:order val="0"/>
          <c:tx>
            <c:v>Zużycie energii pierwotnej - KPEiK</c:v>
          </c:tx>
          <c:spPr>
            <a:solidFill>
              <a:srgbClr val="002060"/>
            </a:solidFill>
            <a:ln>
              <a:solidFill>
                <a:schemeClr val="accent1"/>
              </a:solidFill>
            </a:ln>
            <a:effectLst/>
          </c:spPr>
          <c:invertIfNegative val="0"/>
          <c:cat>
            <c:numRef>
              <c:f>'Ef_en-wykr'!$C$42:$P$42</c:f>
              <c:numCache>
                <c:formatCode>0</c:formatCode>
                <c:ptCount val="14"/>
                <c:pt idx="0">
                  <c:v>2005</c:v>
                </c:pt>
                <c:pt idx="1">
                  <c:v>2010</c:v>
                </c:pt>
                <c:pt idx="2">
                  <c:v>2015</c:v>
                </c:pt>
                <c:pt idx="3">
                  <c:v>2020</c:v>
                </c:pt>
                <c:pt idx="4">
                  <c:v>2021</c:v>
                </c:pt>
                <c:pt idx="5">
                  <c:v>2022</c:v>
                </c:pt>
                <c:pt idx="6">
                  <c:v>2023</c:v>
                </c:pt>
                <c:pt idx="7">
                  <c:v>2024</c:v>
                </c:pt>
                <c:pt idx="8">
                  <c:v>2025</c:v>
                </c:pt>
                <c:pt idx="9">
                  <c:v>2026</c:v>
                </c:pt>
                <c:pt idx="10">
                  <c:v>2027</c:v>
                </c:pt>
                <c:pt idx="11">
                  <c:v>2028</c:v>
                </c:pt>
                <c:pt idx="12">
                  <c:v>2029</c:v>
                </c:pt>
                <c:pt idx="13">
                  <c:v>2030</c:v>
                </c:pt>
              </c:numCache>
            </c:numRef>
          </c:cat>
          <c:val>
            <c:numRef>
              <c:f>'Ef_en-wykr'!$C$43:$P$43</c:f>
              <c:numCache>
                <c:formatCode>#,##0</c:formatCode>
                <c:ptCount val="14"/>
                <c:pt idx="0">
                  <c:v>87973.963404031718</c:v>
                </c:pt>
                <c:pt idx="1">
                  <c:v>96589.833555842182</c:v>
                </c:pt>
                <c:pt idx="2">
                  <c:v>90075.110899207022</c:v>
                </c:pt>
                <c:pt idx="3">
                  <c:v>96859.153000000006</c:v>
                </c:pt>
                <c:pt idx="4">
                  <c:v>102716.4024764264</c:v>
                </c:pt>
                <c:pt idx="5">
                  <c:v>98682.156878328795</c:v>
                </c:pt>
                <c:pt idx="6">
                  <c:v>97786.137661296321</c:v>
                </c:pt>
                <c:pt idx="7">
                  <c:v>96203.21893669611</c:v>
                </c:pt>
                <c:pt idx="8">
                  <c:v>94075.316663387639</c:v>
                </c:pt>
                <c:pt idx="9">
                  <c:v>90921.852824191577</c:v>
                </c:pt>
                <c:pt idx="10">
                  <c:v>88751.418320730096</c:v>
                </c:pt>
                <c:pt idx="11">
                  <c:v>86306.793180455061</c:v>
                </c:pt>
                <c:pt idx="12">
                  <c:v>83473.305374712188</c:v>
                </c:pt>
                <c:pt idx="13">
                  <c:v>80660.944888108788</c:v>
                </c:pt>
              </c:numCache>
            </c:numRef>
          </c:val>
          <c:extLst>
            <c:ext xmlns:c16="http://schemas.microsoft.com/office/drawing/2014/chart" uri="{C3380CC4-5D6E-409C-BE32-E72D297353CC}">
              <c16:uniqueId val="{00000000-BA67-45F4-A106-77274A6AF0BF}"/>
            </c:ext>
          </c:extLst>
        </c:ser>
        <c:ser>
          <c:idx val="2"/>
          <c:order val="2"/>
          <c:tx>
            <c:strRef>
              <c:f>'Ef_en-wykr'!$B$45</c:f>
              <c:strCache>
                <c:ptCount val="1"/>
                <c:pt idx="0">
                  <c:v>Orientacyjna trajektoria realizacji wkładu krajowego w zakresie energii pierwotnej (wg formuły)</c:v>
                </c:pt>
              </c:strCache>
            </c:strRef>
          </c:tx>
          <c:spPr>
            <a:solidFill>
              <a:schemeClr val="accent1"/>
            </a:solidFill>
            <a:ln>
              <a:noFill/>
            </a:ln>
            <a:effectLst/>
          </c:spPr>
          <c:invertIfNegative val="0"/>
          <c:dLbls>
            <c:dLbl>
              <c:idx val="4"/>
              <c:layout>
                <c:manualLayout>
                  <c:x val="-1.3227513227513227E-2"/>
                  <c:y val="-4.109307581672488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A67-45F4-A106-77274A6AF0BF}"/>
                </c:ext>
              </c:extLst>
            </c:dLbl>
            <c:dLbl>
              <c:idx val="5"/>
              <c:layout>
                <c:manualLayout>
                  <c:x val="1.3227513227513147E-2"/>
                  <c:y val="-9.4170544213831872E-18"/>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A67-45F4-A106-77274A6AF0BF}"/>
                </c:ext>
              </c:extLst>
            </c:dLbl>
            <c:dLbl>
              <c:idx val="13"/>
              <c:layout>
                <c:manualLayout>
                  <c:x val="-3.8597619585263809E-2"/>
                  <c:y val="-7.5947491271387224E-2"/>
                </c:manualLayout>
              </c:layout>
              <c:showLegendKey val="0"/>
              <c:showVal val="1"/>
              <c:showCatName val="0"/>
              <c:showSerName val="0"/>
              <c:showPercent val="0"/>
              <c:showBubbleSize val="0"/>
              <c:extLst>
                <c:ext xmlns:c15="http://schemas.microsoft.com/office/drawing/2012/chart" uri="{CE6537A1-D6FC-4f65-9D91-7224C49458BB}">
                  <c15:layout>
                    <c:manualLayout>
                      <c:w val="0.1032058492688414"/>
                      <c:h val="6.1549014817774847E-2"/>
                    </c:manualLayout>
                  </c15:layout>
                </c:ext>
                <c:ext xmlns:c16="http://schemas.microsoft.com/office/drawing/2014/chart" uri="{C3380CC4-5D6E-409C-BE32-E72D297353CC}">
                  <c16:uniqueId val="{00000003-BA67-45F4-A106-77274A6AF0BF}"/>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'Ef_en-wykr'!$C$42:$P$42</c:f>
              <c:numCache>
                <c:formatCode>0</c:formatCode>
                <c:ptCount val="14"/>
                <c:pt idx="0">
                  <c:v>2005</c:v>
                </c:pt>
                <c:pt idx="1">
                  <c:v>2010</c:v>
                </c:pt>
                <c:pt idx="2">
                  <c:v>2015</c:v>
                </c:pt>
                <c:pt idx="3">
                  <c:v>2020</c:v>
                </c:pt>
                <c:pt idx="4">
                  <c:v>2021</c:v>
                </c:pt>
                <c:pt idx="5">
                  <c:v>2022</c:v>
                </c:pt>
                <c:pt idx="6">
                  <c:v>2023</c:v>
                </c:pt>
                <c:pt idx="7">
                  <c:v>2024</c:v>
                </c:pt>
                <c:pt idx="8">
                  <c:v>2025</c:v>
                </c:pt>
                <c:pt idx="9">
                  <c:v>2026</c:v>
                </c:pt>
                <c:pt idx="10">
                  <c:v>2027</c:v>
                </c:pt>
                <c:pt idx="11">
                  <c:v>2028</c:v>
                </c:pt>
                <c:pt idx="12">
                  <c:v>2029</c:v>
                </c:pt>
                <c:pt idx="13">
                  <c:v>2030</c:v>
                </c:pt>
              </c:numCache>
            </c:numRef>
          </c:cat>
          <c:val>
            <c:numRef>
              <c:f>'Ef_en-wykr'!$C$45:$P$45</c:f>
              <c:numCache>
                <c:formatCode>#,##0</c:formatCode>
                <c:ptCount val="14"/>
                <c:pt idx="0">
                  <c:v>87973.963404031718</c:v>
                </c:pt>
                <c:pt idx="1">
                  <c:v>96589.833555842182</c:v>
                </c:pt>
                <c:pt idx="2">
                  <c:v>90075.110899207022</c:v>
                </c:pt>
                <c:pt idx="3">
                  <c:v>96859</c:v>
                </c:pt>
                <c:pt idx="4">
                  <c:v>103950</c:v>
                </c:pt>
                <c:pt idx="5">
                  <c:v>103842</c:v>
                </c:pt>
                <c:pt idx="6">
                  <c:v>103734</c:v>
                </c:pt>
                <c:pt idx="7">
                  <c:v>103734</c:v>
                </c:pt>
                <c:pt idx="8">
                  <c:v>103734</c:v>
                </c:pt>
                <c:pt idx="9">
                  <c:v>98973</c:v>
                </c:pt>
                <c:pt idx="10">
                  <c:v>94213</c:v>
                </c:pt>
                <c:pt idx="11">
                  <c:v>89453</c:v>
                </c:pt>
                <c:pt idx="12">
                  <c:v>84692</c:v>
                </c:pt>
                <c:pt idx="13">
                  <c:v>79931.871802918002</c:v>
                </c:pt>
              </c:numCache>
            </c:numRef>
          </c:val>
          <c:extLst>
            <c:ext xmlns:c16="http://schemas.microsoft.com/office/drawing/2014/chart" uri="{C3380CC4-5D6E-409C-BE32-E72D297353CC}">
              <c16:uniqueId val="{00000004-BA67-45F4-A106-77274A6AF0BF}"/>
            </c:ext>
          </c:extLst>
        </c:ser>
        <c:dLbls>
          <c:showLegendKey val="0"/>
          <c:showVal val="0"/>
          <c:showCatName val="0"/>
          <c:showSerName val="0"/>
          <c:showPercent val="0"/>
          <c:showBubbleSize val="0"/>
        </c:dLbls>
        <c:gapWidth val="150"/>
        <c:axId val="1451345984"/>
        <c:axId val="1619684960"/>
        <c:extLst>
          <c:ext xmlns:c15="http://schemas.microsoft.com/office/drawing/2012/chart" uri="{02D57815-91ED-43cb-92C2-25804820EDAC}">
            <c15:filteredBarSeries>
              <c15:ser>
                <c:idx val="1"/>
                <c:order val="1"/>
                <c:tx>
                  <c:strRef>
                    <c:extLst>
                      <c:ext uri="{02D57815-91ED-43cb-92C2-25804820EDAC}">
                        <c15:formulaRef>
                          <c15:sqref>'Ef_en-wykr'!$B$44</c15:sqref>
                        </c15:formulaRef>
                      </c:ext>
                    </c:extLst>
                    <c:strCache>
                      <c:ptCount val="1"/>
                      <c:pt idx="0">
                        <c:v>Finalne zużycie energii – FEC (Europa 2020-2030)</c:v>
                      </c:pt>
                    </c:strCache>
                  </c:strRef>
                </c:tx>
                <c:spPr>
                  <a:solidFill>
                    <a:srgbClr val="006600"/>
                  </a:solidFill>
                  <a:ln>
                    <a:solidFill>
                      <a:srgbClr val="006600"/>
                    </a:solidFill>
                  </a:ln>
                  <a:effectLst/>
                </c:spPr>
                <c:invertIfNegative val="0"/>
                <c:cat>
                  <c:numRef>
                    <c:extLst>
                      <c:ext uri="{02D57815-91ED-43cb-92C2-25804820EDAC}">
                        <c15:formulaRef>
                          <c15:sqref>'Ef_en-wykr'!$C$42:$P$42</c15:sqref>
                        </c15:formulaRef>
                      </c:ext>
                    </c:extLst>
                    <c:numCache>
                      <c:formatCode>0</c:formatCode>
                      <c:ptCount val="14"/>
                      <c:pt idx="0">
                        <c:v>2005</c:v>
                      </c:pt>
                      <c:pt idx="1">
                        <c:v>2010</c:v>
                      </c:pt>
                      <c:pt idx="2">
                        <c:v>2015</c:v>
                      </c:pt>
                      <c:pt idx="3">
                        <c:v>2020</c:v>
                      </c:pt>
                      <c:pt idx="4">
                        <c:v>2021</c:v>
                      </c:pt>
                      <c:pt idx="5">
                        <c:v>2022</c:v>
                      </c:pt>
                      <c:pt idx="6">
                        <c:v>2023</c:v>
                      </c:pt>
                      <c:pt idx="7">
                        <c:v>2024</c:v>
                      </c:pt>
                      <c:pt idx="8">
                        <c:v>2025</c:v>
                      </c:pt>
                      <c:pt idx="9">
                        <c:v>2026</c:v>
                      </c:pt>
                      <c:pt idx="10">
                        <c:v>2027</c:v>
                      </c:pt>
                      <c:pt idx="11">
                        <c:v>2028</c:v>
                      </c:pt>
                      <c:pt idx="12">
                        <c:v>2029</c:v>
                      </c:pt>
                      <c:pt idx="13">
                        <c:v>2030</c:v>
                      </c:pt>
                    </c:numCache>
                  </c:numRef>
                </c:cat>
                <c:val>
                  <c:numRef>
                    <c:extLst>
                      <c:ext uri="{02D57815-91ED-43cb-92C2-25804820EDAC}">
                        <c15:formulaRef>
                          <c15:sqref>'Ef_en-wykr'!$C$44:$P$44</c15:sqref>
                        </c15:formulaRef>
                      </c:ext>
                    </c:extLst>
                    <c:numCache>
                      <c:formatCode>#,##0</c:formatCode>
                      <c:ptCount val="14"/>
                      <c:pt idx="0">
                        <c:v>58487</c:v>
                      </c:pt>
                      <c:pt idx="1">
                        <c:v>66282.8</c:v>
                      </c:pt>
                      <c:pt idx="2">
                        <c:v>62299</c:v>
                      </c:pt>
                      <c:pt idx="3">
                        <c:v>71144.608999999997</c:v>
                      </c:pt>
                      <c:pt idx="4">
                        <c:v>73907.965998397878</c:v>
                      </c:pt>
                      <c:pt idx="5">
                        <c:v>71531.657851363459</c:v>
                      </c:pt>
                      <c:pt idx="6">
                        <c:v>71432.783979756467</c:v>
                      </c:pt>
                      <c:pt idx="7">
                        <c:v>70840.170238376188</c:v>
                      </c:pt>
                      <c:pt idx="8">
                        <c:v>70169.555415517534</c:v>
                      </c:pt>
                      <c:pt idx="9">
                        <c:v>69104.955562688468</c:v>
                      </c:pt>
                      <c:pt idx="10">
                        <c:v>67885.465974810737</c:v>
                      </c:pt>
                      <c:pt idx="11">
                        <c:v>66569.030721924937</c:v>
                      </c:pt>
                      <c:pt idx="12">
                        <c:v>65287.950005350562</c:v>
                      </c:pt>
                      <c:pt idx="13">
                        <c:v>64061.003756086073</c:v>
                      </c:pt>
                    </c:numCache>
                  </c:numRef>
                </c:val>
                <c:extLst>
                  <c:ext xmlns:c16="http://schemas.microsoft.com/office/drawing/2014/chart" uri="{C3380CC4-5D6E-409C-BE32-E72D297353CC}">
                    <c16:uniqueId val="{00000005-BA67-45F4-A106-77274A6AF0BF}"/>
                  </c:ext>
                </c:extLst>
              </c15:ser>
            </c15:filteredBarSeries>
            <c15:filteredBarSeries>
              <c15:ser>
                <c:idx val="3"/>
                <c:order val="3"/>
                <c:tx>
                  <c:strRef>
                    <c:extLst xmlns:c15="http://schemas.microsoft.com/office/drawing/2012/chart">
                      <c:ext xmlns:c15="http://schemas.microsoft.com/office/drawing/2012/chart" uri="{02D57815-91ED-43cb-92C2-25804820EDAC}">
                        <c15:formulaRef>
                          <c15:sqref>'Ef_en-wykr'!$B$46</c15:sqref>
                        </c15:formulaRef>
                      </c:ext>
                    </c:extLst>
                    <c:strCache>
                      <c:ptCount val="1"/>
                      <c:pt idx="0">
                        <c:v>Orientacyjna trajektoria realizacji wkładu krajowego w zakresie energii finalnej (wg formuły)</c:v>
                      </c:pt>
                    </c:strCache>
                  </c:strRef>
                </c:tx>
                <c:spPr>
                  <a:solidFill>
                    <a:schemeClr val="accent4"/>
                  </a:solidFill>
                  <a:ln>
                    <a:noFill/>
                  </a:ln>
                  <a:effectLst/>
                </c:spPr>
                <c:invertIfNegative val="0"/>
                <c:cat>
                  <c:numRef>
                    <c:extLst xmlns:c15="http://schemas.microsoft.com/office/drawing/2012/chart">
                      <c:ext xmlns:c15="http://schemas.microsoft.com/office/drawing/2012/chart" uri="{02D57815-91ED-43cb-92C2-25804820EDAC}">
                        <c15:formulaRef>
                          <c15:sqref>'Ef_en-wykr'!$C$42:$P$42</c15:sqref>
                        </c15:formulaRef>
                      </c:ext>
                    </c:extLst>
                    <c:numCache>
                      <c:formatCode>0</c:formatCode>
                      <c:ptCount val="14"/>
                      <c:pt idx="0">
                        <c:v>2005</c:v>
                      </c:pt>
                      <c:pt idx="1">
                        <c:v>2010</c:v>
                      </c:pt>
                      <c:pt idx="2">
                        <c:v>2015</c:v>
                      </c:pt>
                      <c:pt idx="3">
                        <c:v>2020</c:v>
                      </c:pt>
                      <c:pt idx="4">
                        <c:v>2021</c:v>
                      </c:pt>
                      <c:pt idx="5">
                        <c:v>2022</c:v>
                      </c:pt>
                      <c:pt idx="6">
                        <c:v>2023</c:v>
                      </c:pt>
                      <c:pt idx="7">
                        <c:v>2024</c:v>
                      </c:pt>
                      <c:pt idx="8">
                        <c:v>2025</c:v>
                      </c:pt>
                      <c:pt idx="9">
                        <c:v>2026</c:v>
                      </c:pt>
                      <c:pt idx="10">
                        <c:v>2027</c:v>
                      </c:pt>
                      <c:pt idx="11">
                        <c:v>2028</c:v>
                      </c:pt>
                      <c:pt idx="12">
                        <c:v>2029</c:v>
                      </c:pt>
                      <c:pt idx="13">
                        <c:v>2030</c:v>
                      </c:pt>
                    </c:numCache>
                  </c:numRef>
                </c:cat>
                <c:val>
                  <c:numRef>
                    <c:extLst xmlns:c15="http://schemas.microsoft.com/office/drawing/2012/chart">
                      <c:ext xmlns:c15="http://schemas.microsoft.com/office/drawing/2012/chart" uri="{02D57815-91ED-43cb-92C2-25804820EDAC}">
                        <c15:formulaRef>
                          <c15:sqref>'Ef_en-wykr'!$C$46:$P$46</c15:sqref>
                        </c15:formulaRef>
                      </c:ext>
                    </c:extLst>
                    <c:numCache>
                      <c:formatCode>#,##0</c:formatCode>
                      <c:ptCount val="14"/>
                      <c:pt idx="0">
                        <c:v>58487</c:v>
                      </c:pt>
                      <c:pt idx="1">
                        <c:v>66282.8</c:v>
                      </c:pt>
                      <c:pt idx="2">
                        <c:v>62299</c:v>
                      </c:pt>
                      <c:pt idx="3">
                        <c:v>71145</c:v>
                      </c:pt>
                      <c:pt idx="4">
                        <c:v>75154</c:v>
                      </c:pt>
                      <c:pt idx="5">
                        <c:v>75428</c:v>
                      </c:pt>
                      <c:pt idx="6">
                        <c:v>75703</c:v>
                      </c:pt>
                      <c:pt idx="7">
                        <c:v>75978</c:v>
                      </c:pt>
                      <c:pt idx="8">
                        <c:v>75978</c:v>
                      </c:pt>
                      <c:pt idx="9">
                        <c:v>72488</c:v>
                      </c:pt>
                      <c:pt idx="10">
                        <c:v>68999</c:v>
                      </c:pt>
                      <c:pt idx="11">
                        <c:v>65510</c:v>
                      </c:pt>
                      <c:pt idx="12">
                        <c:v>62021</c:v>
                      </c:pt>
                      <c:pt idx="13">
                        <c:v>58532.040375731478</c:v>
                      </c:pt>
                    </c:numCache>
                  </c:numRef>
                </c:val>
                <c:extLst xmlns:c15="http://schemas.microsoft.com/office/drawing/2012/chart">
                  <c:ext xmlns:c16="http://schemas.microsoft.com/office/drawing/2014/chart" uri="{C3380CC4-5D6E-409C-BE32-E72D297353CC}">
                    <c16:uniqueId val="{00000006-BA67-45F4-A106-77274A6AF0BF}"/>
                  </c:ext>
                </c:extLst>
              </c15:ser>
            </c15:filteredBarSeries>
          </c:ext>
        </c:extLst>
      </c:barChart>
      <c:catAx>
        <c:axId val="1451345984"/>
        <c:scaling>
          <c:orientation val="minMax"/>
        </c:scaling>
        <c:delete val="0"/>
        <c:axPos val="b"/>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1619684960"/>
        <c:crosses val="autoZero"/>
        <c:auto val="1"/>
        <c:lblAlgn val="ctr"/>
        <c:lblOffset val="100"/>
        <c:noMultiLvlLbl val="0"/>
      </c:catAx>
      <c:valAx>
        <c:axId val="1619684960"/>
        <c:scaling>
          <c:orientation val="minMax"/>
        </c:scaling>
        <c:delete val="0"/>
        <c:axPos val="l"/>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pl-PL"/>
                  <a:t>[ktoe]</a:t>
                </a:r>
              </a:p>
            </c:rich>
          </c:tx>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1451345984"/>
        <c:crosses val="autoZero"/>
        <c:crossBetween val="between"/>
      </c:valAx>
      <c:spPr>
        <a:noFill/>
        <a:ln>
          <a:noFill/>
          <a:prstDash val="dash"/>
        </a:ln>
        <a:effectLst/>
      </c:spPr>
    </c:plotArea>
    <c:legend>
      <c:legendPos val="b"/>
      <c:layout>
        <c:manualLayout>
          <c:xMode val="edge"/>
          <c:yMode val="edge"/>
          <c:x val="5.8785880931550225E-2"/>
          <c:y val="0.85282917760279953"/>
          <c:w val="0.93910518129678233"/>
          <c:h val="0.11030546392302976"/>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900"/>
      </a:pPr>
      <a:endParaRPr lang="pl-PL"/>
    </a:p>
  </c:txPr>
  <c:externalData r:id="rId4">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497434348484217"/>
          <c:y val="4.2270437217208356E-2"/>
          <c:w val="0.86052455248649473"/>
          <c:h val="0.71914851108650657"/>
        </c:manualLayout>
      </c:layout>
      <c:barChart>
        <c:barDir val="col"/>
        <c:grouping val="clustered"/>
        <c:varyColors val="0"/>
        <c:ser>
          <c:idx val="1"/>
          <c:order val="1"/>
          <c:tx>
            <c:v>Finalne zużycie energii - KPEiK</c:v>
          </c:tx>
          <c:spPr>
            <a:solidFill>
              <a:srgbClr val="006600"/>
            </a:solidFill>
            <a:ln>
              <a:noFill/>
            </a:ln>
            <a:effectLst/>
          </c:spPr>
          <c:invertIfNegative val="0"/>
          <c:cat>
            <c:numRef>
              <c:f>'Ef_en-wykr'!$G$42:$P$42</c:f>
              <c:numCache>
                <c:formatCode>0</c:formatCode>
                <c:ptCount val="10"/>
                <c:pt idx="0">
                  <c:v>2021</c:v>
                </c:pt>
                <c:pt idx="1">
                  <c:v>2022</c:v>
                </c:pt>
                <c:pt idx="2">
                  <c:v>2023</c:v>
                </c:pt>
                <c:pt idx="3">
                  <c:v>2024</c:v>
                </c:pt>
                <c:pt idx="4">
                  <c:v>2025</c:v>
                </c:pt>
                <c:pt idx="5">
                  <c:v>2026</c:v>
                </c:pt>
                <c:pt idx="6">
                  <c:v>2027</c:v>
                </c:pt>
                <c:pt idx="7">
                  <c:v>2028</c:v>
                </c:pt>
                <c:pt idx="8">
                  <c:v>2029</c:v>
                </c:pt>
                <c:pt idx="9">
                  <c:v>2030</c:v>
                </c:pt>
              </c:numCache>
              <c:extLst/>
            </c:numRef>
          </c:cat>
          <c:val>
            <c:numRef>
              <c:f>'Ef_en-wykr'!$G$44:$P$44</c:f>
              <c:numCache>
                <c:formatCode>#,##0</c:formatCode>
                <c:ptCount val="10"/>
                <c:pt idx="0">
                  <c:v>73907.965998397878</c:v>
                </c:pt>
                <c:pt idx="1">
                  <c:v>71531.657851363459</c:v>
                </c:pt>
                <c:pt idx="2">
                  <c:v>71432.783979756467</c:v>
                </c:pt>
                <c:pt idx="3">
                  <c:v>70840.170238376188</c:v>
                </c:pt>
                <c:pt idx="4">
                  <c:v>70169.555415517534</c:v>
                </c:pt>
                <c:pt idx="5">
                  <c:v>69104.955562688468</c:v>
                </c:pt>
                <c:pt idx="6">
                  <c:v>67885.465974810737</c:v>
                </c:pt>
                <c:pt idx="7">
                  <c:v>66569.030721924937</c:v>
                </c:pt>
                <c:pt idx="8">
                  <c:v>65287.950005350562</c:v>
                </c:pt>
                <c:pt idx="9">
                  <c:v>64061.003756086073</c:v>
                </c:pt>
              </c:numCache>
              <c:extLst/>
            </c:numRef>
          </c:val>
          <c:extLst>
            <c:ext xmlns:c16="http://schemas.microsoft.com/office/drawing/2014/chart" uri="{C3380CC4-5D6E-409C-BE32-E72D297353CC}">
              <c16:uniqueId val="{00000000-2FDE-4F05-8C60-6235AC4AE5BE}"/>
            </c:ext>
          </c:extLst>
        </c:ser>
        <c:ser>
          <c:idx val="3"/>
          <c:order val="3"/>
          <c:tx>
            <c:strRef>
              <c:f>'Ef_en-wykr'!$B$46</c:f>
              <c:strCache>
                <c:ptCount val="1"/>
                <c:pt idx="0">
                  <c:v>Orientacyjna trajektoria realizacji wkładu krajowego w zakresie energii finalnej (wg formuły)</c:v>
                </c:pt>
              </c:strCache>
            </c:strRef>
          </c:tx>
          <c:spPr>
            <a:solidFill>
              <a:schemeClr val="accent4"/>
            </a:solidFill>
            <a:ln>
              <a:noFill/>
            </a:ln>
            <a:effectLst/>
          </c:spPr>
          <c:invertIfNegative val="0"/>
          <c:dLbls>
            <c:dLbl>
              <c:idx val="0"/>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FDE-4F05-8C60-6235AC4AE5BE}"/>
                </c:ext>
              </c:extLst>
            </c:dLbl>
            <c:dLbl>
              <c:idx val="1"/>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2FDE-4F05-8C60-6235AC4AE5BE}"/>
                </c:ext>
              </c:extLst>
            </c:dLbl>
            <c:dLbl>
              <c:idx val="9"/>
              <c:layout>
                <c:manualLayout>
                  <c:x val="0"/>
                  <c:y val="-5.594405594405594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FDE-4F05-8C60-6235AC4AE5BE}"/>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Lato" panose="020F0502020204030203" pitchFamily="34" charset="-18"/>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'Ef_en-wykr'!$G$42:$P$42</c:f>
              <c:numCache>
                <c:formatCode>0</c:formatCode>
                <c:ptCount val="10"/>
                <c:pt idx="0">
                  <c:v>2021</c:v>
                </c:pt>
                <c:pt idx="1">
                  <c:v>2022</c:v>
                </c:pt>
                <c:pt idx="2">
                  <c:v>2023</c:v>
                </c:pt>
                <c:pt idx="3">
                  <c:v>2024</c:v>
                </c:pt>
                <c:pt idx="4">
                  <c:v>2025</c:v>
                </c:pt>
                <c:pt idx="5">
                  <c:v>2026</c:v>
                </c:pt>
                <c:pt idx="6">
                  <c:v>2027</c:v>
                </c:pt>
                <c:pt idx="7">
                  <c:v>2028</c:v>
                </c:pt>
                <c:pt idx="8">
                  <c:v>2029</c:v>
                </c:pt>
                <c:pt idx="9">
                  <c:v>2030</c:v>
                </c:pt>
              </c:numCache>
              <c:extLst/>
            </c:numRef>
          </c:cat>
          <c:val>
            <c:numRef>
              <c:f>'Ef_en-wykr'!$G$46:$P$46</c:f>
              <c:numCache>
                <c:formatCode>#,##0</c:formatCode>
                <c:ptCount val="10"/>
                <c:pt idx="0">
                  <c:v>75154</c:v>
                </c:pt>
                <c:pt idx="1">
                  <c:v>75428</c:v>
                </c:pt>
                <c:pt idx="2">
                  <c:v>75703</c:v>
                </c:pt>
                <c:pt idx="3">
                  <c:v>75978</c:v>
                </c:pt>
                <c:pt idx="4">
                  <c:v>75978</c:v>
                </c:pt>
                <c:pt idx="5">
                  <c:v>72488</c:v>
                </c:pt>
                <c:pt idx="6">
                  <c:v>68999</c:v>
                </c:pt>
                <c:pt idx="7">
                  <c:v>65510</c:v>
                </c:pt>
                <c:pt idx="8">
                  <c:v>62021</c:v>
                </c:pt>
                <c:pt idx="9">
                  <c:v>58532.040375731478</c:v>
                </c:pt>
              </c:numCache>
              <c:extLst/>
            </c:numRef>
          </c:val>
          <c:extLst>
            <c:ext xmlns:c16="http://schemas.microsoft.com/office/drawing/2014/chart" uri="{C3380CC4-5D6E-409C-BE32-E72D297353CC}">
              <c16:uniqueId val="{00000004-2FDE-4F05-8C60-6235AC4AE5BE}"/>
            </c:ext>
          </c:extLst>
        </c:ser>
        <c:dLbls>
          <c:showLegendKey val="0"/>
          <c:showVal val="0"/>
          <c:showCatName val="0"/>
          <c:showSerName val="0"/>
          <c:showPercent val="0"/>
          <c:showBubbleSize val="0"/>
        </c:dLbls>
        <c:gapWidth val="150"/>
        <c:axId val="1451345984"/>
        <c:axId val="1619684960"/>
        <c:extLst>
          <c:ext xmlns:c15="http://schemas.microsoft.com/office/drawing/2012/chart" uri="{02D57815-91ED-43cb-92C2-25804820EDAC}">
            <c15:filteredBarSeries>
              <c15:ser>
                <c:idx val="0"/>
                <c:order val="0"/>
                <c:tx>
                  <c:strRef>
                    <c:extLst>
                      <c:ext uri="{02D57815-91ED-43cb-92C2-25804820EDAC}">
                        <c15:formulaRef>
                          <c15:sqref>'Ef_en-wykr'!$B$43</c15:sqref>
                        </c15:formulaRef>
                      </c:ext>
                    </c:extLst>
                    <c:strCache>
                      <c:ptCount val="1"/>
                      <c:pt idx="0">
                        <c:v>Prognoza zużycia energii pierwotnej  – PEC (Europa 2020-2030)</c:v>
                      </c:pt>
                    </c:strCache>
                  </c:strRef>
                </c:tx>
                <c:spPr>
                  <a:solidFill>
                    <a:srgbClr val="002060"/>
                  </a:solidFill>
                  <a:ln>
                    <a:solidFill>
                      <a:schemeClr val="accent1"/>
                    </a:solidFill>
                  </a:ln>
                  <a:effectLst/>
                </c:spPr>
                <c:invertIfNegative val="0"/>
                <c:cat>
                  <c:numRef>
                    <c:extLst>
                      <c:ext uri="{02D57815-91ED-43cb-92C2-25804820EDAC}">
                        <c15:formulaRef>
                          <c15:sqref>'Ef_en-wykr'!$G$42:$P$42</c15:sqref>
                        </c15:formulaRef>
                      </c:ext>
                    </c:extLst>
                    <c:numCache>
                      <c:formatCode>0</c:formatCode>
                      <c:ptCount val="10"/>
                      <c:pt idx="0">
                        <c:v>2021</c:v>
                      </c:pt>
                      <c:pt idx="1">
                        <c:v>2022</c:v>
                      </c:pt>
                      <c:pt idx="2">
                        <c:v>2023</c:v>
                      </c:pt>
                      <c:pt idx="3">
                        <c:v>2024</c:v>
                      </c:pt>
                      <c:pt idx="4">
                        <c:v>2025</c:v>
                      </c:pt>
                      <c:pt idx="5">
                        <c:v>2026</c:v>
                      </c:pt>
                      <c:pt idx="6">
                        <c:v>2027</c:v>
                      </c:pt>
                      <c:pt idx="7">
                        <c:v>2028</c:v>
                      </c:pt>
                      <c:pt idx="8">
                        <c:v>2029</c:v>
                      </c:pt>
                      <c:pt idx="9">
                        <c:v>2030</c:v>
                      </c:pt>
                    </c:numCache>
                  </c:numRef>
                </c:cat>
                <c:val>
                  <c:numRef>
                    <c:extLst>
                      <c:ext uri="{02D57815-91ED-43cb-92C2-25804820EDAC}">
                        <c15:formulaRef>
                          <c15:sqref>'Ef_en-wykr'!$G$43:$P$43</c15:sqref>
                        </c15:formulaRef>
                      </c:ext>
                    </c:extLst>
                    <c:numCache>
                      <c:formatCode>#,##0</c:formatCode>
                      <c:ptCount val="10"/>
                      <c:pt idx="0">
                        <c:v>102716.4024764264</c:v>
                      </c:pt>
                      <c:pt idx="1">
                        <c:v>98682.156878328795</c:v>
                      </c:pt>
                      <c:pt idx="2">
                        <c:v>97786.137661296321</c:v>
                      </c:pt>
                      <c:pt idx="3">
                        <c:v>96203.21893669611</c:v>
                      </c:pt>
                      <c:pt idx="4">
                        <c:v>94075.316663387639</c:v>
                      </c:pt>
                      <c:pt idx="5">
                        <c:v>90921.852824191577</c:v>
                      </c:pt>
                      <c:pt idx="6">
                        <c:v>88751.418320730096</c:v>
                      </c:pt>
                      <c:pt idx="7">
                        <c:v>86306.793180455061</c:v>
                      </c:pt>
                      <c:pt idx="8">
                        <c:v>83473.305374712188</c:v>
                      </c:pt>
                      <c:pt idx="9">
                        <c:v>80660.944888108788</c:v>
                      </c:pt>
                    </c:numCache>
                  </c:numRef>
                </c:val>
                <c:extLst>
                  <c:ext xmlns:c16="http://schemas.microsoft.com/office/drawing/2014/chart" uri="{C3380CC4-5D6E-409C-BE32-E72D297353CC}">
                    <c16:uniqueId val="{00000005-2FDE-4F05-8C60-6235AC4AE5BE}"/>
                  </c:ext>
                </c:extLst>
              </c15:ser>
            </c15:filteredBarSeries>
            <c15:filteredBarSeries>
              <c15:ser>
                <c:idx val="2"/>
                <c:order val="2"/>
                <c:tx>
                  <c:strRef>
                    <c:extLst xmlns:c15="http://schemas.microsoft.com/office/drawing/2012/chart">
                      <c:ext xmlns:c15="http://schemas.microsoft.com/office/drawing/2012/chart" uri="{02D57815-91ED-43cb-92C2-25804820EDAC}">
                        <c15:formulaRef>
                          <c15:sqref>'Ef_en-wykr'!$B$45</c15:sqref>
                        </c15:formulaRef>
                      </c:ext>
                    </c:extLst>
                    <c:strCache>
                      <c:ptCount val="1"/>
                      <c:pt idx="0">
                        <c:v>Orientacyjna trajektoria realizacji wkładu krajowego w zakresie energii pierwotnej (wg formuły)</c:v>
                      </c:pt>
                    </c:strCache>
                  </c:strRef>
                </c:tx>
                <c:spPr>
                  <a:solidFill>
                    <a:schemeClr val="accent1"/>
                  </a:solidFill>
                  <a:ln>
                    <a:noFill/>
                  </a:ln>
                  <a:effectLst/>
                </c:spPr>
                <c:invertIfNegative val="0"/>
                <c:cat>
                  <c:numRef>
                    <c:extLst xmlns:c15="http://schemas.microsoft.com/office/drawing/2012/chart">
                      <c:ext xmlns:c15="http://schemas.microsoft.com/office/drawing/2012/chart" uri="{02D57815-91ED-43cb-92C2-25804820EDAC}">
                        <c15:formulaRef>
                          <c15:sqref>'Ef_en-wykr'!$G$42:$P$42</c15:sqref>
                        </c15:formulaRef>
                      </c:ext>
                    </c:extLst>
                    <c:numCache>
                      <c:formatCode>0</c:formatCode>
                      <c:ptCount val="10"/>
                      <c:pt idx="0">
                        <c:v>2021</c:v>
                      </c:pt>
                      <c:pt idx="1">
                        <c:v>2022</c:v>
                      </c:pt>
                      <c:pt idx="2">
                        <c:v>2023</c:v>
                      </c:pt>
                      <c:pt idx="3">
                        <c:v>2024</c:v>
                      </c:pt>
                      <c:pt idx="4">
                        <c:v>2025</c:v>
                      </c:pt>
                      <c:pt idx="5">
                        <c:v>2026</c:v>
                      </c:pt>
                      <c:pt idx="6">
                        <c:v>2027</c:v>
                      </c:pt>
                      <c:pt idx="7">
                        <c:v>2028</c:v>
                      </c:pt>
                      <c:pt idx="8">
                        <c:v>2029</c:v>
                      </c:pt>
                      <c:pt idx="9">
                        <c:v>2030</c:v>
                      </c:pt>
                    </c:numCache>
                  </c:numRef>
                </c:cat>
                <c:val>
                  <c:numRef>
                    <c:extLst xmlns:c15="http://schemas.microsoft.com/office/drawing/2012/chart">
                      <c:ext xmlns:c15="http://schemas.microsoft.com/office/drawing/2012/chart" uri="{02D57815-91ED-43cb-92C2-25804820EDAC}">
                        <c15:formulaRef>
                          <c15:sqref>'Ef_en-wykr'!$G$45:$P$45</c15:sqref>
                        </c15:formulaRef>
                      </c:ext>
                    </c:extLst>
                    <c:numCache>
                      <c:formatCode>#,##0</c:formatCode>
                      <c:ptCount val="10"/>
                      <c:pt idx="0">
                        <c:v>103950</c:v>
                      </c:pt>
                      <c:pt idx="1">
                        <c:v>103842</c:v>
                      </c:pt>
                      <c:pt idx="2">
                        <c:v>103734</c:v>
                      </c:pt>
                      <c:pt idx="3">
                        <c:v>103734</c:v>
                      </c:pt>
                      <c:pt idx="4">
                        <c:v>103734</c:v>
                      </c:pt>
                      <c:pt idx="5">
                        <c:v>98973</c:v>
                      </c:pt>
                      <c:pt idx="6">
                        <c:v>94213</c:v>
                      </c:pt>
                      <c:pt idx="7">
                        <c:v>89453</c:v>
                      </c:pt>
                      <c:pt idx="8">
                        <c:v>84692</c:v>
                      </c:pt>
                      <c:pt idx="9">
                        <c:v>79931.871802918002</c:v>
                      </c:pt>
                    </c:numCache>
                  </c:numRef>
                </c:val>
                <c:extLst xmlns:c15="http://schemas.microsoft.com/office/drawing/2012/chart">
                  <c:ext xmlns:c16="http://schemas.microsoft.com/office/drawing/2014/chart" uri="{C3380CC4-5D6E-409C-BE32-E72D297353CC}">
                    <c16:uniqueId val="{00000006-2FDE-4F05-8C60-6235AC4AE5BE}"/>
                  </c:ext>
                </c:extLst>
              </c15:ser>
            </c15:filteredBarSeries>
          </c:ext>
        </c:extLst>
      </c:barChart>
      <c:catAx>
        <c:axId val="1451345984"/>
        <c:scaling>
          <c:orientation val="minMax"/>
        </c:scaling>
        <c:delete val="0"/>
        <c:axPos val="b"/>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Lato" panose="020F0502020204030203" pitchFamily="34" charset="-18"/>
                <a:ea typeface="+mn-ea"/>
                <a:cs typeface="+mn-cs"/>
              </a:defRPr>
            </a:pPr>
            <a:endParaRPr lang="pl-PL"/>
          </a:p>
        </c:txPr>
        <c:crossAx val="1619684960"/>
        <c:crosses val="autoZero"/>
        <c:auto val="1"/>
        <c:lblAlgn val="ctr"/>
        <c:lblOffset val="100"/>
        <c:noMultiLvlLbl val="0"/>
      </c:catAx>
      <c:valAx>
        <c:axId val="1619684960"/>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Lato" panose="020F0502020204030203" pitchFamily="34" charset="-18"/>
                    <a:ea typeface="+mn-ea"/>
                    <a:cs typeface="+mn-cs"/>
                  </a:defRPr>
                </a:pPr>
                <a:r>
                  <a:rPr lang="pl-PL"/>
                  <a:t>[ktoe]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Lato" panose="020F0502020204030203" pitchFamily="34" charset="-18"/>
                  <a:ea typeface="+mn-ea"/>
                  <a:cs typeface="+mn-cs"/>
                </a:defRPr>
              </a:pPr>
              <a:endParaRPr lang="pl-PL"/>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Lato" panose="020F0502020204030203" pitchFamily="34" charset="-18"/>
                <a:ea typeface="+mn-ea"/>
                <a:cs typeface="+mn-cs"/>
              </a:defRPr>
            </a:pPr>
            <a:endParaRPr lang="pl-PL"/>
          </a:p>
        </c:txPr>
        <c:crossAx val="1451345984"/>
        <c:crosses val="autoZero"/>
        <c:crossBetween val="between"/>
      </c:valAx>
      <c:spPr>
        <a:noFill/>
        <a:ln>
          <a:noFill/>
          <a:prstDash val="dash"/>
        </a:ln>
        <a:effectLst/>
      </c:spPr>
    </c:plotArea>
    <c:legend>
      <c:legendPos val="b"/>
      <c:layout>
        <c:manualLayout>
          <c:xMode val="edge"/>
          <c:yMode val="edge"/>
          <c:x val="0.12492344706911636"/>
          <c:y val="0.86284749371363545"/>
          <c:w val="0.84200770937604708"/>
          <c:h val="0.1103026138004938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Lato" panose="020F0502020204030203" pitchFamily="34" charset="-18"/>
              <a:ea typeface="+mn-ea"/>
              <a:cs typeface="+mn-cs"/>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latin typeface="Lato" panose="020F0502020204030203" pitchFamily="34" charset="-18"/>
        </a:defRPr>
      </a:pPr>
      <a:endParaRPr lang="pl-PL"/>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pl-PL" sz="1100" b="1" i="0" u="none" strike="noStrike" kern="1200" spc="0" baseline="0">
                <a:solidFill>
                  <a:schemeClr val="tx2">
                    <a:lumMod val="75000"/>
                  </a:schemeClr>
                </a:solidFill>
              </a:rPr>
              <a:t>Oszacowane zmniejszenie zużycia FEC </a:t>
            </a:r>
            <a:br>
              <a:rPr lang="pl-PL" sz="1100" b="1" i="0" u="none" strike="noStrike" kern="1200" spc="0" baseline="0">
                <a:solidFill>
                  <a:schemeClr val="tx2">
                    <a:lumMod val="75000"/>
                  </a:schemeClr>
                </a:solidFill>
              </a:rPr>
            </a:br>
            <a:r>
              <a:rPr lang="pl-PL" sz="1100" b="1" i="0" u="none" strike="noStrike" kern="1200" spc="0" baseline="0">
                <a:solidFill>
                  <a:schemeClr val="tx2">
                    <a:lumMod val="75000"/>
                  </a:schemeClr>
                </a:solidFill>
              </a:rPr>
              <a:t>w instytucjach publicznych</a:t>
            </a:r>
          </a:p>
        </c:rich>
      </c:tx>
      <c:layout>
        <c:manualLayout>
          <c:xMode val="edge"/>
          <c:yMode val="edge"/>
          <c:x val="0.16274738553720389"/>
          <c:y val="0"/>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pl-PL"/>
        </a:p>
      </c:txPr>
    </c:title>
    <c:autoTitleDeleted val="0"/>
    <c:plotArea>
      <c:layout>
        <c:manualLayout>
          <c:layoutTarget val="inner"/>
          <c:xMode val="edge"/>
          <c:yMode val="edge"/>
          <c:x val="0.16528166033701233"/>
          <c:y val="0.23041937939575735"/>
          <c:w val="0.78874945706044175"/>
          <c:h val="0.59866516685414328"/>
        </c:manualLayout>
      </c:layout>
      <c:barChart>
        <c:barDir val="col"/>
        <c:grouping val="stacked"/>
        <c:varyColors val="0"/>
        <c:ser>
          <c:idx val="0"/>
          <c:order val="0"/>
          <c:tx>
            <c:strRef>
              <c:f>'efen_sekt publ'!$B$4</c:f>
              <c:strCache>
                <c:ptCount val="1"/>
                <c:pt idx="0">
                  <c:v>G1</c:v>
                </c:pt>
              </c:strCache>
            </c:strRef>
          </c:tx>
          <c:spPr>
            <a:solidFill>
              <a:schemeClr val="accent1"/>
            </a:solidFill>
            <a:ln>
              <a:noFill/>
            </a:ln>
            <a:effectLst/>
          </c:spPr>
          <c:invertIfNegative val="0"/>
          <c:dPt>
            <c:idx val="0"/>
            <c:invertIfNegative val="0"/>
            <c:bubble3D val="0"/>
            <c:spPr>
              <a:solidFill>
                <a:srgbClr val="002060"/>
              </a:solidFill>
              <a:ln>
                <a:noFill/>
              </a:ln>
              <a:effectLst/>
            </c:spPr>
            <c:extLst>
              <c:ext xmlns:c16="http://schemas.microsoft.com/office/drawing/2014/chart" uri="{C3380CC4-5D6E-409C-BE32-E72D297353CC}">
                <c16:uniqueId val="{00000001-F24D-4611-A773-6EF32E61D7D1}"/>
              </c:ext>
            </c:extLst>
          </c:dPt>
          <c:cat>
            <c:numRef>
              <c:f>('efen_sekt publ'!$C$3,'efen_sekt publ'!$G$3:$M$3)</c:f>
              <c:numCache>
                <c:formatCode>0</c:formatCode>
                <c:ptCount val="8"/>
                <c:pt idx="0">
                  <c:v>2021</c:v>
                </c:pt>
                <c:pt idx="1">
                  <c:v>2025</c:v>
                </c:pt>
                <c:pt idx="2">
                  <c:v>2026</c:v>
                </c:pt>
                <c:pt idx="3">
                  <c:v>2027</c:v>
                </c:pt>
                <c:pt idx="4">
                  <c:v>2028</c:v>
                </c:pt>
                <c:pt idx="5">
                  <c:v>2029</c:v>
                </c:pt>
                <c:pt idx="6">
                  <c:v>2030</c:v>
                </c:pt>
                <c:pt idx="7">
                  <c:v>2031</c:v>
                </c:pt>
              </c:numCache>
              <c:extLst/>
            </c:numRef>
          </c:cat>
          <c:val>
            <c:numRef>
              <c:f>('efen_sekt publ'!$C$4,'efen_sekt publ'!$G$4:$L$4)</c:f>
              <c:numCache>
                <c:formatCode>#,##0.00</c:formatCode>
                <c:ptCount val="7"/>
                <c:pt idx="0" formatCode="General">
                  <c:v>1308.1886739000001</c:v>
                </c:pt>
                <c:pt idx="1">
                  <c:v>1302.9559192044001</c:v>
                </c:pt>
                <c:pt idx="2">
                  <c:v>1278.1003344003</c:v>
                </c:pt>
                <c:pt idx="3">
                  <c:v>1253.2447495961999</c:v>
                </c:pt>
                <c:pt idx="4">
                  <c:v>1228.3891647920998</c:v>
                </c:pt>
                <c:pt idx="5">
                  <c:v>1203.5335799879997</c:v>
                </c:pt>
                <c:pt idx="6">
                  <c:v>1178.6779951838996</c:v>
                </c:pt>
              </c:numCache>
              <c:extLst/>
            </c:numRef>
          </c:val>
          <c:extLst>
            <c:ext xmlns:c16="http://schemas.microsoft.com/office/drawing/2014/chart" uri="{C3380CC4-5D6E-409C-BE32-E72D297353CC}">
              <c16:uniqueId val="{00000002-F24D-4611-A773-6EF32E61D7D1}"/>
            </c:ext>
          </c:extLst>
        </c:ser>
        <c:ser>
          <c:idx val="1"/>
          <c:order val="1"/>
          <c:tx>
            <c:strRef>
              <c:f>'efen_sekt publ'!$B$5</c:f>
              <c:strCache>
                <c:ptCount val="1"/>
                <c:pt idx="0">
                  <c:v>G2</c:v>
                </c:pt>
              </c:strCache>
            </c:strRef>
          </c:tx>
          <c:spPr>
            <a:solidFill>
              <a:schemeClr val="accent2"/>
            </a:solidFill>
            <a:ln>
              <a:noFill/>
            </a:ln>
            <a:effectLst/>
          </c:spPr>
          <c:invertIfNegative val="0"/>
          <c:dPt>
            <c:idx val="0"/>
            <c:invertIfNegative val="0"/>
            <c:bubble3D val="0"/>
            <c:spPr>
              <a:solidFill>
                <a:schemeClr val="accent2">
                  <a:lumMod val="75000"/>
                </a:schemeClr>
              </a:solidFill>
              <a:ln>
                <a:noFill/>
              </a:ln>
              <a:effectLst/>
            </c:spPr>
            <c:extLst>
              <c:ext xmlns:c16="http://schemas.microsoft.com/office/drawing/2014/chart" uri="{C3380CC4-5D6E-409C-BE32-E72D297353CC}">
                <c16:uniqueId val="{00000004-F24D-4611-A773-6EF32E61D7D1}"/>
              </c:ext>
            </c:extLst>
          </c:dPt>
          <c:cat>
            <c:numRef>
              <c:f>('efen_sekt publ'!$C$3,'efen_sekt publ'!$G$3:$M$3)</c:f>
              <c:numCache>
                <c:formatCode>0</c:formatCode>
                <c:ptCount val="8"/>
                <c:pt idx="0">
                  <c:v>2021</c:v>
                </c:pt>
                <c:pt idx="1">
                  <c:v>2025</c:v>
                </c:pt>
                <c:pt idx="2">
                  <c:v>2026</c:v>
                </c:pt>
                <c:pt idx="3">
                  <c:v>2027</c:v>
                </c:pt>
                <c:pt idx="4">
                  <c:v>2028</c:v>
                </c:pt>
                <c:pt idx="5">
                  <c:v>2029</c:v>
                </c:pt>
                <c:pt idx="6">
                  <c:v>2030</c:v>
                </c:pt>
                <c:pt idx="7">
                  <c:v>2031</c:v>
                </c:pt>
              </c:numCache>
              <c:extLst/>
            </c:numRef>
          </c:cat>
          <c:val>
            <c:numRef>
              <c:f>('efen_sekt publ'!$C$5,'efen_sekt publ'!$G$5:$L$5)</c:f>
              <c:numCache>
                <c:formatCode>General</c:formatCode>
                <c:ptCount val="7"/>
                <c:pt idx="0">
                  <c:v>1702.422679</c:v>
                </c:pt>
                <c:pt idx="1">
                  <c:v>0</c:v>
                </c:pt>
                <c:pt idx="2">
                  <c:v>0</c:v>
                </c:pt>
                <c:pt idx="3" formatCode="#,##0.00">
                  <c:v>1670.0766480990001</c:v>
                </c:pt>
                <c:pt idx="4" formatCode="#,##0.00">
                  <c:v>1637.7306171980001</c:v>
                </c:pt>
                <c:pt idx="5" formatCode="#,##0.00">
                  <c:v>1605.3845862970002</c:v>
                </c:pt>
                <c:pt idx="6" formatCode="#,##0.00">
                  <c:v>1573.0385553960002</c:v>
                </c:pt>
              </c:numCache>
              <c:extLst/>
            </c:numRef>
          </c:val>
          <c:extLst>
            <c:ext xmlns:c16="http://schemas.microsoft.com/office/drawing/2014/chart" uri="{C3380CC4-5D6E-409C-BE32-E72D297353CC}">
              <c16:uniqueId val="{00000005-F24D-4611-A773-6EF32E61D7D1}"/>
            </c:ext>
          </c:extLst>
        </c:ser>
        <c:ser>
          <c:idx val="2"/>
          <c:order val="2"/>
          <c:tx>
            <c:strRef>
              <c:f>'efen_sekt publ'!$B$6</c:f>
              <c:strCache>
                <c:ptCount val="1"/>
                <c:pt idx="0">
                  <c:v>G3</c:v>
                </c:pt>
              </c:strCache>
            </c:strRef>
          </c:tx>
          <c:spPr>
            <a:solidFill>
              <a:schemeClr val="accent3"/>
            </a:solidFill>
            <a:ln>
              <a:noFill/>
            </a:ln>
            <a:effectLst/>
          </c:spPr>
          <c:invertIfNegative val="0"/>
          <c:dPt>
            <c:idx val="0"/>
            <c:invertIfNegative val="0"/>
            <c:bubble3D val="0"/>
            <c:spPr>
              <a:solidFill>
                <a:schemeClr val="accent3">
                  <a:lumMod val="75000"/>
                </a:schemeClr>
              </a:solidFill>
              <a:ln>
                <a:noFill/>
              </a:ln>
              <a:effectLst/>
            </c:spPr>
            <c:extLst>
              <c:ext xmlns:c16="http://schemas.microsoft.com/office/drawing/2014/chart" uri="{C3380CC4-5D6E-409C-BE32-E72D297353CC}">
                <c16:uniqueId val="{00000007-F24D-4611-A773-6EF32E61D7D1}"/>
              </c:ext>
            </c:extLst>
          </c:dPt>
          <c:cat>
            <c:numRef>
              <c:f>('efen_sekt publ'!$C$3,'efen_sekt publ'!$G$3:$M$3)</c:f>
              <c:numCache>
                <c:formatCode>0</c:formatCode>
                <c:ptCount val="8"/>
                <c:pt idx="0">
                  <c:v>2021</c:v>
                </c:pt>
                <c:pt idx="1">
                  <c:v>2025</c:v>
                </c:pt>
                <c:pt idx="2">
                  <c:v>2026</c:v>
                </c:pt>
                <c:pt idx="3">
                  <c:v>2027</c:v>
                </c:pt>
                <c:pt idx="4">
                  <c:v>2028</c:v>
                </c:pt>
                <c:pt idx="5">
                  <c:v>2029</c:v>
                </c:pt>
                <c:pt idx="6">
                  <c:v>2030</c:v>
                </c:pt>
                <c:pt idx="7">
                  <c:v>2031</c:v>
                </c:pt>
              </c:numCache>
              <c:extLst/>
            </c:numRef>
          </c:cat>
          <c:val>
            <c:numRef>
              <c:f>('efen_sekt publ'!$C$6,'efen_sekt publ'!$G$6:$L$6)</c:f>
              <c:numCache>
                <c:formatCode>General</c:formatCode>
                <c:ptCount val="7"/>
                <c:pt idx="0">
                  <c:v>1103.7720471</c:v>
                </c:pt>
                <c:pt idx="1">
                  <c:v>0</c:v>
                </c:pt>
                <c:pt idx="2">
                  <c:v>0</c:v>
                </c:pt>
                <c:pt idx="3">
                  <c:v>0</c:v>
                </c:pt>
                <c:pt idx="4">
                  <c:v>0</c:v>
                </c:pt>
                <c:pt idx="5" formatCode="#,##0.00">
                  <c:v>0</c:v>
                </c:pt>
                <c:pt idx="6" formatCode="#,##0.00">
                  <c:v>1082.8003782051001</c:v>
                </c:pt>
              </c:numCache>
              <c:extLst/>
            </c:numRef>
          </c:val>
          <c:extLst>
            <c:ext xmlns:c16="http://schemas.microsoft.com/office/drawing/2014/chart" uri="{C3380CC4-5D6E-409C-BE32-E72D297353CC}">
              <c16:uniqueId val="{00000008-F24D-4611-A773-6EF32E61D7D1}"/>
            </c:ext>
          </c:extLst>
        </c:ser>
        <c:dLbls>
          <c:showLegendKey val="0"/>
          <c:showVal val="0"/>
          <c:showCatName val="0"/>
          <c:showSerName val="0"/>
          <c:showPercent val="0"/>
          <c:showBubbleSize val="0"/>
        </c:dLbls>
        <c:gapWidth val="150"/>
        <c:overlap val="100"/>
        <c:axId val="1366743952"/>
        <c:axId val="1366742512"/>
      </c:barChart>
      <c:catAx>
        <c:axId val="1366743952"/>
        <c:scaling>
          <c:orientation val="minMax"/>
        </c:scaling>
        <c:delete val="0"/>
        <c:axPos val="b"/>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1366742512"/>
        <c:crosses val="autoZero"/>
        <c:auto val="1"/>
        <c:lblAlgn val="ctr"/>
        <c:lblOffset val="100"/>
        <c:noMultiLvlLbl val="0"/>
      </c:catAx>
      <c:valAx>
        <c:axId val="136674251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pl-PL"/>
                  <a:t>[ktoe]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pl-PL"/>
            </a:p>
          </c:txPr>
        </c:title>
        <c:numFmt formatCode="General" sourceLinked="1"/>
        <c:majorTickMark val="none"/>
        <c:minorTickMark val="none"/>
        <c:tickLblPos val="nextTo"/>
        <c:spPr>
          <a:noFill/>
          <a:ln>
            <a:solidFill>
              <a:schemeClr val="bg1">
                <a:lumMod val="85000"/>
              </a:schemeClr>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1366743952"/>
        <c:crosses val="autoZero"/>
        <c:crossBetween val="between"/>
      </c:valAx>
      <c:spPr>
        <a:noFill/>
        <a:ln>
          <a:noFill/>
        </a:ln>
        <a:effectLst/>
      </c:spPr>
    </c:plotArea>
    <c:legend>
      <c:legendPos val="t"/>
      <c:layout>
        <c:manualLayout>
          <c:xMode val="edge"/>
          <c:yMode val="edge"/>
          <c:x val="0.39115593224114314"/>
          <c:y val="0.24196018376722817"/>
          <c:w val="0.27426494336722756"/>
          <c:h val="8.5206577355472227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4">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stacked"/>
        <c:varyColors val="0"/>
        <c:ser>
          <c:idx val="0"/>
          <c:order val="0"/>
          <c:tx>
            <c:strRef>
              <c:f>'En.el (2)'!$H$37</c:f>
              <c:strCache>
                <c:ptCount val="1"/>
                <c:pt idx="0">
                  <c:v>węgiel kamienny</c:v>
                </c:pt>
              </c:strCache>
            </c:strRef>
          </c:tx>
          <c:spPr>
            <a:solidFill>
              <a:schemeClr val="tx1"/>
            </a:solidFill>
            <a:ln>
              <a:noFill/>
            </a:ln>
            <a:effectLst/>
          </c:spPr>
          <c:invertIfNegative val="0"/>
          <c:cat>
            <c:numRef>
              <c:f>'En.el (2)'!$I$36:$M$36</c:f>
              <c:numCache>
                <c:formatCode>General</c:formatCode>
                <c:ptCount val="5"/>
                <c:pt idx="0">
                  <c:v>2023</c:v>
                </c:pt>
                <c:pt idx="1">
                  <c:v>2025</c:v>
                </c:pt>
                <c:pt idx="2">
                  <c:v>2030</c:v>
                </c:pt>
                <c:pt idx="3">
                  <c:v>2035</c:v>
                </c:pt>
                <c:pt idx="4">
                  <c:v>2040</c:v>
                </c:pt>
              </c:numCache>
            </c:numRef>
          </c:cat>
          <c:val>
            <c:numRef>
              <c:f>'En.el (2)'!$I$37:$M$37</c:f>
              <c:numCache>
                <c:formatCode>#\ ##0.0</c:formatCode>
                <c:ptCount val="5"/>
                <c:pt idx="0">
                  <c:v>22.646795000000001</c:v>
                </c:pt>
                <c:pt idx="1">
                  <c:v>19.612493395422145</c:v>
                </c:pt>
                <c:pt idx="2">
                  <c:v>13.443987709877412</c:v>
                </c:pt>
                <c:pt idx="3">
                  <c:v>8.7548412566142471</c:v>
                </c:pt>
                <c:pt idx="4">
                  <c:v>4.939515825046719</c:v>
                </c:pt>
              </c:numCache>
            </c:numRef>
          </c:val>
          <c:extLst>
            <c:ext xmlns:c16="http://schemas.microsoft.com/office/drawing/2014/chart" uri="{C3380CC4-5D6E-409C-BE32-E72D297353CC}">
              <c16:uniqueId val="{00000000-40B1-434F-919E-D2C444514AF1}"/>
            </c:ext>
          </c:extLst>
        </c:ser>
        <c:ser>
          <c:idx val="1"/>
          <c:order val="1"/>
          <c:tx>
            <c:strRef>
              <c:f>'En.el (2)'!$H$38</c:f>
              <c:strCache>
                <c:ptCount val="1"/>
                <c:pt idx="0">
                  <c:v>węgiel brunatny</c:v>
                </c:pt>
              </c:strCache>
            </c:strRef>
          </c:tx>
          <c:spPr>
            <a:solidFill>
              <a:schemeClr val="accent2">
                <a:lumMod val="75000"/>
              </a:schemeClr>
            </a:solidFill>
            <a:ln>
              <a:noFill/>
            </a:ln>
            <a:effectLst/>
          </c:spPr>
          <c:invertIfNegative val="0"/>
          <c:cat>
            <c:numRef>
              <c:f>'En.el (2)'!$I$36:$M$36</c:f>
              <c:numCache>
                <c:formatCode>General</c:formatCode>
                <c:ptCount val="5"/>
                <c:pt idx="0">
                  <c:v>2023</c:v>
                </c:pt>
                <c:pt idx="1">
                  <c:v>2025</c:v>
                </c:pt>
                <c:pt idx="2">
                  <c:v>2030</c:v>
                </c:pt>
                <c:pt idx="3">
                  <c:v>2035</c:v>
                </c:pt>
                <c:pt idx="4">
                  <c:v>2040</c:v>
                </c:pt>
              </c:numCache>
            </c:numRef>
          </c:cat>
          <c:val>
            <c:numRef>
              <c:f>'En.el (2)'!$I$38:$M$38</c:f>
              <c:numCache>
                <c:formatCode>#\ ##0.0</c:formatCode>
                <c:ptCount val="5"/>
                <c:pt idx="0">
                  <c:v>8.8782999999999994</c:v>
                </c:pt>
                <c:pt idx="1">
                  <c:v>6.5659999999999998</c:v>
                </c:pt>
                <c:pt idx="2">
                  <c:v>6.5659999999999998</c:v>
                </c:pt>
                <c:pt idx="3">
                  <c:v>3.3439999999999999</c:v>
                </c:pt>
                <c:pt idx="4">
                  <c:v>0.68300000000000005</c:v>
                </c:pt>
              </c:numCache>
            </c:numRef>
          </c:val>
          <c:extLst>
            <c:ext xmlns:c16="http://schemas.microsoft.com/office/drawing/2014/chart" uri="{C3380CC4-5D6E-409C-BE32-E72D297353CC}">
              <c16:uniqueId val="{00000001-40B1-434F-919E-D2C444514AF1}"/>
            </c:ext>
          </c:extLst>
        </c:ser>
        <c:ser>
          <c:idx val="2"/>
          <c:order val="2"/>
          <c:tx>
            <c:strRef>
              <c:f>'En.el (2)'!$H$39</c:f>
              <c:strCache>
                <c:ptCount val="1"/>
                <c:pt idx="0">
                  <c:v>gaz ziemny i wodór</c:v>
                </c:pt>
              </c:strCache>
            </c:strRef>
          </c:tx>
          <c:spPr>
            <a:solidFill>
              <a:schemeClr val="accent4"/>
            </a:solidFill>
            <a:ln>
              <a:noFill/>
            </a:ln>
            <a:effectLst/>
          </c:spPr>
          <c:invertIfNegative val="0"/>
          <c:cat>
            <c:numRef>
              <c:f>'En.el (2)'!$I$36:$M$36</c:f>
              <c:numCache>
                <c:formatCode>General</c:formatCode>
                <c:ptCount val="5"/>
                <c:pt idx="0">
                  <c:v>2023</c:v>
                </c:pt>
                <c:pt idx="1">
                  <c:v>2025</c:v>
                </c:pt>
                <c:pt idx="2">
                  <c:v>2030</c:v>
                </c:pt>
                <c:pt idx="3">
                  <c:v>2035</c:v>
                </c:pt>
                <c:pt idx="4">
                  <c:v>2040</c:v>
                </c:pt>
              </c:numCache>
            </c:numRef>
          </c:cat>
          <c:val>
            <c:numRef>
              <c:f>'En.el (2)'!$I$39:$M$39</c:f>
              <c:numCache>
                <c:formatCode>#\ ##0.0</c:formatCode>
                <c:ptCount val="5"/>
                <c:pt idx="0">
                  <c:v>4.0673060000000003</c:v>
                </c:pt>
                <c:pt idx="1">
                  <c:v>5.6319111999742804</c:v>
                </c:pt>
                <c:pt idx="2">
                  <c:v>11.787499014756396</c:v>
                </c:pt>
                <c:pt idx="3">
                  <c:v>11.234190898045586</c:v>
                </c:pt>
                <c:pt idx="4">
                  <c:v>12.747984293179217</c:v>
                </c:pt>
              </c:numCache>
            </c:numRef>
          </c:val>
          <c:extLst>
            <c:ext xmlns:c16="http://schemas.microsoft.com/office/drawing/2014/chart" uri="{C3380CC4-5D6E-409C-BE32-E72D297353CC}">
              <c16:uniqueId val="{00000002-40B1-434F-919E-D2C444514AF1}"/>
            </c:ext>
          </c:extLst>
        </c:ser>
        <c:ser>
          <c:idx val="3"/>
          <c:order val="3"/>
          <c:tx>
            <c:strRef>
              <c:f>'En.el (2)'!$H$40</c:f>
              <c:strCache>
                <c:ptCount val="1"/>
                <c:pt idx="0">
                  <c:v>lądowa en. wiatrowa</c:v>
                </c:pt>
              </c:strCache>
            </c:strRef>
          </c:tx>
          <c:spPr>
            <a:solidFill>
              <a:srgbClr val="AFD498"/>
            </a:solidFill>
            <a:ln>
              <a:noFill/>
            </a:ln>
            <a:effectLst/>
          </c:spPr>
          <c:invertIfNegative val="0"/>
          <c:cat>
            <c:numRef>
              <c:f>'En.el (2)'!$I$36:$M$36</c:f>
              <c:numCache>
                <c:formatCode>General</c:formatCode>
                <c:ptCount val="5"/>
                <c:pt idx="0">
                  <c:v>2023</c:v>
                </c:pt>
                <c:pt idx="1">
                  <c:v>2025</c:v>
                </c:pt>
                <c:pt idx="2">
                  <c:v>2030</c:v>
                </c:pt>
                <c:pt idx="3">
                  <c:v>2035</c:v>
                </c:pt>
                <c:pt idx="4">
                  <c:v>2040</c:v>
                </c:pt>
              </c:numCache>
            </c:numRef>
          </c:cat>
          <c:val>
            <c:numRef>
              <c:f>'En.el (2)'!$I$40:$M$40</c:f>
              <c:numCache>
                <c:formatCode>#\ ##0.0</c:formatCode>
                <c:ptCount val="5"/>
                <c:pt idx="0">
                  <c:v>9.428272999999999</c:v>
                </c:pt>
                <c:pt idx="1">
                  <c:v>11.996</c:v>
                </c:pt>
                <c:pt idx="2">
                  <c:v>19.027999999999999</c:v>
                </c:pt>
                <c:pt idx="3">
                  <c:v>23.042249999999999</c:v>
                </c:pt>
                <c:pt idx="4">
                  <c:v>25.8155</c:v>
                </c:pt>
              </c:numCache>
            </c:numRef>
          </c:val>
          <c:extLst>
            <c:ext xmlns:c16="http://schemas.microsoft.com/office/drawing/2014/chart" uri="{C3380CC4-5D6E-409C-BE32-E72D297353CC}">
              <c16:uniqueId val="{00000003-40B1-434F-919E-D2C444514AF1}"/>
            </c:ext>
          </c:extLst>
        </c:ser>
        <c:ser>
          <c:idx val="4"/>
          <c:order val="4"/>
          <c:tx>
            <c:strRef>
              <c:f>'En.el (2)'!$H$41</c:f>
              <c:strCache>
                <c:ptCount val="1"/>
                <c:pt idx="0">
                  <c:v>morska en. wiatrowa</c:v>
                </c:pt>
              </c:strCache>
            </c:strRef>
          </c:tx>
          <c:spPr>
            <a:solidFill>
              <a:srgbClr val="8FC36B"/>
            </a:solidFill>
            <a:ln>
              <a:noFill/>
            </a:ln>
            <a:effectLst/>
          </c:spPr>
          <c:invertIfNegative val="0"/>
          <c:cat>
            <c:numRef>
              <c:f>'En.el (2)'!$I$36:$M$36</c:f>
              <c:numCache>
                <c:formatCode>General</c:formatCode>
                <c:ptCount val="5"/>
                <c:pt idx="0">
                  <c:v>2023</c:v>
                </c:pt>
                <c:pt idx="1">
                  <c:v>2025</c:v>
                </c:pt>
                <c:pt idx="2">
                  <c:v>2030</c:v>
                </c:pt>
                <c:pt idx="3">
                  <c:v>2035</c:v>
                </c:pt>
                <c:pt idx="4">
                  <c:v>2040</c:v>
                </c:pt>
              </c:numCache>
            </c:numRef>
          </c:cat>
          <c:val>
            <c:numRef>
              <c:f>'En.el (2)'!$I$41:$M$41</c:f>
              <c:numCache>
                <c:formatCode>#\ ##0.0</c:formatCode>
                <c:ptCount val="5"/>
                <c:pt idx="0">
                  <c:v>0</c:v>
                </c:pt>
                <c:pt idx="1">
                  <c:v>0</c:v>
                </c:pt>
                <c:pt idx="2">
                  <c:v>5.9269999999999996</c:v>
                </c:pt>
                <c:pt idx="3">
                  <c:v>12.233000000000001</c:v>
                </c:pt>
                <c:pt idx="4">
                  <c:v>17.882999999999999</c:v>
                </c:pt>
              </c:numCache>
            </c:numRef>
          </c:val>
          <c:extLst>
            <c:ext xmlns:c16="http://schemas.microsoft.com/office/drawing/2014/chart" uri="{C3380CC4-5D6E-409C-BE32-E72D297353CC}">
              <c16:uniqueId val="{00000004-40B1-434F-919E-D2C444514AF1}"/>
            </c:ext>
          </c:extLst>
        </c:ser>
        <c:ser>
          <c:idx val="5"/>
          <c:order val="5"/>
          <c:tx>
            <c:strRef>
              <c:f>'En.el (2)'!$H$42</c:f>
              <c:strCache>
                <c:ptCount val="1"/>
                <c:pt idx="0">
                  <c:v>PV</c:v>
                </c:pt>
              </c:strCache>
            </c:strRef>
          </c:tx>
          <c:spPr>
            <a:solidFill>
              <a:schemeClr val="accent6"/>
            </a:solidFill>
            <a:ln>
              <a:noFill/>
            </a:ln>
            <a:effectLst/>
          </c:spPr>
          <c:invertIfNegative val="0"/>
          <c:cat>
            <c:numRef>
              <c:f>'En.el (2)'!$I$36:$M$36</c:f>
              <c:numCache>
                <c:formatCode>General</c:formatCode>
                <c:ptCount val="5"/>
                <c:pt idx="0">
                  <c:v>2023</c:v>
                </c:pt>
                <c:pt idx="1">
                  <c:v>2025</c:v>
                </c:pt>
                <c:pt idx="2">
                  <c:v>2030</c:v>
                </c:pt>
                <c:pt idx="3">
                  <c:v>2035</c:v>
                </c:pt>
                <c:pt idx="4">
                  <c:v>2040</c:v>
                </c:pt>
              </c:numCache>
            </c:numRef>
          </c:cat>
          <c:val>
            <c:numRef>
              <c:f>'En.el (2)'!$I$42:$M$42</c:f>
              <c:numCache>
                <c:formatCode>#\ ##0.0</c:formatCode>
                <c:ptCount val="5"/>
                <c:pt idx="0">
                  <c:v>17.057134999999999</c:v>
                </c:pt>
                <c:pt idx="1">
                  <c:v>19.726119999999998</c:v>
                </c:pt>
                <c:pt idx="2">
                  <c:v>28.976120000000002</c:v>
                </c:pt>
                <c:pt idx="3">
                  <c:v>37.901000000000003</c:v>
                </c:pt>
                <c:pt idx="4">
                  <c:v>46.292999999999999</c:v>
                </c:pt>
              </c:numCache>
            </c:numRef>
          </c:val>
          <c:extLst>
            <c:ext xmlns:c16="http://schemas.microsoft.com/office/drawing/2014/chart" uri="{C3380CC4-5D6E-409C-BE32-E72D297353CC}">
              <c16:uniqueId val="{00000005-40B1-434F-919E-D2C444514AF1}"/>
            </c:ext>
          </c:extLst>
        </c:ser>
        <c:ser>
          <c:idx val="6"/>
          <c:order val="6"/>
          <c:tx>
            <c:strRef>
              <c:f>'En.el (2)'!$H$43</c:f>
              <c:strCache>
                <c:ptCount val="1"/>
                <c:pt idx="0">
                  <c:v>biomasa i biogaz</c:v>
                </c:pt>
              </c:strCache>
            </c:strRef>
          </c:tx>
          <c:spPr>
            <a:solidFill>
              <a:srgbClr val="008000"/>
            </a:solidFill>
            <a:ln>
              <a:noFill/>
            </a:ln>
            <a:effectLst/>
          </c:spPr>
          <c:invertIfNegative val="0"/>
          <c:cat>
            <c:numRef>
              <c:f>'En.el (2)'!$I$36:$M$36</c:f>
              <c:numCache>
                <c:formatCode>General</c:formatCode>
                <c:ptCount val="5"/>
                <c:pt idx="0">
                  <c:v>2023</c:v>
                </c:pt>
                <c:pt idx="1">
                  <c:v>2025</c:v>
                </c:pt>
                <c:pt idx="2">
                  <c:v>2030</c:v>
                </c:pt>
                <c:pt idx="3">
                  <c:v>2035</c:v>
                </c:pt>
                <c:pt idx="4">
                  <c:v>2040</c:v>
                </c:pt>
              </c:numCache>
            </c:numRef>
          </c:cat>
          <c:val>
            <c:numRef>
              <c:f>'En.el (2)'!$I$43:$M$43</c:f>
              <c:numCache>
                <c:formatCode>#\ ##0.0</c:formatCode>
                <c:ptCount val="5"/>
                <c:pt idx="0">
                  <c:v>1.2753099999999999</c:v>
                </c:pt>
                <c:pt idx="1">
                  <c:v>1.1791660305421119</c:v>
                </c:pt>
                <c:pt idx="2">
                  <c:v>1.6361102542409907</c:v>
                </c:pt>
                <c:pt idx="3">
                  <c:v>1.7743015858641065</c:v>
                </c:pt>
                <c:pt idx="4">
                  <c:v>1.75466398016873</c:v>
                </c:pt>
              </c:numCache>
            </c:numRef>
          </c:val>
          <c:extLst>
            <c:ext xmlns:c16="http://schemas.microsoft.com/office/drawing/2014/chart" uri="{C3380CC4-5D6E-409C-BE32-E72D297353CC}">
              <c16:uniqueId val="{00000006-40B1-434F-919E-D2C444514AF1}"/>
            </c:ext>
          </c:extLst>
        </c:ser>
        <c:ser>
          <c:idx val="7"/>
          <c:order val="7"/>
          <c:tx>
            <c:strRef>
              <c:f>'En.el (2)'!$H$44</c:f>
              <c:strCache>
                <c:ptCount val="1"/>
                <c:pt idx="0">
                  <c:v>pozostałe OZE</c:v>
                </c:pt>
              </c:strCache>
            </c:strRef>
          </c:tx>
          <c:spPr>
            <a:solidFill>
              <a:srgbClr val="006600"/>
            </a:solidFill>
            <a:ln>
              <a:noFill/>
            </a:ln>
            <a:effectLst/>
          </c:spPr>
          <c:invertIfNegative val="0"/>
          <c:cat>
            <c:numRef>
              <c:f>'En.el (2)'!$I$36:$M$36</c:f>
              <c:numCache>
                <c:formatCode>General</c:formatCode>
                <c:ptCount val="5"/>
                <c:pt idx="0">
                  <c:v>2023</c:v>
                </c:pt>
                <c:pt idx="1">
                  <c:v>2025</c:v>
                </c:pt>
                <c:pt idx="2">
                  <c:v>2030</c:v>
                </c:pt>
                <c:pt idx="3">
                  <c:v>2035</c:v>
                </c:pt>
                <c:pt idx="4">
                  <c:v>2040</c:v>
                </c:pt>
              </c:numCache>
            </c:numRef>
          </c:cat>
          <c:val>
            <c:numRef>
              <c:f>'En.el (2)'!$I$44:$M$44</c:f>
              <c:numCache>
                <c:formatCode>#\ ##0.0</c:formatCode>
                <c:ptCount val="5"/>
                <c:pt idx="0">
                  <c:v>1.0172909999999999</c:v>
                </c:pt>
                <c:pt idx="1">
                  <c:v>1.008</c:v>
                </c:pt>
                <c:pt idx="2">
                  <c:v>1.1180000000000001</c:v>
                </c:pt>
                <c:pt idx="3">
                  <c:v>1.1479999999999999</c:v>
                </c:pt>
                <c:pt idx="4">
                  <c:v>1.1779999999999999</c:v>
                </c:pt>
              </c:numCache>
            </c:numRef>
          </c:val>
          <c:extLst>
            <c:ext xmlns:c16="http://schemas.microsoft.com/office/drawing/2014/chart" uri="{C3380CC4-5D6E-409C-BE32-E72D297353CC}">
              <c16:uniqueId val="{00000007-40B1-434F-919E-D2C444514AF1}"/>
            </c:ext>
          </c:extLst>
        </c:ser>
        <c:ser>
          <c:idx val="8"/>
          <c:order val="8"/>
          <c:tx>
            <c:strRef>
              <c:f>'En.el (2)'!$H$45</c:f>
              <c:strCache>
                <c:ptCount val="1"/>
                <c:pt idx="0">
                  <c:v>en. jądrowa</c:v>
                </c:pt>
              </c:strCache>
            </c:strRef>
          </c:tx>
          <c:spPr>
            <a:solidFill>
              <a:srgbClr val="C00000"/>
            </a:solidFill>
            <a:ln>
              <a:noFill/>
            </a:ln>
            <a:effectLst/>
          </c:spPr>
          <c:invertIfNegative val="0"/>
          <c:cat>
            <c:numRef>
              <c:f>'En.el (2)'!$I$36:$M$36</c:f>
              <c:numCache>
                <c:formatCode>General</c:formatCode>
                <c:ptCount val="5"/>
                <c:pt idx="0">
                  <c:v>2023</c:v>
                </c:pt>
                <c:pt idx="1">
                  <c:v>2025</c:v>
                </c:pt>
                <c:pt idx="2">
                  <c:v>2030</c:v>
                </c:pt>
                <c:pt idx="3">
                  <c:v>2035</c:v>
                </c:pt>
                <c:pt idx="4">
                  <c:v>2040</c:v>
                </c:pt>
              </c:numCache>
            </c:numRef>
          </c:cat>
          <c:val>
            <c:numRef>
              <c:f>'En.el (2)'!$I$45:$M$45</c:f>
              <c:numCache>
                <c:formatCode>#\ ##0.0</c:formatCode>
                <c:ptCount val="5"/>
                <c:pt idx="0">
                  <c:v>0</c:v>
                </c:pt>
                <c:pt idx="1">
                  <c:v>0</c:v>
                </c:pt>
                <c:pt idx="2">
                  <c:v>0</c:v>
                </c:pt>
                <c:pt idx="3">
                  <c:v>1.77</c:v>
                </c:pt>
                <c:pt idx="4">
                  <c:v>7.4249999999999998</c:v>
                </c:pt>
              </c:numCache>
            </c:numRef>
          </c:val>
          <c:extLst>
            <c:ext xmlns:c16="http://schemas.microsoft.com/office/drawing/2014/chart" uri="{C3380CC4-5D6E-409C-BE32-E72D297353CC}">
              <c16:uniqueId val="{00000008-40B1-434F-919E-D2C444514AF1}"/>
            </c:ext>
          </c:extLst>
        </c:ser>
        <c:ser>
          <c:idx val="9"/>
          <c:order val="9"/>
          <c:tx>
            <c:strRef>
              <c:f>'En.el (2)'!$H$46</c:f>
              <c:strCache>
                <c:ptCount val="1"/>
                <c:pt idx="0">
                  <c:v>magazyny, ESP, DSR</c:v>
                </c:pt>
              </c:strCache>
            </c:strRef>
          </c:tx>
          <c:spPr>
            <a:solidFill>
              <a:srgbClr val="0070C0"/>
            </a:solidFill>
            <a:ln>
              <a:noFill/>
            </a:ln>
            <a:effectLst/>
          </c:spPr>
          <c:invertIfNegative val="0"/>
          <c:cat>
            <c:numRef>
              <c:f>'En.el (2)'!$I$36:$M$36</c:f>
              <c:numCache>
                <c:formatCode>General</c:formatCode>
                <c:ptCount val="5"/>
                <c:pt idx="0">
                  <c:v>2023</c:v>
                </c:pt>
                <c:pt idx="1">
                  <c:v>2025</c:v>
                </c:pt>
                <c:pt idx="2">
                  <c:v>2030</c:v>
                </c:pt>
                <c:pt idx="3">
                  <c:v>2035</c:v>
                </c:pt>
                <c:pt idx="4">
                  <c:v>2040</c:v>
                </c:pt>
              </c:numCache>
            </c:numRef>
          </c:cat>
          <c:val>
            <c:numRef>
              <c:f>'En.el (2)'!$I$46:$M$46</c:f>
              <c:numCache>
                <c:formatCode>#\ ##0.0</c:formatCode>
                <c:ptCount val="5"/>
                <c:pt idx="0">
                  <c:v>1.4129500000000002</c:v>
                </c:pt>
                <c:pt idx="1">
                  <c:v>3.6044999999999998</c:v>
                </c:pt>
                <c:pt idx="2">
                  <c:v>7.348749999999999</c:v>
                </c:pt>
                <c:pt idx="3">
                  <c:v>9.7241599999999995</c:v>
                </c:pt>
                <c:pt idx="4">
                  <c:v>16.81438</c:v>
                </c:pt>
              </c:numCache>
            </c:numRef>
          </c:val>
          <c:extLst>
            <c:ext xmlns:c16="http://schemas.microsoft.com/office/drawing/2014/chart" uri="{C3380CC4-5D6E-409C-BE32-E72D297353CC}">
              <c16:uniqueId val="{00000009-40B1-434F-919E-D2C444514AF1}"/>
            </c:ext>
          </c:extLst>
        </c:ser>
        <c:ser>
          <c:idx val="10"/>
          <c:order val="10"/>
          <c:tx>
            <c:strRef>
              <c:f>'En.el (2)'!$H$47</c:f>
              <c:strCache>
                <c:ptCount val="1"/>
                <c:pt idx="0">
                  <c:v>pozostałe</c:v>
                </c:pt>
              </c:strCache>
            </c:strRef>
          </c:tx>
          <c:spPr>
            <a:solidFill>
              <a:srgbClr val="A5A5A5"/>
            </a:solidFill>
            <a:ln>
              <a:noFill/>
            </a:ln>
            <a:effectLst/>
          </c:spPr>
          <c:invertIfNegative val="0"/>
          <c:cat>
            <c:numRef>
              <c:f>'En.el (2)'!$I$36:$M$36</c:f>
              <c:numCache>
                <c:formatCode>General</c:formatCode>
                <c:ptCount val="5"/>
                <c:pt idx="0">
                  <c:v>2023</c:v>
                </c:pt>
                <c:pt idx="1">
                  <c:v>2025</c:v>
                </c:pt>
                <c:pt idx="2">
                  <c:v>2030</c:v>
                </c:pt>
                <c:pt idx="3">
                  <c:v>2035</c:v>
                </c:pt>
                <c:pt idx="4">
                  <c:v>2040</c:v>
                </c:pt>
              </c:numCache>
            </c:numRef>
          </c:cat>
          <c:val>
            <c:numRef>
              <c:f>'En.el (2)'!$I$47:$M$47</c:f>
              <c:numCache>
                <c:formatCode>#\ ##0.0</c:formatCode>
                <c:ptCount val="5"/>
                <c:pt idx="0">
                  <c:v>0.62227900000000003</c:v>
                </c:pt>
                <c:pt idx="1">
                  <c:v>0.31008937406146175</c:v>
                </c:pt>
                <c:pt idx="2">
                  <c:v>0.30001302112519895</c:v>
                </c:pt>
                <c:pt idx="3">
                  <c:v>0.27488625947605899</c:v>
                </c:pt>
                <c:pt idx="4">
                  <c:v>0.18987590160533482</c:v>
                </c:pt>
              </c:numCache>
            </c:numRef>
          </c:val>
          <c:extLst>
            <c:ext xmlns:c16="http://schemas.microsoft.com/office/drawing/2014/chart" uri="{C3380CC4-5D6E-409C-BE32-E72D297353CC}">
              <c16:uniqueId val="{0000000A-40B1-434F-919E-D2C444514AF1}"/>
            </c:ext>
          </c:extLst>
        </c:ser>
        <c:dLbls>
          <c:showLegendKey val="0"/>
          <c:showVal val="0"/>
          <c:showCatName val="0"/>
          <c:showSerName val="0"/>
          <c:showPercent val="0"/>
          <c:showBubbleSize val="0"/>
        </c:dLbls>
        <c:gapWidth val="150"/>
        <c:overlap val="100"/>
        <c:axId val="1538127711"/>
        <c:axId val="1538130591"/>
      </c:barChart>
      <c:lineChart>
        <c:grouping val="standard"/>
        <c:varyColors val="0"/>
        <c:ser>
          <c:idx val="11"/>
          <c:order val="11"/>
          <c:tx>
            <c:strRef>
              <c:f>'En.el (2)'!$H$48</c:f>
              <c:strCache>
                <c:ptCount val="1"/>
                <c:pt idx="0">
                  <c:v>suma</c:v>
                </c:pt>
              </c:strCache>
            </c:strRef>
          </c:tx>
          <c:spPr>
            <a:ln w="28575" cap="rnd">
              <a:no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'En.el (2)'!$I$36:$M$36</c:f>
              <c:numCache>
                <c:formatCode>General</c:formatCode>
                <c:ptCount val="5"/>
                <c:pt idx="0">
                  <c:v>2023</c:v>
                </c:pt>
                <c:pt idx="1">
                  <c:v>2025</c:v>
                </c:pt>
                <c:pt idx="2">
                  <c:v>2030</c:v>
                </c:pt>
                <c:pt idx="3">
                  <c:v>2035</c:v>
                </c:pt>
                <c:pt idx="4">
                  <c:v>2040</c:v>
                </c:pt>
              </c:numCache>
            </c:numRef>
          </c:cat>
          <c:val>
            <c:numRef>
              <c:f>'En.el (2)'!$I$48:$M$48</c:f>
              <c:numCache>
                <c:formatCode>#,##0</c:formatCode>
                <c:ptCount val="5"/>
                <c:pt idx="0">
                  <c:v>66.405638999999994</c:v>
                </c:pt>
                <c:pt idx="1">
                  <c:v>69.63427999999999</c:v>
                </c:pt>
                <c:pt idx="2">
                  <c:v>96.131479999999982</c:v>
                </c:pt>
                <c:pt idx="3">
                  <c:v>111.20063</c:v>
                </c:pt>
                <c:pt idx="4">
                  <c:v>135.72391999999999</c:v>
                </c:pt>
              </c:numCache>
            </c:numRef>
          </c:val>
          <c:smooth val="0"/>
          <c:extLst>
            <c:ext xmlns:c16="http://schemas.microsoft.com/office/drawing/2014/chart" uri="{C3380CC4-5D6E-409C-BE32-E72D297353CC}">
              <c16:uniqueId val="{0000000B-40B1-434F-919E-D2C444514AF1}"/>
            </c:ext>
          </c:extLst>
        </c:ser>
        <c:dLbls>
          <c:showLegendKey val="0"/>
          <c:showVal val="0"/>
          <c:showCatName val="0"/>
          <c:showSerName val="0"/>
          <c:showPercent val="0"/>
          <c:showBubbleSize val="0"/>
        </c:dLbls>
        <c:marker val="1"/>
        <c:smooth val="0"/>
        <c:axId val="1538127711"/>
        <c:axId val="1538130591"/>
      </c:lineChart>
      <c:catAx>
        <c:axId val="15381277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Lato" panose="020F0502020204030203" pitchFamily="34" charset="-18"/>
                <a:ea typeface="+mn-ea"/>
                <a:cs typeface="+mn-cs"/>
              </a:defRPr>
            </a:pPr>
            <a:endParaRPr lang="pl-PL"/>
          </a:p>
        </c:txPr>
        <c:crossAx val="1538130591"/>
        <c:crosses val="autoZero"/>
        <c:auto val="1"/>
        <c:lblAlgn val="ctr"/>
        <c:lblOffset val="100"/>
        <c:noMultiLvlLbl val="0"/>
      </c:catAx>
      <c:valAx>
        <c:axId val="1538130591"/>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pl-PL"/>
                  <a:t>[GW]</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pl-PL"/>
            </a:p>
          </c:txPr>
        </c:title>
        <c:numFmt formatCode="#,##0" sourceLinked="0"/>
        <c:majorTickMark val="none"/>
        <c:minorTickMark val="none"/>
        <c:tickLblPos val="nextTo"/>
        <c:spPr>
          <a:noFill/>
          <a:ln>
            <a:solidFill>
              <a:schemeClr val="bg1">
                <a:lumMod val="85000"/>
              </a:schemeClr>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Lato" panose="020F0502020204030203" pitchFamily="34" charset="-18"/>
                <a:ea typeface="+mn-ea"/>
                <a:cs typeface="+mn-cs"/>
              </a:defRPr>
            </a:pPr>
            <a:endParaRPr lang="pl-PL"/>
          </a:p>
        </c:txPr>
        <c:crossAx val="1538127711"/>
        <c:crosses val="autoZero"/>
        <c:crossBetween val="between"/>
      </c:valAx>
      <c:spPr>
        <a:noFill/>
        <a:ln>
          <a:noFill/>
        </a:ln>
        <a:effectLst/>
      </c:spPr>
    </c:plotArea>
    <c:legend>
      <c:legendPos val="r"/>
      <c:legendEntry>
        <c:idx val="11"/>
        <c:delete val="1"/>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Lato" panose="020F0502020204030203" pitchFamily="34" charset="-18"/>
              <a:ea typeface="+mn-ea"/>
              <a:cs typeface="+mn-cs"/>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pl-PL"/>
    </a:p>
  </c:txPr>
  <c:externalData r:id="rId4">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5134618589342999"/>
          <c:y val="8.550896816525079E-2"/>
          <c:w val="0.59217337416156302"/>
          <c:h val="0.77602733355678433"/>
        </c:manualLayout>
      </c:layout>
      <c:barChart>
        <c:barDir val="col"/>
        <c:grouping val="stacked"/>
        <c:varyColors val="0"/>
        <c:ser>
          <c:idx val="0"/>
          <c:order val="0"/>
          <c:tx>
            <c:strRef>
              <c:f>'En.el (2)'!$H$6</c:f>
              <c:strCache>
                <c:ptCount val="1"/>
                <c:pt idx="0">
                  <c:v>węgiel kamienny</c:v>
                </c:pt>
              </c:strCache>
            </c:strRef>
          </c:tx>
          <c:spPr>
            <a:solidFill>
              <a:schemeClr val="tx1"/>
            </a:solidFill>
            <a:ln>
              <a:noFill/>
            </a:ln>
            <a:effectLst/>
          </c:spPr>
          <c:invertIfNegative val="0"/>
          <c:cat>
            <c:numRef>
              <c:f>'En.el (2)'!$P$5:$T$5</c:f>
              <c:numCache>
                <c:formatCode>General</c:formatCode>
                <c:ptCount val="5"/>
                <c:pt idx="0">
                  <c:v>2023</c:v>
                </c:pt>
                <c:pt idx="1">
                  <c:v>2025</c:v>
                </c:pt>
                <c:pt idx="2">
                  <c:v>2030</c:v>
                </c:pt>
                <c:pt idx="3">
                  <c:v>2035</c:v>
                </c:pt>
                <c:pt idx="4">
                  <c:v>2040</c:v>
                </c:pt>
              </c:numCache>
            </c:numRef>
          </c:cat>
          <c:val>
            <c:numRef>
              <c:f>'En.el (2)'!$I$6:$M$6</c:f>
              <c:numCache>
                <c:formatCode>0.0</c:formatCode>
                <c:ptCount val="5"/>
                <c:pt idx="0">
                  <c:v>65.914778999999996</c:v>
                </c:pt>
                <c:pt idx="1">
                  <c:v>64.561707957009602</c:v>
                </c:pt>
                <c:pt idx="2">
                  <c:v>31.934467561895993</c:v>
                </c:pt>
                <c:pt idx="3">
                  <c:v>16.497274632288001</c:v>
                </c:pt>
                <c:pt idx="4">
                  <c:v>4.103887890528001</c:v>
                </c:pt>
              </c:numCache>
            </c:numRef>
          </c:val>
          <c:extLst>
            <c:ext xmlns:c16="http://schemas.microsoft.com/office/drawing/2014/chart" uri="{C3380CC4-5D6E-409C-BE32-E72D297353CC}">
              <c16:uniqueId val="{00000000-443B-4E90-AA8C-646348C299B9}"/>
            </c:ext>
          </c:extLst>
        </c:ser>
        <c:ser>
          <c:idx val="1"/>
          <c:order val="1"/>
          <c:tx>
            <c:strRef>
              <c:f>'En.el (2)'!$H$7</c:f>
              <c:strCache>
                <c:ptCount val="1"/>
                <c:pt idx="0">
                  <c:v>węgiel brunatny</c:v>
                </c:pt>
              </c:strCache>
            </c:strRef>
          </c:tx>
          <c:spPr>
            <a:solidFill>
              <a:schemeClr val="accent2">
                <a:lumMod val="75000"/>
              </a:schemeClr>
            </a:solidFill>
            <a:ln>
              <a:noFill/>
            </a:ln>
            <a:effectLst/>
          </c:spPr>
          <c:invertIfNegative val="0"/>
          <c:cat>
            <c:numRef>
              <c:f>'En.el (2)'!$P$5:$T$5</c:f>
              <c:numCache>
                <c:formatCode>General</c:formatCode>
                <c:ptCount val="5"/>
                <c:pt idx="0">
                  <c:v>2023</c:v>
                </c:pt>
                <c:pt idx="1">
                  <c:v>2025</c:v>
                </c:pt>
                <c:pt idx="2">
                  <c:v>2030</c:v>
                </c:pt>
                <c:pt idx="3">
                  <c:v>2035</c:v>
                </c:pt>
                <c:pt idx="4">
                  <c:v>2040</c:v>
                </c:pt>
              </c:numCache>
            </c:numRef>
          </c:cat>
          <c:val>
            <c:numRef>
              <c:f>'En.el (2)'!$I$7:$M$7</c:f>
              <c:numCache>
                <c:formatCode>0.0</c:formatCode>
                <c:ptCount val="5"/>
                <c:pt idx="0">
                  <c:v>34.786866000000003</c:v>
                </c:pt>
                <c:pt idx="1">
                  <c:v>31.153357270180802</c:v>
                </c:pt>
                <c:pt idx="2">
                  <c:v>11.38970020212</c:v>
                </c:pt>
                <c:pt idx="3">
                  <c:v>2.9954183673600006</c:v>
                </c:pt>
                <c:pt idx="4">
                  <c:v>0</c:v>
                </c:pt>
              </c:numCache>
            </c:numRef>
          </c:val>
          <c:extLst>
            <c:ext xmlns:c16="http://schemas.microsoft.com/office/drawing/2014/chart" uri="{C3380CC4-5D6E-409C-BE32-E72D297353CC}">
              <c16:uniqueId val="{00000001-443B-4E90-AA8C-646348C299B9}"/>
            </c:ext>
          </c:extLst>
        </c:ser>
        <c:ser>
          <c:idx val="2"/>
          <c:order val="2"/>
          <c:tx>
            <c:strRef>
              <c:f>'En.el (2)'!$H$8</c:f>
              <c:strCache>
                <c:ptCount val="1"/>
                <c:pt idx="0">
                  <c:v>gaz ziemny i wodór</c:v>
                </c:pt>
              </c:strCache>
            </c:strRef>
          </c:tx>
          <c:spPr>
            <a:solidFill>
              <a:srgbClr val="FFC000"/>
            </a:solidFill>
            <a:ln>
              <a:noFill/>
            </a:ln>
            <a:effectLst/>
          </c:spPr>
          <c:invertIfNegative val="0"/>
          <c:cat>
            <c:numRef>
              <c:f>'En.el (2)'!$P$5:$T$5</c:f>
              <c:numCache>
                <c:formatCode>General</c:formatCode>
                <c:ptCount val="5"/>
                <c:pt idx="0">
                  <c:v>2023</c:v>
                </c:pt>
                <c:pt idx="1">
                  <c:v>2025</c:v>
                </c:pt>
                <c:pt idx="2">
                  <c:v>2030</c:v>
                </c:pt>
                <c:pt idx="3">
                  <c:v>2035</c:v>
                </c:pt>
                <c:pt idx="4">
                  <c:v>2040</c:v>
                </c:pt>
              </c:numCache>
            </c:numRef>
          </c:cat>
          <c:val>
            <c:numRef>
              <c:f>'En.el (2)'!$I$8:$M$8</c:f>
              <c:numCache>
                <c:formatCode>0.0</c:formatCode>
                <c:ptCount val="5"/>
                <c:pt idx="0">
                  <c:v>16.478955235000001</c:v>
                </c:pt>
                <c:pt idx="1">
                  <c:v>23.403835769999997</c:v>
                </c:pt>
                <c:pt idx="2">
                  <c:v>30.795093653999995</c:v>
                </c:pt>
                <c:pt idx="3">
                  <c:v>33.845319959999998</c:v>
                </c:pt>
                <c:pt idx="4">
                  <c:v>27.744371869999995</c:v>
                </c:pt>
              </c:numCache>
            </c:numRef>
          </c:val>
          <c:extLst>
            <c:ext xmlns:c16="http://schemas.microsoft.com/office/drawing/2014/chart" uri="{C3380CC4-5D6E-409C-BE32-E72D297353CC}">
              <c16:uniqueId val="{00000002-443B-4E90-AA8C-646348C299B9}"/>
            </c:ext>
          </c:extLst>
        </c:ser>
        <c:ser>
          <c:idx val="3"/>
          <c:order val="3"/>
          <c:tx>
            <c:strRef>
              <c:f>'En.el (2)'!$H$9</c:f>
              <c:strCache>
                <c:ptCount val="1"/>
                <c:pt idx="0">
                  <c:v>lądowa en. wiatrowa</c:v>
                </c:pt>
              </c:strCache>
            </c:strRef>
          </c:tx>
          <c:spPr>
            <a:solidFill>
              <a:srgbClr val="AFD498"/>
            </a:solidFill>
            <a:ln>
              <a:noFill/>
            </a:ln>
            <a:effectLst/>
          </c:spPr>
          <c:invertIfNegative val="0"/>
          <c:cat>
            <c:numRef>
              <c:f>'En.el (2)'!$P$5:$T$5</c:f>
              <c:numCache>
                <c:formatCode>General</c:formatCode>
                <c:ptCount val="5"/>
                <c:pt idx="0">
                  <c:v>2023</c:v>
                </c:pt>
                <c:pt idx="1">
                  <c:v>2025</c:v>
                </c:pt>
                <c:pt idx="2">
                  <c:v>2030</c:v>
                </c:pt>
                <c:pt idx="3">
                  <c:v>2035</c:v>
                </c:pt>
                <c:pt idx="4">
                  <c:v>2040</c:v>
                </c:pt>
              </c:numCache>
            </c:numRef>
          </c:cat>
          <c:val>
            <c:numRef>
              <c:f>'En.el (2)'!$I$9:$M$9</c:f>
              <c:numCache>
                <c:formatCode>0.0</c:formatCode>
                <c:ptCount val="5"/>
                <c:pt idx="0">
                  <c:v>23.233537090000002</c:v>
                </c:pt>
                <c:pt idx="1">
                  <c:v>28.559234764919957</c:v>
                </c:pt>
                <c:pt idx="2">
                  <c:v>47.37556960296012</c:v>
                </c:pt>
                <c:pt idx="3">
                  <c:v>59.162205430439954</c:v>
                </c:pt>
                <c:pt idx="4">
                  <c:v>69.45362898083998</c:v>
                </c:pt>
              </c:numCache>
            </c:numRef>
          </c:val>
          <c:extLst>
            <c:ext xmlns:c16="http://schemas.microsoft.com/office/drawing/2014/chart" uri="{C3380CC4-5D6E-409C-BE32-E72D297353CC}">
              <c16:uniqueId val="{00000003-443B-4E90-AA8C-646348C299B9}"/>
            </c:ext>
          </c:extLst>
        </c:ser>
        <c:ser>
          <c:idx val="4"/>
          <c:order val="4"/>
          <c:tx>
            <c:strRef>
              <c:f>'En.el (2)'!$H$10</c:f>
              <c:strCache>
                <c:ptCount val="1"/>
                <c:pt idx="0">
                  <c:v>morska en. wiatrowa</c:v>
                </c:pt>
              </c:strCache>
            </c:strRef>
          </c:tx>
          <c:spPr>
            <a:solidFill>
              <a:srgbClr val="8FC36B"/>
            </a:solidFill>
            <a:ln>
              <a:noFill/>
            </a:ln>
            <a:effectLst/>
          </c:spPr>
          <c:invertIfNegative val="0"/>
          <c:cat>
            <c:numRef>
              <c:f>'En.el (2)'!$P$5:$T$5</c:f>
              <c:numCache>
                <c:formatCode>General</c:formatCode>
                <c:ptCount val="5"/>
                <c:pt idx="0">
                  <c:v>2023</c:v>
                </c:pt>
                <c:pt idx="1">
                  <c:v>2025</c:v>
                </c:pt>
                <c:pt idx="2">
                  <c:v>2030</c:v>
                </c:pt>
                <c:pt idx="3">
                  <c:v>2035</c:v>
                </c:pt>
                <c:pt idx="4">
                  <c:v>2040</c:v>
                </c:pt>
              </c:numCache>
            </c:numRef>
          </c:cat>
          <c:val>
            <c:numRef>
              <c:f>'En.el (2)'!$I$10:$M$10</c:f>
              <c:numCache>
                <c:formatCode>0.0</c:formatCode>
                <c:ptCount val="5"/>
                <c:pt idx="0">
                  <c:v>0</c:v>
                </c:pt>
                <c:pt idx="1">
                  <c:v>0</c:v>
                </c:pt>
                <c:pt idx="2">
                  <c:v>21.650865599999996</c:v>
                </c:pt>
                <c:pt idx="3">
                  <c:v>45.489891599999993</c:v>
                </c:pt>
                <c:pt idx="4">
                  <c:v>67.361684400000001</c:v>
                </c:pt>
              </c:numCache>
            </c:numRef>
          </c:val>
          <c:extLst>
            <c:ext xmlns:c16="http://schemas.microsoft.com/office/drawing/2014/chart" uri="{C3380CC4-5D6E-409C-BE32-E72D297353CC}">
              <c16:uniqueId val="{00000004-443B-4E90-AA8C-646348C299B9}"/>
            </c:ext>
          </c:extLst>
        </c:ser>
        <c:ser>
          <c:idx val="5"/>
          <c:order val="5"/>
          <c:tx>
            <c:strRef>
              <c:f>'En.el (2)'!$H$11</c:f>
              <c:strCache>
                <c:ptCount val="1"/>
                <c:pt idx="0">
                  <c:v>PV</c:v>
                </c:pt>
              </c:strCache>
            </c:strRef>
          </c:tx>
          <c:spPr>
            <a:solidFill>
              <a:schemeClr val="accent6"/>
            </a:solidFill>
            <a:ln>
              <a:noFill/>
            </a:ln>
            <a:effectLst/>
          </c:spPr>
          <c:invertIfNegative val="0"/>
          <c:cat>
            <c:numRef>
              <c:f>'En.el (2)'!$P$5:$T$5</c:f>
              <c:numCache>
                <c:formatCode>General</c:formatCode>
                <c:ptCount val="5"/>
                <c:pt idx="0">
                  <c:v>2023</c:v>
                </c:pt>
                <c:pt idx="1">
                  <c:v>2025</c:v>
                </c:pt>
                <c:pt idx="2">
                  <c:v>2030</c:v>
                </c:pt>
                <c:pt idx="3">
                  <c:v>2035</c:v>
                </c:pt>
                <c:pt idx="4">
                  <c:v>2040</c:v>
                </c:pt>
              </c:numCache>
            </c:numRef>
          </c:cat>
          <c:val>
            <c:numRef>
              <c:f>'En.el (2)'!$I$11:$M$11</c:f>
              <c:numCache>
                <c:formatCode>0.0</c:formatCode>
                <c:ptCount val="5"/>
                <c:pt idx="0">
                  <c:v>11.395588581</c:v>
                </c:pt>
                <c:pt idx="1">
                  <c:v>15.327547200000001</c:v>
                </c:pt>
                <c:pt idx="2">
                  <c:v>24.604212</c:v>
                </c:pt>
                <c:pt idx="3">
                  <c:v>33.881928000000002</c:v>
                </c:pt>
                <c:pt idx="4">
                  <c:v>43.110149999999997</c:v>
                </c:pt>
              </c:numCache>
            </c:numRef>
          </c:val>
          <c:extLst>
            <c:ext xmlns:c16="http://schemas.microsoft.com/office/drawing/2014/chart" uri="{C3380CC4-5D6E-409C-BE32-E72D297353CC}">
              <c16:uniqueId val="{00000005-443B-4E90-AA8C-646348C299B9}"/>
            </c:ext>
          </c:extLst>
        </c:ser>
        <c:ser>
          <c:idx val="6"/>
          <c:order val="6"/>
          <c:tx>
            <c:strRef>
              <c:f>'En.el (2)'!$H$12</c:f>
              <c:strCache>
                <c:ptCount val="1"/>
                <c:pt idx="0">
                  <c:v>biomasa i biogaz</c:v>
                </c:pt>
              </c:strCache>
            </c:strRef>
          </c:tx>
          <c:spPr>
            <a:solidFill>
              <a:srgbClr val="008000"/>
            </a:solidFill>
            <a:ln>
              <a:noFill/>
            </a:ln>
            <a:effectLst/>
          </c:spPr>
          <c:invertIfNegative val="0"/>
          <c:cat>
            <c:numRef>
              <c:f>'En.el (2)'!$P$5:$T$5</c:f>
              <c:numCache>
                <c:formatCode>General</c:formatCode>
                <c:ptCount val="5"/>
                <c:pt idx="0">
                  <c:v>2023</c:v>
                </c:pt>
                <c:pt idx="1">
                  <c:v>2025</c:v>
                </c:pt>
                <c:pt idx="2">
                  <c:v>2030</c:v>
                </c:pt>
                <c:pt idx="3">
                  <c:v>2035</c:v>
                </c:pt>
                <c:pt idx="4">
                  <c:v>2040</c:v>
                </c:pt>
              </c:numCache>
            </c:numRef>
          </c:cat>
          <c:val>
            <c:numRef>
              <c:f>'En.el (2)'!$I$12:$M$12</c:f>
              <c:numCache>
                <c:formatCode>0.0</c:formatCode>
                <c:ptCount val="5"/>
                <c:pt idx="0">
                  <c:v>6.3522837979999993</c:v>
                </c:pt>
                <c:pt idx="1">
                  <c:v>9.0308969797776015</c:v>
                </c:pt>
                <c:pt idx="2">
                  <c:v>11.169101439048001</c:v>
                </c:pt>
                <c:pt idx="3">
                  <c:v>10.837988560560001</c:v>
                </c:pt>
                <c:pt idx="4">
                  <c:v>12.307687872000001</c:v>
                </c:pt>
              </c:numCache>
            </c:numRef>
          </c:val>
          <c:extLst>
            <c:ext xmlns:c16="http://schemas.microsoft.com/office/drawing/2014/chart" uri="{C3380CC4-5D6E-409C-BE32-E72D297353CC}">
              <c16:uniqueId val="{00000006-443B-4E90-AA8C-646348C299B9}"/>
            </c:ext>
          </c:extLst>
        </c:ser>
        <c:ser>
          <c:idx val="7"/>
          <c:order val="7"/>
          <c:tx>
            <c:strRef>
              <c:f>'En.el (2)'!$H$13</c:f>
              <c:strCache>
                <c:ptCount val="1"/>
                <c:pt idx="0">
                  <c:v>pozostałe OZE</c:v>
                </c:pt>
              </c:strCache>
            </c:strRef>
          </c:tx>
          <c:spPr>
            <a:solidFill>
              <a:srgbClr val="006600"/>
            </a:solidFill>
            <a:ln>
              <a:noFill/>
            </a:ln>
            <a:effectLst/>
          </c:spPr>
          <c:invertIfNegative val="0"/>
          <c:cat>
            <c:numRef>
              <c:f>'En.el (2)'!$P$5:$T$5</c:f>
              <c:numCache>
                <c:formatCode>General</c:formatCode>
                <c:ptCount val="5"/>
                <c:pt idx="0">
                  <c:v>2023</c:v>
                </c:pt>
                <c:pt idx="1">
                  <c:v>2025</c:v>
                </c:pt>
                <c:pt idx="2">
                  <c:v>2030</c:v>
                </c:pt>
                <c:pt idx="3">
                  <c:v>2035</c:v>
                </c:pt>
                <c:pt idx="4">
                  <c:v>2040</c:v>
                </c:pt>
              </c:numCache>
            </c:numRef>
          </c:cat>
          <c:val>
            <c:numRef>
              <c:f>'En.el (2)'!$I$13:$M$13</c:f>
              <c:numCache>
                <c:formatCode>0.0</c:formatCode>
                <c:ptCount val="5"/>
                <c:pt idx="0">
                  <c:v>2.457326637</c:v>
                </c:pt>
                <c:pt idx="1">
                  <c:v>2.5963588800000004</c:v>
                </c:pt>
                <c:pt idx="2">
                  <c:v>2.8808836799999997</c:v>
                </c:pt>
                <c:pt idx="3">
                  <c:v>2.9530660800000006</c:v>
                </c:pt>
                <c:pt idx="4">
                  <c:v>3.0252484800000001</c:v>
                </c:pt>
              </c:numCache>
            </c:numRef>
          </c:val>
          <c:extLst>
            <c:ext xmlns:c16="http://schemas.microsoft.com/office/drawing/2014/chart" uri="{C3380CC4-5D6E-409C-BE32-E72D297353CC}">
              <c16:uniqueId val="{00000007-443B-4E90-AA8C-646348C299B9}"/>
            </c:ext>
          </c:extLst>
        </c:ser>
        <c:ser>
          <c:idx val="8"/>
          <c:order val="8"/>
          <c:tx>
            <c:strRef>
              <c:f>'En.el (2)'!$H$14</c:f>
              <c:strCache>
                <c:ptCount val="1"/>
                <c:pt idx="0">
                  <c:v>en. jądrowa</c:v>
                </c:pt>
              </c:strCache>
            </c:strRef>
          </c:tx>
          <c:spPr>
            <a:solidFill>
              <a:srgbClr val="C00000"/>
            </a:solidFill>
            <a:ln>
              <a:noFill/>
            </a:ln>
            <a:effectLst/>
          </c:spPr>
          <c:invertIfNegative val="0"/>
          <c:cat>
            <c:numRef>
              <c:f>'En.el (2)'!$P$5:$T$5</c:f>
              <c:numCache>
                <c:formatCode>General</c:formatCode>
                <c:ptCount val="5"/>
                <c:pt idx="0">
                  <c:v>2023</c:v>
                </c:pt>
                <c:pt idx="1">
                  <c:v>2025</c:v>
                </c:pt>
                <c:pt idx="2">
                  <c:v>2030</c:v>
                </c:pt>
                <c:pt idx="3">
                  <c:v>2035</c:v>
                </c:pt>
                <c:pt idx="4">
                  <c:v>2040</c:v>
                </c:pt>
              </c:numCache>
            </c:numRef>
          </c:cat>
          <c:val>
            <c:numRef>
              <c:f>'En.el (2)'!$I$14:$M$14</c:f>
              <c:numCache>
                <c:formatCode>0.0</c:formatCode>
                <c:ptCount val="5"/>
                <c:pt idx="0">
                  <c:v>0</c:v>
                </c:pt>
                <c:pt idx="1">
                  <c:v>0</c:v>
                </c:pt>
                <c:pt idx="2">
                  <c:v>0</c:v>
                </c:pt>
                <c:pt idx="3">
                  <c:v>9.5199300000000004</c:v>
                </c:pt>
                <c:pt idx="4">
                  <c:v>58.050877500000006</c:v>
                </c:pt>
              </c:numCache>
            </c:numRef>
          </c:val>
          <c:extLst>
            <c:ext xmlns:c16="http://schemas.microsoft.com/office/drawing/2014/chart" uri="{C3380CC4-5D6E-409C-BE32-E72D297353CC}">
              <c16:uniqueId val="{00000008-443B-4E90-AA8C-646348C299B9}"/>
            </c:ext>
          </c:extLst>
        </c:ser>
        <c:ser>
          <c:idx val="9"/>
          <c:order val="9"/>
          <c:tx>
            <c:strRef>
              <c:f>'En.el (2)'!$H$15</c:f>
              <c:strCache>
                <c:ptCount val="1"/>
                <c:pt idx="0">
                  <c:v>magazyny i ESP</c:v>
                </c:pt>
              </c:strCache>
            </c:strRef>
          </c:tx>
          <c:spPr>
            <a:solidFill>
              <a:srgbClr val="0070C0"/>
            </a:solidFill>
            <a:ln>
              <a:noFill/>
            </a:ln>
            <a:effectLst/>
          </c:spPr>
          <c:invertIfNegative val="0"/>
          <c:cat>
            <c:numRef>
              <c:f>'En.el (2)'!$P$5:$T$5</c:f>
              <c:numCache>
                <c:formatCode>General</c:formatCode>
                <c:ptCount val="5"/>
                <c:pt idx="0">
                  <c:v>2023</c:v>
                </c:pt>
                <c:pt idx="1">
                  <c:v>2025</c:v>
                </c:pt>
                <c:pt idx="2">
                  <c:v>2030</c:v>
                </c:pt>
                <c:pt idx="3">
                  <c:v>2035</c:v>
                </c:pt>
                <c:pt idx="4">
                  <c:v>2040</c:v>
                </c:pt>
              </c:numCache>
            </c:numRef>
          </c:cat>
          <c:val>
            <c:numRef>
              <c:f>'En.el (2)'!$I$15:$M$15</c:f>
              <c:numCache>
                <c:formatCode>0.0</c:formatCode>
                <c:ptCount val="5"/>
                <c:pt idx="0">
                  <c:v>1.324519</c:v>
                </c:pt>
                <c:pt idx="1">
                  <c:v>1.2509621639999999</c:v>
                </c:pt>
                <c:pt idx="2">
                  <c:v>6.9442158119999995</c:v>
                </c:pt>
                <c:pt idx="3">
                  <c:v>9.6002653320000011</c:v>
                </c:pt>
                <c:pt idx="4">
                  <c:v>20.036363435999998</c:v>
                </c:pt>
              </c:numCache>
            </c:numRef>
          </c:val>
          <c:extLst>
            <c:ext xmlns:c16="http://schemas.microsoft.com/office/drawing/2014/chart" uri="{C3380CC4-5D6E-409C-BE32-E72D297353CC}">
              <c16:uniqueId val="{00000009-443B-4E90-AA8C-646348C299B9}"/>
            </c:ext>
          </c:extLst>
        </c:ser>
        <c:ser>
          <c:idx val="10"/>
          <c:order val="10"/>
          <c:tx>
            <c:strRef>
              <c:f>'En.el (2)'!$H$16</c:f>
              <c:strCache>
                <c:ptCount val="1"/>
                <c:pt idx="0">
                  <c:v>pozostałe</c:v>
                </c:pt>
              </c:strCache>
            </c:strRef>
          </c:tx>
          <c:spPr>
            <a:solidFill>
              <a:schemeClr val="accent3"/>
            </a:solidFill>
            <a:ln>
              <a:noFill/>
            </a:ln>
            <a:effectLst/>
          </c:spPr>
          <c:invertIfNegative val="0"/>
          <c:cat>
            <c:numRef>
              <c:f>'En.el (2)'!$P$5:$T$5</c:f>
              <c:numCache>
                <c:formatCode>General</c:formatCode>
                <c:ptCount val="5"/>
                <c:pt idx="0">
                  <c:v>2023</c:v>
                </c:pt>
                <c:pt idx="1">
                  <c:v>2025</c:v>
                </c:pt>
                <c:pt idx="2">
                  <c:v>2030</c:v>
                </c:pt>
                <c:pt idx="3">
                  <c:v>2035</c:v>
                </c:pt>
                <c:pt idx="4">
                  <c:v>2040</c:v>
                </c:pt>
              </c:numCache>
            </c:numRef>
          </c:cat>
          <c:val>
            <c:numRef>
              <c:f>'En.el (2)'!$I$16:$M$16</c:f>
              <c:numCache>
                <c:formatCode>0.0</c:formatCode>
                <c:ptCount val="5"/>
                <c:pt idx="0">
                  <c:v>4.4767304789999995</c:v>
                </c:pt>
                <c:pt idx="1">
                  <c:v>4.3294835170320001</c:v>
                </c:pt>
                <c:pt idx="2">
                  <c:v>3.8603749209359997</c:v>
                </c:pt>
                <c:pt idx="3">
                  <c:v>3.473808915792</c:v>
                </c:pt>
                <c:pt idx="4">
                  <c:v>2.7291488774719999</c:v>
                </c:pt>
              </c:numCache>
            </c:numRef>
          </c:val>
          <c:extLst>
            <c:ext xmlns:c16="http://schemas.microsoft.com/office/drawing/2014/chart" uri="{C3380CC4-5D6E-409C-BE32-E72D297353CC}">
              <c16:uniqueId val="{0000000A-443B-4E90-AA8C-646348C299B9}"/>
            </c:ext>
          </c:extLst>
        </c:ser>
        <c:dLbls>
          <c:showLegendKey val="0"/>
          <c:showVal val="0"/>
          <c:showCatName val="0"/>
          <c:showSerName val="0"/>
          <c:showPercent val="0"/>
          <c:showBubbleSize val="0"/>
        </c:dLbls>
        <c:gapWidth val="65"/>
        <c:overlap val="100"/>
        <c:axId val="888550496"/>
        <c:axId val="888554336"/>
      </c:barChart>
      <c:lineChart>
        <c:grouping val="standard"/>
        <c:varyColors val="0"/>
        <c:ser>
          <c:idx val="11"/>
          <c:order val="11"/>
          <c:tx>
            <c:strRef>
              <c:f>'En.el (2)'!$H$17</c:f>
              <c:strCache>
                <c:ptCount val="1"/>
                <c:pt idx="0">
                  <c:v>suma</c:v>
                </c:pt>
              </c:strCache>
            </c:strRef>
          </c:tx>
          <c:spPr>
            <a:ln w="28575" cap="rnd">
              <a:noFill/>
              <a:round/>
            </a:ln>
            <a:effectLst/>
          </c:spPr>
          <c:marker>
            <c:symbol val="none"/>
          </c:marker>
          <c:dLbls>
            <c:numFmt formatCode="#,##0" sourceLinked="0"/>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Lato" panose="020F0502020204030203" pitchFamily="34" charset="-18"/>
                    <a:ea typeface="+mn-ea"/>
                    <a:cs typeface="+mn-cs"/>
                  </a:defRPr>
                </a:pPr>
                <a:endParaRPr lang="pl-PL"/>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'En.el (2)'!$P$5:$T$5</c:f>
              <c:numCache>
                <c:formatCode>General</c:formatCode>
                <c:ptCount val="5"/>
                <c:pt idx="0">
                  <c:v>2023</c:v>
                </c:pt>
                <c:pt idx="1">
                  <c:v>2025</c:v>
                </c:pt>
                <c:pt idx="2">
                  <c:v>2030</c:v>
                </c:pt>
                <c:pt idx="3">
                  <c:v>2035</c:v>
                </c:pt>
                <c:pt idx="4">
                  <c:v>2040</c:v>
                </c:pt>
              </c:numCache>
            </c:numRef>
          </c:cat>
          <c:val>
            <c:numRef>
              <c:f>'En.el (2)'!$I$17:$M$17</c:f>
              <c:numCache>
                <c:formatCode>0.0</c:formatCode>
                <c:ptCount val="5"/>
                <c:pt idx="0">
                  <c:v>166.42058582000001</c:v>
                </c:pt>
                <c:pt idx="1">
                  <c:v>180.21338450291995</c:v>
                </c:pt>
                <c:pt idx="2">
                  <c:v>192.60448447296014</c:v>
                </c:pt>
                <c:pt idx="3">
                  <c:v>228.25709687843997</c:v>
                </c:pt>
                <c:pt idx="4">
                  <c:v>307.92304930683997</c:v>
                </c:pt>
              </c:numCache>
            </c:numRef>
          </c:val>
          <c:smooth val="0"/>
          <c:extLst>
            <c:ext xmlns:c16="http://schemas.microsoft.com/office/drawing/2014/chart" uri="{C3380CC4-5D6E-409C-BE32-E72D297353CC}">
              <c16:uniqueId val="{0000000B-443B-4E90-AA8C-646348C299B9}"/>
            </c:ext>
          </c:extLst>
        </c:ser>
        <c:dLbls>
          <c:showLegendKey val="0"/>
          <c:showVal val="0"/>
          <c:showCatName val="0"/>
          <c:showSerName val="0"/>
          <c:showPercent val="0"/>
          <c:showBubbleSize val="0"/>
        </c:dLbls>
        <c:marker val="1"/>
        <c:smooth val="0"/>
        <c:axId val="888550496"/>
        <c:axId val="888554336"/>
      </c:lineChart>
      <c:catAx>
        <c:axId val="8885504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Lato" panose="020F0502020204030203" pitchFamily="34" charset="-18"/>
                <a:ea typeface="+mn-ea"/>
                <a:cs typeface="+mn-cs"/>
              </a:defRPr>
            </a:pPr>
            <a:endParaRPr lang="pl-PL"/>
          </a:p>
        </c:txPr>
        <c:crossAx val="888554336"/>
        <c:crosses val="autoZero"/>
        <c:auto val="1"/>
        <c:lblAlgn val="ctr"/>
        <c:lblOffset val="100"/>
        <c:noMultiLvlLbl val="0"/>
      </c:catAx>
      <c:valAx>
        <c:axId val="888554336"/>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Lato" panose="020F0502020204030203" pitchFamily="34" charset="-18"/>
                    <a:ea typeface="+mn-ea"/>
                    <a:cs typeface="+mn-cs"/>
                  </a:defRPr>
                </a:pPr>
                <a:r>
                  <a:rPr lang="pl-PL"/>
                  <a:t>[TWh]</a:t>
                </a:r>
              </a:p>
            </c:rich>
          </c:tx>
          <c:layout>
            <c:manualLayout>
              <c:xMode val="edge"/>
              <c:yMode val="edge"/>
              <c:x val="5.5398977905539597E-2"/>
              <c:y val="0.40183548104633482"/>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Lato" panose="020F0502020204030203" pitchFamily="34" charset="-18"/>
                  <a:ea typeface="+mn-ea"/>
                  <a:cs typeface="+mn-cs"/>
                </a:defRPr>
              </a:pPr>
              <a:endParaRPr lang="pl-PL"/>
            </a:p>
          </c:txPr>
        </c:title>
        <c:numFmt formatCode="0" sourceLinked="0"/>
        <c:majorTickMark val="none"/>
        <c:minorTickMark val="none"/>
        <c:tickLblPos val="nextTo"/>
        <c:spPr>
          <a:noFill/>
          <a:ln>
            <a:solidFill>
              <a:schemeClr val="bg1">
                <a:lumMod val="85000"/>
              </a:schemeClr>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Lato" panose="020F0502020204030203" pitchFamily="34" charset="-18"/>
                <a:ea typeface="+mn-ea"/>
                <a:cs typeface="+mn-cs"/>
              </a:defRPr>
            </a:pPr>
            <a:endParaRPr lang="pl-PL"/>
          </a:p>
        </c:txPr>
        <c:crossAx val="888550496"/>
        <c:crosses val="autoZero"/>
        <c:crossBetween val="between"/>
      </c:valAx>
      <c:spPr>
        <a:noFill/>
        <a:ln>
          <a:noFill/>
        </a:ln>
        <a:effectLst/>
      </c:spPr>
    </c:plotArea>
    <c:legend>
      <c:legendPos val="r"/>
      <c:legendEntry>
        <c:idx val="11"/>
        <c:delete val="1"/>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Lato" panose="020F0502020204030203" pitchFamily="34" charset="-18"/>
              <a:ea typeface="+mn-ea"/>
              <a:cs typeface="+mn-cs"/>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latin typeface="Lato" panose="020F0502020204030203" pitchFamily="34" charset="-18"/>
        </a:defRPr>
      </a:pPr>
      <a:endParaRPr lang="pl-PL"/>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areaChart>
        <c:grouping val="stacked"/>
        <c:varyColors val="0"/>
        <c:ser>
          <c:idx val="0"/>
          <c:order val="0"/>
          <c:tx>
            <c:strRef>
              <c:f>OZE_wykr!$A$20</c:f>
              <c:strCache>
                <c:ptCount val="1"/>
                <c:pt idx="0">
                  <c:v>OZE w transpocie</c:v>
                </c:pt>
              </c:strCache>
            </c:strRef>
          </c:tx>
          <c:spPr>
            <a:solidFill>
              <a:srgbClr val="006600"/>
            </a:solidFill>
            <a:ln w="25400">
              <a:noFill/>
            </a:ln>
            <a:effectLst/>
          </c:spPr>
          <c:cat>
            <c:numRef>
              <c:f>OZE_wykr!$B$19:$I$19</c:f>
              <c:numCache>
                <c:formatCode>General</c:formatCode>
                <c:ptCount val="8"/>
                <c:pt idx="0">
                  <c:v>2005</c:v>
                </c:pt>
                <c:pt idx="1">
                  <c:v>2010</c:v>
                </c:pt>
                <c:pt idx="2">
                  <c:v>2015</c:v>
                </c:pt>
                <c:pt idx="3">
                  <c:v>2020</c:v>
                </c:pt>
                <c:pt idx="4">
                  <c:v>2025</c:v>
                </c:pt>
                <c:pt idx="5">
                  <c:v>2030</c:v>
                </c:pt>
                <c:pt idx="6">
                  <c:v>2035</c:v>
                </c:pt>
                <c:pt idx="7">
                  <c:v>2040</c:v>
                </c:pt>
              </c:numCache>
            </c:numRef>
          </c:cat>
          <c:val>
            <c:numRef>
              <c:f>OZE_wykr!$B$20:$I$20</c:f>
              <c:numCache>
                <c:formatCode>0</c:formatCode>
                <c:ptCount val="8"/>
                <c:pt idx="0">
                  <c:v>178</c:v>
                </c:pt>
                <c:pt idx="1">
                  <c:v>993</c:v>
                </c:pt>
                <c:pt idx="2">
                  <c:v>824</c:v>
                </c:pt>
                <c:pt idx="3">
                  <c:v>1291</c:v>
                </c:pt>
                <c:pt idx="4">
                  <c:v>1998.6539637082035</c:v>
                </c:pt>
                <c:pt idx="5">
                  <c:v>2625.7929168513706</c:v>
                </c:pt>
                <c:pt idx="6">
                  <c:v>3385.3264547705103</c:v>
                </c:pt>
                <c:pt idx="7">
                  <c:v>4135.3208927052829</c:v>
                </c:pt>
              </c:numCache>
            </c:numRef>
          </c:val>
          <c:extLst>
            <c:ext xmlns:c16="http://schemas.microsoft.com/office/drawing/2014/chart" uri="{C3380CC4-5D6E-409C-BE32-E72D297353CC}">
              <c16:uniqueId val="{00000000-7539-40BF-80B4-6DC3180937B6}"/>
            </c:ext>
          </c:extLst>
        </c:ser>
        <c:ser>
          <c:idx val="1"/>
          <c:order val="1"/>
          <c:tx>
            <c:strRef>
              <c:f>OZE_wykr!$A$21</c:f>
              <c:strCache>
                <c:ptCount val="1"/>
                <c:pt idx="0">
                  <c:v>OZE w ciepłownictwie</c:v>
                </c:pt>
              </c:strCache>
            </c:strRef>
          </c:tx>
          <c:spPr>
            <a:solidFill>
              <a:srgbClr val="009900"/>
            </a:solidFill>
            <a:ln w="25400">
              <a:noFill/>
            </a:ln>
            <a:effectLst/>
          </c:spPr>
          <c:cat>
            <c:numRef>
              <c:f>OZE_wykr!$B$19:$I$19</c:f>
              <c:numCache>
                <c:formatCode>General</c:formatCode>
                <c:ptCount val="8"/>
                <c:pt idx="0">
                  <c:v>2005</c:v>
                </c:pt>
                <c:pt idx="1">
                  <c:v>2010</c:v>
                </c:pt>
                <c:pt idx="2">
                  <c:v>2015</c:v>
                </c:pt>
                <c:pt idx="3">
                  <c:v>2020</c:v>
                </c:pt>
                <c:pt idx="4">
                  <c:v>2025</c:v>
                </c:pt>
                <c:pt idx="5">
                  <c:v>2030</c:v>
                </c:pt>
                <c:pt idx="6">
                  <c:v>2035</c:v>
                </c:pt>
                <c:pt idx="7">
                  <c:v>2040</c:v>
                </c:pt>
              </c:numCache>
            </c:numRef>
          </c:cat>
          <c:val>
            <c:numRef>
              <c:f>OZE_wykr!$B$21:$I$21</c:f>
              <c:numCache>
                <c:formatCode>0</c:formatCode>
                <c:ptCount val="8"/>
                <c:pt idx="0">
                  <c:v>3868</c:v>
                </c:pt>
                <c:pt idx="1">
                  <c:v>4677</c:v>
                </c:pt>
                <c:pt idx="2">
                  <c:v>5224</c:v>
                </c:pt>
                <c:pt idx="3">
                  <c:v>8507</c:v>
                </c:pt>
                <c:pt idx="4">
                  <c:v>9155.5114767296909</c:v>
                </c:pt>
                <c:pt idx="5">
                  <c:v>10432.667999070602</c:v>
                </c:pt>
                <c:pt idx="6">
                  <c:v>12357.274364388595</c:v>
                </c:pt>
                <c:pt idx="7">
                  <c:v>15586.403571184479</c:v>
                </c:pt>
              </c:numCache>
            </c:numRef>
          </c:val>
          <c:extLst>
            <c:ext xmlns:c16="http://schemas.microsoft.com/office/drawing/2014/chart" uri="{C3380CC4-5D6E-409C-BE32-E72D297353CC}">
              <c16:uniqueId val="{00000001-7539-40BF-80B4-6DC3180937B6}"/>
            </c:ext>
          </c:extLst>
        </c:ser>
        <c:ser>
          <c:idx val="2"/>
          <c:order val="2"/>
          <c:tx>
            <c:strRef>
              <c:f>OZE_wykr!$A$22</c:f>
              <c:strCache>
                <c:ptCount val="1"/>
                <c:pt idx="0">
                  <c:v>OZE w elektroenegetyce</c:v>
                </c:pt>
              </c:strCache>
            </c:strRef>
          </c:tx>
          <c:spPr>
            <a:solidFill>
              <a:srgbClr val="92D050"/>
            </a:solidFill>
            <a:ln w="25400">
              <a:noFill/>
            </a:ln>
            <a:effectLst/>
          </c:spPr>
          <c:cat>
            <c:numRef>
              <c:f>OZE_wykr!$B$19:$I$19</c:f>
              <c:numCache>
                <c:formatCode>General</c:formatCode>
                <c:ptCount val="8"/>
                <c:pt idx="0">
                  <c:v>2005</c:v>
                </c:pt>
                <c:pt idx="1">
                  <c:v>2010</c:v>
                </c:pt>
                <c:pt idx="2">
                  <c:v>2015</c:v>
                </c:pt>
                <c:pt idx="3">
                  <c:v>2020</c:v>
                </c:pt>
                <c:pt idx="4">
                  <c:v>2025</c:v>
                </c:pt>
                <c:pt idx="5">
                  <c:v>2030</c:v>
                </c:pt>
                <c:pt idx="6">
                  <c:v>2035</c:v>
                </c:pt>
                <c:pt idx="7">
                  <c:v>2040</c:v>
                </c:pt>
              </c:numCache>
            </c:numRef>
          </c:cat>
          <c:val>
            <c:numRef>
              <c:f>OZE_wykr!$B$22:$I$22</c:f>
              <c:numCache>
                <c:formatCode>0</c:formatCode>
                <c:ptCount val="8"/>
                <c:pt idx="0">
                  <c:v>257</c:v>
                </c:pt>
                <c:pt idx="1">
                  <c:v>824</c:v>
                </c:pt>
                <c:pt idx="2">
                  <c:v>1818</c:v>
                </c:pt>
                <c:pt idx="3">
                  <c:v>2292</c:v>
                </c:pt>
                <c:pt idx="4">
                  <c:v>4704.924022879969</c:v>
                </c:pt>
                <c:pt idx="5">
                  <c:v>8988.5356501991027</c:v>
                </c:pt>
                <c:pt idx="6">
                  <c:v>13044.302863301991</c:v>
                </c:pt>
                <c:pt idx="7">
                  <c:v>17243.489968785278</c:v>
                </c:pt>
              </c:numCache>
            </c:numRef>
          </c:val>
          <c:extLst>
            <c:ext xmlns:c16="http://schemas.microsoft.com/office/drawing/2014/chart" uri="{C3380CC4-5D6E-409C-BE32-E72D297353CC}">
              <c16:uniqueId val="{00000002-7539-40BF-80B4-6DC3180937B6}"/>
            </c:ext>
          </c:extLst>
        </c:ser>
        <c:dLbls>
          <c:showLegendKey val="0"/>
          <c:showVal val="0"/>
          <c:showCatName val="0"/>
          <c:showSerName val="0"/>
          <c:showPercent val="0"/>
          <c:showBubbleSize val="0"/>
        </c:dLbls>
        <c:axId val="1379044936"/>
        <c:axId val="1379045328"/>
      </c:areaChart>
      <c:lineChart>
        <c:grouping val="standard"/>
        <c:varyColors val="0"/>
        <c:dLbls>
          <c:showLegendKey val="0"/>
          <c:showVal val="0"/>
          <c:showCatName val="0"/>
          <c:showSerName val="0"/>
          <c:showPercent val="0"/>
          <c:showBubbleSize val="0"/>
        </c:dLbls>
        <c:marker val="1"/>
        <c:smooth val="0"/>
        <c:axId val="1379044936"/>
        <c:axId val="1379045328"/>
        <c:extLst>
          <c:ext xmlns:c15="http://schemas.microsoft.com/office/drawing/2012/chart" uri="{02D57815-91ED-43cb-92C2-25804820EDAC}">
            <c15:filteredLineSeries>
              <c15:ser>
                <c:idx val="4"/>
                <c:order val="4"/>
                <c:tx>
                  <c:strRef>
                    <c:extLst>
                      <c:ext uri="{02D57815-91ED-43cb-92C2-25804820EDAC}">
                        <c15:formulaRef>
                          <c15:sqref>OZE_wykr!$A$31</c15:sqref>
                        </c15:formulaRef>
                      </c:ext>
                    </c:extLst>
                    <c:strCache>
                      <c:ptCount val="1"/>
                      <c:pt idx="0">
                        <c:v>OZE - transport (KPEiK 2019)</c:v>
                      </c:pt>
                    </c:strCache>
                  </c:strRef>
                </c:tx>
                <c:spPr>
                  <a:ln w="28575" cap="rnd">
                    <a:solidFill>
                      <a:srgbClr val="FFC000"/>
                    </a:solidFill>
                    <a:prstDash val="sysDot"/>
                    <a:round/>
                  </a:ln>
                  <a:effectLst/>
                </c:spPr>
                <c:marker>
                  <c:symbol val="none"/>
                </c:marker>
                <c:cat>
                  <c:numRef>
                    <c:extLst>
                      <c:ext uri="{02D57815-91ED-43cb-92C2-25804820EDAC}">
                        <c15:formulaRef>
                          <c15:sqref>OZE_wykr!$B$19:$I$19</c15:sqref>
                        </c15:formulaRef>
                      </c:ext>
                    </c:extLst>
                    <c:numCache>
                      <c:formatCode>General</c:formatCode>
                      <c:ptCount val="8"/>
                      <c:pt idx="0">
                        <c:v>2005</c:v>
                      </c:pt>
                      <c:pt idx="1">
                        <c:v>2010</c:v>
                      </c:pt>
                      <c:pt idx="2">
                        <c:v>2015</c:v>
                      </c:pt>
                      <c:pt idx="3">
                        <c:v>2020</c:v>
                      </c:pt>
                      <c:pt idx="4">
                        <c:v>2025</c:v>
                      </c:pt>
                      <c:pt idx="5">
                        <c:v>2030</c:v>
                      </c:pt>
                      <c:pt idx="6">
                        <c:v>2035</c:v>
                      </c:pt>
                      <c:pt idx="7">
                        <c:v>2040</c:v>
                      </c:pt>
                    </c:numCache>
                  </c:numRef>
                </c:cat>
                <c:val>
                  <c:numRef>
                    <c:extLst>
                      <c:ext uri="{02D57815-91ED-43cb-92C2-25804820EDAC}">
                        <c15:formulaRef>
                          <c15:sqref>OZE_wykr!$B$31:$G$31</c15:sqref>
                        </c15:formulaRef>
                      </c:ext>
                    </c:extLst>
                    <c:numCache>
                      <c:formatCode>0</c:formatCode>
                      <c:ptCount val="6"/>
                      <c:pt idx="0">
                        <c:v>95.163551280213994</c:v>
                      </c:pt>
                      <c:pt idx="1">
                        <c:v>916.18889653195765</c:v>
                      </c:pt>
                      <c:pt idx="2">
                        <c:v>721.23143594153055</c:v>
                      </c:pt>
                      <c:pt idx="3">
                        <c:v>1612.9681989602047</c:v>
                      </c:pt>
                      <c:pt idx="4">
                        <c:v>1677.2291499912094</c:v>
                      </c:pt>
                      <c:pt idx="5">
                        <c:v>1707.7455079770668</c:v>
                      </c:pt>
                    </c:numCache>
                  </c:numRef>
                </c:val>
                <c:smooth val="0"/>
                <c:extLst>
                  <c:ext xmlns:c16="http://schemas.microsoft.com/office/drawing/2014/chart" uri="{C3380CC4-5D6E-409C-BE32-E72D297353CC}">
                    <c16:uniqueId val="{00000008-7539-40BF-80B4-6DC3180937B6}"/>
                  </c:ext>
                </c:extLst>
              </c15:ser>
            </c15:filteredLineSeries>
            <c15:filteredLineSeries>
              <c15:ser>
                <c:idx val="5"/>
                <c:order val="5"/>
                <c:tx>
                  <c:strRef>
                    <c:extLst xmlns:c15="http://schemas.microsoft.com/office/drawing/2012/chart">
                      <c:ext xmlns:c15="http://schemas.microsoft.com/office/drawing/2012/chart" uri="{02D57815-91ED-43cb-92C2-25804820EDAC}">
                        <c15:formulaRef>
                          <c15:sqref>OZE_wykr!$A$32</c15:sqref>
                        </c15:formulaRef>
                      </c:ext>
                    </c:extLst>
                    <c:strCache>
                      <c:ptCount val="1"/>
                      <c:pt idx="0">
                        <c:v>OZE - ciepłownictwo (KPEiK 2019)</c:v>
                      </c:pt>
                    </c:strCache>
                  </c:strRef>
                </c:tx>
                <c:spPr>
                  <a:ln w="28575" cap="rnd">
                    <a:solidFill>
                      <a:schemeClr val="accent4">
                        <a:lumMod val="75000"/>
                      </a:schemeClr>
                    </a:solidFill>
                    <a:prstDash val="sysDot"/>
                    <a:round/>
                  </a:ln>
                  <a:effectLst/>
                </c:spPr>
                <c:marker>
                  <c:symbol val="none"/>
                </c:marker>
                <c:cat>
                  <c:numRef>
                    <c:extLst xmlns:c15="http://schemas.microsoft.com/office/drawing/2012/chart">
                      <c:ext xmlns:c15="http://schemas.microsoft.com/office/drawing/2012/chart" uri="{02D57815-91ED-43cb-92C2-25804820EDAC}">
                        <c15:formulaRef>
                          <c15:sqref>OZE_wykr!$B$19:$I$19</c15:sqref>
                        </c15:formulaRef>
                      </c:ext>
                    </c:extLst>
                    <c:numCache>
                      <c:formatCode>General</c:formatCode>
                      <c:ptCount val="8"/>
                      <c:pt idx="0">
                        <c:v>2005</c:v>
                      </c:pt>
                      <c:pt idx="1">
                        <c:v>2010</c:v>
                      </c:pt>
                      <c:pt idx="2">
                        <c:v>2015</c:v>
                      </c:pt>
                      <c:pt idx="3">
                        <c:v>2020</c:v>
                      </c:pt>
                      <c:pt idx="4">
                        <c:v>2025</c:v>
                      </c:pt>
                      <c:pt idx="5">
                        <c:v>2030</c:v>
                      </c:pt>
                      <c:pt idx="6">
                        <c:v>2035</c:v>
                      </c:pt>
                      <c:pt idx="7">
                        <c:v>2040</c:v>
                      </c:pt>
                    </c:numCache>
                  </c:numRef>
                </c:cat>
                <c:val>
                  <c:numRef>
                    <c:extLst xmlns:c15="http://schemas.microsoft.com/office/drawing/2012/chart">
                      <c:ext xmlns:c15="http://schemas.microsoft.com/office/drawing/2012/chart" uri="{02D57815-91ED-43cb-92C2-25804820EDAC}">
                        <c15:formulaRef>
                          <c15:sqref>OZE_wykr!$B$32:$G$32</c15:sqref>
                        </c15:formulaRef>
                      </c:ext>
                    </c:extLst>
                    <c:numCache>
                      <c:formatCode>0</c:formatCode>
                      <c:ptCount val="6"/>
                      <c:pt idx="0">
                        <c:v>4045.6077194993791</c:v>
                      </c:pt>
                      <c:pt idx="1">
                        <c:v>5634.6215004784144</c:v>
                      </c:pt>
                      <c:pt idx="2">
                        <c:v>5940.6837734051951</c:v>
                      </c:pt>
                      <c:pt idx="3">
                        <c:v>7453.840868390439</c:v>
                      </c:pt>
                      <c:pt idx="4">
                        <c:v>9602.337243549644</c:v>
                      </c:pt>
                      <c:pt idx="5">
                        <c:v>11653.04223197819</c:v>
                      </c:pt>
                    </c:numCache>
                  </c:numRef>
                </c:val>
                <c:smooth val="0"/>
                <c:extLst xmlns:c15="http://schemas.microsoft.com/office/drawing/2012/chart">
                  <c:ext xmlns:c16="http://schemas.microsoft.com/office/drawing/2014/chart" uri="{C3380CC4-5D6E-409C-BE32-E72D297353CC}">
                    <c16:uniqueId val="{00000009-7539-40BF-80B4-6DC3180937B6}"/>
                  </c:ext>
                </c:extLst>
              </c15:ser>
            </c15:filteredLineSeries>
            <c15:filteredLineSeries>
              <c15:ser>
                <c:idx val="6"/>
                <c:order val="6"/>
                <c:tx>
                  <c:strRef>
                    <c:extLst xmlns:c15="http://schemas.microsoft.com/office/drawing/2012/chart">
                      <c:ext xmlns:c15="http://schemas.microsoft.com/office/drawing/2012/chart" uri="{02D57815-91ED-43cb-92C2-25804820EDAC}">
                        <c15:formulaRef>
                          <c15:sqref>OZE_wykr!$A$33</c15:sqref>
                        </c15:formulaRef>
                      </c:ext>
                    </c:extLst>
                    <c:strCache>
                      <c:ptCount val="1"/>
                      <c:pt idx="0">
                        <c:v>OZE - en. elektr. (KPEiK 2019)</c:v>
                      </c:pt>
                    </c:strCache>
                  </c:strRef>
                </c:tx>
                <c:spPr>
                  <a:ln w="28575" cap="rnd">
                    <a:solidFill>
                      <a:schemeClr val="accent2"/>
                    </a:solidFill>
                    <a:prstDash val="sysDot"/>
                    <a:round/>
                  </a:ln>
                  <a:effectLst/>
                </c:spPr>
                <c:marker>
                  <c:symbol val="none"/>
                </c:marker>
                <c:cat>
                  <c:numRef>
                    <c:extLst xmlns:c15="http://schemas.microsoft.com/office/drawing/2012/chart">
                      <c:ext xmlns:c15="http://schemas.microsoft.com/office/drawing/2012/chart" uri="{02D57815-91ED-43cb-92C2-25804820EDAC}">
                        <c15:formulaRef>
                          <c15:sqref>OZE_wykr!$B$19:$I$19</c15:sqref>
                        </c15:formulaRef>
                      </c:ext>
                    </c:extLst>
                    <c:numCache>
                      <c:formatCode>General</c:formatCode>
                      <c:ptCount val="8"/>
                      <c:pt idx="0">
                        <c:v>2005</c:v>
                      </c:pt>
                      <c:pt idx="1">
                        <c:v>2010</c:v>
                      </c:pt>
                      <c:pt idx="2">
                        <c:v>2015</c:v>
                      </c:pt>
                      <c:pt idx="3">
                        <c:v>2020</c:v>
                      </c:pt>
                      <c:pt idx="4">
                        <c:v>2025</c:v>
                      </c:pt>
                      <c:pt idx="5">
                        <c:v>2030</c:v>
                      </c:pt>
                      <c:pt idx="6">
                        <c:v>2035</c:v>
                      </c:pt>
                      <c:pt idx="7">
                        <c:v>2040</c:v>
                      </c:pt>
                    </c:numCache>
                  </c:numRef>
                </c:cat>
                <c:val>
                  <c:numRef>
                    <c:extLst xmlns:c15="http://schemas.microsoft.com/office/drawing/2012/chart">
                      <c:ext xmlns:c15="http://schemas.microsoft.com/office/drawing/2012/chart" uri="{02D57815-91ED-43cb-92C2-25804820EDAC}">
                        <c15:formulaRef>
                          <c15:sqref>OZE_wykr!$B$33:$G$33</c15:sqref>
                        </c15:formulaRef>
                      </c:ext>
                    </c:extLst>
                    <c:numCache>
                      <c:formatCode>0</c:formatCode>
                      <c:ptCount val="6"/>
                      <c:pt idx="0">
                        <c:v>4377.7175385928913</c:v>
                      </c:pt>
                      <c:pt idx="1">
                        <c:v>6560.2660843423564</c:v>
                      </c:pt>
                      <c:pt idx="2">
                        <c:v>7942.2871243367017</c:v>
                      </c:pt>
                      <c:pt idx="3">
                        <c:v>13167.39559877902</c:v>
                      </c:pt>
                      <c:pt idx="4">
                        <c:v>15157.680068355348</c:v>
                      </c:pt>
                      <c:pt idx="5">
                        <c:v>18551.420770360492</c:v>
                      </c:pt>
                    </c:numCache>
                  </c:numRef>
                </c:val>
                <c:smooth val="0"/>
                <c:extLst xmlns:c15="http://schemas.microsoft.com/office/drawing/2012/chart">
                  <c:ext xmlns:c16="http://schemas.microsoft.com/office/drawing/2014/chart" uri="{C3380CC4-5D6E-409C-BE32-E72D297353CC}">
                    <c16:uniqueId val="{0000000A-7539-40BF-80B4-6DC3180937B6}"/>
                  </c:ext>
                </c:extLst>
              </c15:ser>
            </c15:filteredLineSeries>
          </c:ext>
        </c:extLst>
      </c:lineChart>
      <c:lineChart>
        <c:grouping val="standard"/>
        <c:varyColors val="0"/>
        <c:ser>
          <c:idx val="3"/>
          <c:order val="3"/>
          <c:tx>
            <c:strRef>
              <c:f>OZE_wykr!$A$23</c:f>
              <c:strCache>
                <c:ptCount val="1"/>
                <c:pt idx="0">
                  <c:v>OZE w finalnym zużyciu energii brutto [%]</c:v>
                </c:pt>
              </c:strCache>
            </c:strRef>
          </c:tx>
          <c:spPr>
            <a:ln w="28575" cap="rnd">
              <a:solidFill>
                <a:srgbClr val="006600"/>
              </a:solidFill>
              <a:round/>
            </a:ln>
            <a:effectLst/>
          </c:spPr>
          <c:marker>
            <c:symbol val="circle"/>
            <c:size val="6"/>
            <c:spPr>
              <a:solidFill>
                <a:srgbClr val="006600"/>
              </a:solidFill>
              <a:ln w="9525">
                <a:solidFill>
                  <a:srgbClr val="006600"/>
                </a:solidFill>
              </a:ln>
              <a:effectLst/>
            </c:spPr>
          </c:marker>
          <c:dLbls>
            <c:dLbl>
              <c:idx val="5"/>
              <c:tx>
                <c:rich>
                  <a:bodyPr rot="0" spcFirstLastPara="1" vertOverflow="ellipsis" vert="horz" wrap="square" anchor="ctr" anchorCtr="1"/>
                  <a:lstStyle/>
                  <a:p>
                    <a:pPr>
                      <a:defRPr sz="1000" b="1" i="0" u="none" strike="noStrike" kern="1200" baseline="0">
                        <a:solidFill>
                          <a:schemeClr val="tx1">
                            <a:lumMod val="75000"/>
                            <a:lumOff val="25000"/>
                          </a:schemeClr>
                        </a:solidFill>
                        <a:latin typeface="Lato" panose="020F0502020204030203" pitchFamily="34" charset="-18"/>
                        <a:ea typeface="+mn-ea"/>
                        <a:cs typeface="+mn-cs"/>
                      </a:defRPr>
                    </a:pPr>
                    <a:fld id="{328B7202-F588-4D60-B1D3-291B042CF0A5}" type="VALUE">
                      <a:rPr lang="en-US" sz="1200"/>
                      <a:pPr>
                        <a:defRPr sz="1000" b="1"/>
                      </a:pPr>
                      <a:t>[WARTOŚĆ]</a:t>
                    </a:fld>
                    <a:endParaRPr lang="pl-PL"/>
                  </a:p>
                </c:rich>
              </c:tx>
              <c:spPr>
                <a:noFill/>
                <a:ln>
                  <a:noFill/>
                </a:ln>
                <a:effectLst/>
              </c:spPr>
              <c:txPr>
                <a:bodyPr rot="0" spcFirstLastPara="1" vertOverflow="ellipsis" vert="horz" wrap="square" anchor="ctr" anchorCtr="1"/>
                <a:lstStyle/>
                <a:p>
                  <a:pPr>
                    <a:defRPr sz="1000" b="1" i="0" u="none" strike="noStrike" kern="1200" baseline="0">
                      <a:solidFill>
                        <a:schemeClr val="tx1">
                          <a:lumMod val="75000"/>
                          <a:lumOff val="25000"/>
                        </a:schemeClr>
                      </a:solidFill>
                      <a:latin typeface="Lato" panose="020F0502020204030203" pitchFamily="34" charset="-18"/>
                      <a:ea typeface="+mn-ea"/>
                      <a:cs typeface="+mn-cs"/>
                    </a:defRPr>
                  </a:pPr>
                  <a:endParaRPr lang="pl-PL"/>
                </a:p>
              </c:txPr>
              <c:dLblPos val="t"/>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7539-40BF-80B4-6DC3180937B6}"/>
                </c:ext>
              </c:extLst>
            </c:dLbl>
            <c:dLbl>
              <c:idx val="7"/>
              <c:spPr>
                <a:noFill/>
                <a:ln>
                  <a:noFill/>
                </a:ln>
                <a:effectLst/>
              </c:spPr>
              <c:txPr>
                <a:bodyPr rot="0" spcFirstLastPara="1" vertOverflow="ellipsis" vert="horz" wrap="square" anchor="ctr" anchorCtr="1"/>
                <a:lstStyle/>
                <a:p>
                  <a:pPr>
                    <a:defRPr sz="1200" b="1" i="0" u="none" strike="noStrike" kern="1200" baseline="0">
                      <a:solidFill>
                        <a:schemeClr val="tx1">
                          <a:lumMod val="75000"/>
                          <a:lumOff val="25000"/>
                        </a:schemeClr>
                      </a:solidFill>
                      <a:latin typeface="Lato" panose="020F0502020204030203" pitchFamily="34" charset="-18"/>
                      <a:ea typeface="+mn-ea"/>
                      <a:cs typeface="+mn-cs"/>
                    </a:defRPr>
                  </a:pPr>
                  <a:endParaRPr lang="pl-PL"/>
                </a:p>
              </c:txPr>
              <c:dLblPos val="t"/>
              <c:showLegendKey val="0"/>
              <c:showVal val="1"/>
              <c:showCatName val="0"/>
              <c:showSerName val="0"/>
              <c:showPercent val="0"/>
              <c:showBubbleSize val="0"/>
              <c:extLst>
                <c:ext xmlns:c16="http://schemas.microsoft.com/office/drawing/2014/chart" uri="{C3380CC4-5D6E-409C-BE32-E72D297353CC}">
                  <c16:uniqueId val="{0000000B-7539-40BF-80B4-6DC3180937B6}"/>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Lato" panose="020F0502020204030203" pitchFamily="34" charset="-18"/>
                    <a:ea typeface="+mn-ea"/>
                    <a:cs typeface="+mn-cs"/>
                  </a:defRPr>
                </a:pPr>
                <a:endParaRPr lang="pl-PL"/>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OZE_wykr!$B$19:$I$19</c:f>
              <c:numCache>
                <c:formatCode>General</c:formatCode>
                <c:ptCount val="8"/>
                <c:pt idx="0">
                  <c:v>2005</c:v>
                </c:pt>
                <c:pt idx="1">
                  <c:v>2010</c:v>
                </c:pt>
                <c:pt idx="2">
                  <c:v>2015</c:v>
                </c:pt>
                <c:pt idx="3">
                  <c:v>2020</c:v>
                </c:pt>
                <c:pt idx="4">
                  <c:v>2025</c:v>
                </c:pt>
                <c:pt idx="5">
                  <c:v>2030</c:v>
                </c:pt>
                <c:pt idx="6">
                  <c:v>2035</c:v>
                </c:pt>
                <c:pt idx="7">
                  <c:v>2040</c:v>
                </c:pt>
              </c:numCache>
            </c:numRef>
          </c:cat>
          <c:val>
            <c:numRef>
              <c:f>OZE_wykr!$B$23:$I$23</c:f>
              <c:numCache>
                <c:formatCode>0.0%</c:formatCode>
                <c:ptCount val="8"/>
                <c:pt idx="0">
                  <c:v>6.9000000000000006E-2</c:v>
                </c:pt>
                <c:pt idx="1">
                  <c:v>9.2999999999999999E-2</c:v>
                </c:pt>
                <c:pt idx="2">
                  <c:v>0.11899999999999999</c:v>
                </c:pt>
                <c:pt idx="3">
                  <c:v>0.161</c:v>
                </c:pt>
                <c:pt idx="4">
                  <c:v>0.21742543414989071</c:v>
                </c:pt>
                <c:pt idx="5">
                  <c:v>0.32617508821830626</c:v>
                </c:pt>
                <c:pt idx="6">
                  <c:v>0.44225988844782727</c:v>
                </c:pt>
                <c:pt idx="7">
                  <c:v>0.58385809474161687</c:v>
                </c:pt>
              </c:numCache>
            </c:numRef>
          </c:val>
          <c:smooth val="0"/>
          <c:extLst>
            <c:ext xmlns:c16="http://schemas.microsoft.com/office/drawing/2014/chart" uri="{C3380CC4-5D6E-409C-BE32-E72D297353CC}">
              <c16:uniqueId val="{00000004-7539-40BF-80B4-6DC3180937B6}"/>
            </c:ext>
          </c:extLst>
        </c:ser>
        <c:ser>
          <c:idx val="7"/>
          <c:order val="7"/>
          <c:tx>
            <c:strRef>
              <c:f>OZE_wykr!$A$29</c:f>
              <c:strCache>
                <c:ptCount val="1"/>
                <c:pt idx="0">
                  <c:v>OZE w finalnym zużyciu energii brutto [%] (KPEiK 2019)</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Lbl>
              <c:idx val="5"/>
              <c:dLblPos val="b"/>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7539-40BF-80B4-6DC3180937B6}"/>
                </c:ext>
              </c:extLst>
            </c:dLbl>
            <c:dLbl>
              <c:idx val="7"/>
              <c:dLblPos val="b"/>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7539-40BF-80B4-6DC3180937B6}"/>
                </c:ext>
              </c:extLst>
            </c:dLbl>
            <c:spPr>
              <a:noFill/>
              <a:ln>
                <a:noFill/>
              </a:ln>
              <a:effectLst/>
            </c:spPr>
            <c:txPr>
              <a:bodyPr rot="0" spcFirstLastPara="1" vertOverflow="ellipsis" vert="horz" wrap="square" anchor="ctr" anchorCtr="1"/>
              <a:lstStyle/>
              <a:p>
                <a:pPr>
                  <a:defRPr sz="1000" b="1" i="0" u="none" strike="noStrike" kern="1200" baseline="0">
                    <a:solidFill>
                      <a:schemeClr val="tx1">
                        <a:lumMod val="75000"/>
                        <a:lumOff val="25000"/>
                      </a:schemeClr>
                    </a:solidFill>
                    <a:latin typeface="Lato" panose="020F0502020204030203" pitchFamily="34" charset="-18"/>
                    <a:ea typeface="+mn-ea"/>
                    <a:cs typeface="+mn-cs"/>
                  </a:defRPr>
                </a:pPr>
                <a:endParaRPr lang="pl-PL"/>
              </a:p>
            </c:txPr>
            <c:dLblPos val="b"/>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OZE_wykr!$B$19:$I$19</c:f>
              <c:numCache>
                <c:formatCode>General</c:formatCode>
                <c:ptCount val="8"/>
                <c:pt idx="0">
                  <c:v>2005</c:v>
                </c:pt>
                <c:pt idx="1">
                  <c:v>2010</c:v>
                </c:pt>
                <c:pt idx="2">
                  <c:v>2015</c:v>
                </c:pt>
                <c:pt idx="3">
                  <c:v>2020</c:v>
                </c:pt>
                <c:pt idx="4">
                  <c:v>2025</c:v>
                </c:pt>
                <c:pt idx="5">
                  <c:v>2030</c:v>
                </c:pt>
                <c:pt idx="6">
                  <c:v>2035</c:v>
                </c:pt>
                <c:pt idx="7">
                  <c:v>2040</c:v>
                </c:pt>
              </c:numCache>
            </c:numRef>
          </c:cat>
          <c:val>
            <c:numRef>
              <c:f>OZE_wykr!$B$29:$I$29</c:f>
              <c:numCache>
                <c:formatCode>0.0%</c:formatCode>
                <c:ptCount val="8"/>
                <c:pt idx="0">
                  <c:v>6.8948266390944812E-2</c:v>
                </c:pt>
                <c:pt idx="1">
                  <c:v>9.2533908372012211E-2</c:v>
                </c:pt>
                <c:pt idx="2">
                  <c:v>0.11865127140310966</c:v>
                </c:pt>
                <c:pt idx="3">
                  <c:v>0.15000875684947915</c:v>
                </c:pt>
                <c:pt idx="4">
                  <c:v>0.18379439479205936</c:v>
                </c:pt>
                <c:pt idx="5">
                  <c:v>0.22981752615022719</c:v>
                </c:pt>
                <c:pt idx="6">
                  <c:v>0.25800000000000001</c:v>
                </c:pt>
                <c:pt idx="7">
                  <c:v>0.28499999999999998</c:v>
                </c:pt>
              </c:numCache>
            </c:numRef>
          </c:val>
          <c:smooth val="0"/>
          <c:extLst>
            <c:ext xmlns:c16="http://schemas.microsoft.com/office/drawing/2014/chart" uri="{C3380CC4-5D6E-409C-BE32-E72D297353CC}">
              <c16:uniqueId val="{00000007-7539-40BF-80B4-6DC3180937B6}"/>
            </c:ext>
          </c:extLst>
        </c:ser>
        <c:dLbls>
          <c:showLegendKey val="0"/>
          <c:showVal val="0"/>
          <c:showCatName val="0"/>
          <c:showSerName val="0"/>
          <c:showPercent val="0"/>
          <c:showBubbleSize val="0"/>
        </c:dLbls>
        <c:marker val="1"/>
        <c:smooth val="0"/>
        <c:axId val="1379046112"/>
        <c:axId val="1379045720"/>
      </c:lineChart>
      <c:catAx>
        <c:axId val="1379044936"/>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Lato" panose="020F0502020204030203" pitchFamily="34" charset="-18"/>
                <a:ea typeface="+mn-ea"/>
                <a:cs typeface="+mn-cs"/>
              </a:defRPr>
            </a:pPr>
            <a:endParaRPr lang="pl-PL"/>
          </a:p>
        </c:txPr>
        <c:crossAx val="1379045328"/>
        <c:crosses val="autoZero"/>
        <c:auto val="1"/>
        <c:lblAlgn val="ctr"/>
        <c:lblOffset val="100"/>
        <c:noMultiLvlLbl val="0"/>
      </c:catAx>
      <c:valAx>
        <c:axId val="1379045328"/>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Lato" panose="020F0502020204030203" pitchFamily="34" charset="-18"/>
                    <a:ea typeface="+mn-ea"/>
                    <a:cs typeface="+mn-cs"/>
                  </a:defRPr>
                </a:pPr>
                <a:r>
                  <a:rPr lang="en-US"/>
                  <a:t>[ktoe]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Lato" panose="020F0502020204030203" pitchFamily="34" charset="-18"/>
                  <a:ea typeface="+mn-ea"/>
                  <a:cs typeface="+mn-cs"/>
                </a:defRPr>
              </a:pPr>
              <a:endParaRPr lang="pl-PL"/>
            </a:p>
          </c:txPr>
        </c:title>
        <c:numFmt formatCode="#,##0" sourceLinked="0"/>
        <c:majorTickMark val="none"/>
        <c:minorTickMark val="none"/>
        <c:tickLblPos val="nextTo"/>
        <c:spPr>
          <a:noFill/>
          <a:ln>
            <a:solidFill>
              <a:schemeClr val="bg1">
                <a:lumMod val="85000"/>
              </a:schemeClr>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Lato" panose="020F0502020204030203" pitchFamily="34" charset="-18"/>
                <a:ea typeface="+mn-ea"/>
                <a:cs typeface="+mn-cs"/>
              </a:defRPr>
            </a:pPr>
            <a:endParaRPr lang="pl-PL"/>
          </a:p>
        </c:txPr>
        <c:crossAx val="1379044936"/>
        <c:crosses val="autoZero"/>
        <c:crossBetween val="between"/>
      </c:valAx>
      <c:valAx>
        <c:axId val="1379045720"/>
        <c:scaling>
          <c:orientation val="minMax"/>
          <c:max val="0.60000000000000009"/>
        </c:scaling>
        <c:delete val="0"/>
        <c:axPos val="r"/>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Lato" panose="020F0502020204030203" pitchFamily="34" charset="-18"/>
                <a:ea typeface="+mn-ea"/>
                <a:cs typeface="+mn-cs"/>
              </a:defRPr>
            </a:pPr>
            <a:endParaRPr lang="pl-PL"/>
          </a:p>
        </c:txPr>
        <c:crossAx val="1379046112"/>
        <c:crosses val="max"/>
        <c:crossBetween val="between"/>
      </c:valAx>
      <c:catAx>
        <c:axId val="1379046112"/>
        <c:scaling>
          <c:orientation val="minMax"/>
        </c:scaling>
        <c:delete val="1"/>
        <c:axPos val="b"/>
        <c:numFmt formatCode="General" sourceLinked="1"/>
        <c:majorTickMark val="out"/>
        <c:minorTickMark val="none"/>
        <c:tickLblPos val="nextTo"/>
        <c:crossAx val="1379045720"/>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Lato" panose="020F0502020204030203" pitchFamily="34" charset="-18"/>
              <a:ea typeface="+mn-ea"/>
              <a:cs typeface="+mn-cs"/>
            </a:defRPr>
          </a:pPr>
          <a:endParaRPr lang="pl-PL"/>
        </a:p>
      </c:txPr>
    </c:legend>
    <c:plotVisOnly val="1"/>
    <c:dispBlanksAs val="zero"/>
    <c:showDLblsOverMax val="0"/>
  </c:chart>
  <c:spPr>
    <a:solidFill>
      <a:schemeClr val="bg1"/>
    </a:solidFill>
    <a:ln w="9525" cap="flat" cmpd="sng" algn="ctr">
      <a:noFill/>
      <a:round/>
    </a:ln>
    <a:effectLst/>
  </c:spPr>
  <c:txPr>
    <a:bodyPr/>
    <a:lstStyle/>
    <a:p>
      <a:pPr>
        <a:defRPr>
          <a:latin typeface="Lato" panose="020F0502020204030203" pitchFamily="34" charset="-18"/>
        </a:defRPr>
      </a:pPr>
      <a:endParaRPr lang="pl-PL"/>
    </a:p>
  </c:txPr>
  <c:externalData r:id="rId4">
    <c:autoUpdate val="0"/>
  </c:externalData>
  <c:userShapes r:id="rId5"/>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OZE_wykr!$A$70</c:f>
              <c:strCache>
                <c:ptCount val="1"/>
                <c:pt idx="0">
                  <c:v>Udział OZE w elektroenergetyce</c:v>
                </c:pt>
              </c:strCache>
            </c:strRef>
          </c:tx>
          <c:spPr>
            <a:ln w="25400" cap="rnd">
              <a:solidFill>
                <a:schemeClr val="accent6">
                  <a:lumMod val="60000"/>
                  <a:lumOff val="40000"/>
                </a:schemeClr>
              </a:solidFill>
              <a:round/>
            </a:ln>
            <a:effectLst/>
          </c:spPr>
          <c:marker>
            <c:symbol val="circle"/>
            <c:size val="5"/>
            <c:spPr>
              <a:solidFill>
                <a:srgbClr val="92D050"/>
              </a:solidFill>
              <a:ln w="9525">
                <a:noFill/>
              </a:ln>
              <a:effectLst/>
            </c:spPr>
          </c:marker>
          <c:dLbls>
            <c:dLbl>
              <c:idx val="2"/>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B52-4DEB-BD49-B8C4AB02A9B6}"/>
                </c:ext>
              </c:extLst>
            </c:dLbl>
            <c:dLbl>
              <c:idx val="5"/>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B52-4DEB-BD49-B8C4AB02A9B6}"/>
                </c:ext>
              </c:extLst>
            </c:dLbl>
            <c:dLbl>
              <c:idx val="7"/>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B52-4DEB-BD49-B8C4AB02A9B6}"/>
                </c:ext>
              </c:extLst>
            </c:dLbl>
            <c:dLbl>
              <c:idx val="10"/>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8B52-4DEB-BD49-B8C4AB02A9B6}"/>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t"/>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OZE_wykr!$Q$69:$AA$69</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extLst/>
            </c:numRef>
          </c:cat>
          <c:val>
            <c:numRef>
              <c:f>OZE_wykr!$Q$70:$AA$70</c:f>
              <c:numCache>
                <c:formatCode>0.0%</c:formatCode>
                <c:ptCount val="11"/>
                <c:pt idx="0">
                  <c:v>0.16200000000000001</c:v>
                </c:pt>
                <c:pt idx="1">
                  <c:v>0.169444802621012</c:v>
                </c:pt>
                <c:pt idx="2">
                  <c:v>0.21218723107953694</c:v>
                </c:pt>
                <c:pt idx="3">
                  <c:v>0.25154038826198755</c:v>
                </c:pt>
                <c:pt idx="4">
                  <c:v>0.28133511369171227</c:v>
                </c:pt>
                <c:pt idx="5">
                  <c:v>0.30994762647872315</c:v>
                </c:pt>
                <c:pt idx="6">
                  <c:v>0.35888965585276827</c:v>
                </c:pt>
                <c:pt idx="7">
                  <c:v>0.40990171133637876</c:v>
                </c:pt>
                <c:pt idx="8">
                  <c:v>0.46496365636437181</c:v>
                </c:pt>
                <c:pt idx="9">
                  <c:v>0.50925002566152555</c:v>
                </c:pt>
                <c:pt idx="10">
                  <c:v>0.56123395144511201</c:v>
                </c:pt>
              </c:numCache>
              <c:extLst/>
            </c:numRef>
          </c:val>
          <c:smooth val="0"/>
          <c:extLst>
            <c:ext xmlns:c16="http://schemas.microsoft.com/office/drawing/2014/chart" uri="{C3380CC4-5D6E-409C-BE32-E72D297353CC}">
              <c16:uniqueId val="{00000004-8B52-4DEB-BD49-B8C4AB02A9B6}"/>
            </c:ext>
          </c:extLst>
        </c:ser>
        <c:dLbls>
          <c:showLegendKey val="0"/>
          <c:showVal val="0"/>
          <c:showCatName val="0"/>
          <c:showSerName val="0"/>
          <c:showPercent val="0"/>
          <c:showBubbleSize val="0"/>
        </c:dLbls>
        <c:marker val="1"/>
        <c:smooth val="0"/>
        <c:axId val="1870646704"/>
        <c:axId val="1012317695"/>
        <c:extLst>
          <c:ext xmlns:c15="http://schemas.microsoft.com/office/drawing/2012/chart" uri="{02D57815-91ED-43cb-92C2-25804820EDAC}">
            <c15:filteredLineSeries>
              <c15:ser>
                <c:idx val="1"/>
                <c:order val="1"/>
                <c:tx>
                  <c:strRef>
                    <c:extLst>
                      <c:ext uri="{02D57815-91ED-43cb-92C2-25804820EDAC}">
                        <c15:formulaRef>
                          <c15:sqref>OZE_wykr!$A$71</c15:sqref>
                        </c15:formulaRef>
                      </c:ext>
                    </c:extLst>
                    <c:strCache>
                      <c:ptCount val="1"/>
                      <c:pt idx="0">
                        <c:v>Udział OZE w ciepłownictwie i chłodnictwie </c:v>
                      </c:pt>
                    </c:strCache>
                  </c:strRef>
                </c:tx>
                <c:spPr>
                  <a:ln w="25400" cap="rnd">
                    <a:solidFill>
                      <a:schemeClr val="accent6"/>
                    </a:solidFill>
                    <a:round/>
                  </a:ln>
                  <a:effectLst/>
                </c:spPr>
                <c:marker>
                  <c:symbol val="circle"/>
                  <c:size val="5"/>
                  <c:spPr>
                    <a:solidFill>
                      <a:schemeClr val="accent6"/>
                    </a:solidFill>
                    <a:ln w="9525">
                      <a:noFill/>
                    </a:ln>
                    <a:effectLst/>
                  </c:spPr>
                </c:marker>
                <c:cat>
                  <c:numRef>
                    <c:extLst>
                      <c:ext uri="{02D57815-91ED-43cb-92C2-25804820EDAC}">
                        <c15:formulaRef>
                          <c15:sqref>OZE_wykr!$Q$69:$AA$69</c15:sqref>
                        </c15:formulaRef>
                      </c:ext>
                    </c:extLst>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extLst>
                      <c:ext uri="{02D57815-91ED-43cb-92C2-25804820EDAC}">
                        <c15:formulaRef>
                          <c15:sqref>OZE_wykr!$Q$71:$AA$71</c15:sqref>
                        </c15:formulaRef>
                      </c:ext>
                    </c:extLst>
                    <c:numCache>
                      <c:formatCode>0.0%</c:formatCode>
                      <c:ptCount val="11"/>
                      <c:pt idx="0">
                        <c:v>0.221</c:v>
                      </c:pt>
                      <c:pt idx="1">
                        <c:v>0.24097997372778543</c:v>
                      </c:pt>
                      <c:pt idx="2">
                        <c:v>0.24833867946549257</c:v>
                      </c:pt>
                      <c:pt idx="3">
                        <c:v>0.25819766849944897</c:v>
                      </c:pt>
                      <c:pt idx="4">
                        <c:v>0.26145196795476072</c:v>
                      </c:pt>
                      <c:pt idx="5">
                        <c:v>0.26804525644257748</c:v>
                      </c:pt>
                      <c:pt idx="6">
                        <c:v>0.28767580034344459</c:v>
                      </c:pt>
                      <c:pt idx="7">
                        <c:v>0.30425682130287235</c:v>
                      </c:pt>
                      <c:pt idx="8">
                        <c:v>0.32119562849798278</c:v>
                      </c:pt>
                      <c:pt idx="9">
                        <c:v>0.33726919731523131</c:v>
                      </c:pt>
                      <c:pt idx="10">
                        <c:v>0.35422091442995879</c:v>
                      </c:pt>
                    </c:numCache>
                  </c:numRef>
                </c:val>
                <c:smooth val="0"/>
                <c:extLst>
                  <c:ext xmlns:c16="http://schemas.microsoft.com/office/drawing/2014/chart" uri="{C3380CC4-5D6E-409C-BE32-E72D297353CC}">
                    <c16:uniqueId val="{00000005-8B52-4DEB-BD49-B8C4AB02A9B6}"/>
                  </c:ext>
                </c:extLst>
              </c15:ser>
            </c15:filteredLineSeries>
            <c15:filteredLineSeries>
              <c15:ser>
                <c:idx val="2"/>
                <c:order val="2"/>
                <c:tx>
                  <c:strRef>
                    <c:extLst xmlns:c15="http://schemas.microsoft.com/office/drawing/2012/chart">
                      <c:ext xmlns:c15="http://schemas.microsoft.com/office/drawing/2012/chart" uri="{02D57815-91ED-43cb-92C2-25804820EDAC}">
                        <c15:formulaRef>
                          <c15:sqref>OZE_wykr!$A$72</c15:sqref>
                        </c15:formulaRef>
                      </c:ext>
                    </c:extLst>
                    <c:strCache>
                      <c:ptCount val="1"/>
                      <c:pt idx="0">
                        <c:v>Udział OZE w transporcie </c:v>
                      </c:pt>
                    </c:strCache>
                  </c:strRef>
                </c:tx>
                <c:spPr>
                  <a:ln w="25400" cap="rnd">
                    <a:solidFill>
                      <a:srgbClr val="008000"/>
                    </a:solidFill>
                    <a:round/>
                  </a:ln>
                  <a:effectLst/>
                </c:spPr>
                <c:marker>
                  <c:symbol val="circle"/>
                  <c:size val="5"/>
                  <c:spPr>
                    <a:solidFill>
                      <a:srgbClr val="008000"/>
                    </a:solidFill>
                    <a:ln w="9525">
                      <a:noFill/>
                    </a:ln>
                    <a:effectLst/>
                  </c:spPr>
                </c:marker>
                <c:cat>
                  <c:numRef>
                    <c:extLst xmlns:c15="http://schemas.microsoft.com/office/drawing/2012/chart">
                      <c:ext xmlns:c15="http://schemas.microsoft.com/office/drawing/2012/chart" uri="{02D57815-91ED-43cb-92C2-25804820EDAC}">
                        <c15:formulaRef>
                          <c15:sqref>OZE_wykr!$Q$69:$AA$69</c15:sqref>
                        </c15:formulaRef>
                      </c:ext>
                    </c:extLst>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extLst xmlns:c15="http://schemas.microsoft.com/office/drawing/2012/chart">
                      <c:ext xmlns:c15="http://schemas.microsoft.com/office/drawing/2012/chart" uri="{02D57815-91ED-43cb-92C2-25804820EDAC}">
                        <c15:formulaRef>
                          <c15:sqref>OZE_wykr!$Q$72:$AA$72</c15:sqref>
                        </c15:formulaRef>
                      </c:ext>
                    </c:extLst>
                    <c:numCache>
                      <c:formatCode>0.0%</c:formatCode>
                      <c:ptCount val="11"/>
                      <c:pt idx="0">
                        <c:v>6.6000000000000003E-2</c:v>
                      </c:pt>
                      <c:pt idx="1">
                        <c:v>5.1281240755371077E-2</c:v>
                      </c:pt>
                      <c:pt idx="2">
                        <c:v>5.6964244829358586E-2</c:v>
                      </c:pt>
                      <c:pt idx="3">
                        <c:v>6.0210426174544508E-2</c:v>
                      </c:pt>
                      <c:pt idx="4">
                        <c:v>8.7327380523821607E-2</c:v>
                      </c:pt>
                      <c:pt idx="5">
                        <c:v>0.10112409599430945</c:v>
                      </c:pt>
                      <c:pt idx="6">
                        <c:v>0.11372579110839955</c:v>
                      </c:pt>
                      <c:pt idx="7">
                        <c:v>0.12937981682837529</c:v>
                      </c:pt>
                      <c:pt idx="8">
                        <c:v>0.14192769093154176</c:v>
                      </c:pt>
                      <c:pt idx="9">
                        <c:v>0.1575552886807324</c:v>
                      </c:pt>
                      <c:pt idx="10">
                        <c:v>0.17703352607235451</c:v>
                      </c:pt>
                    </c:numCache>
                  </c:numRef>
                </c:val>
                <c:smooth val="0"/>
                <c:extLst xmlns:c15="http://schemas.microsoft.com/office/drawing/2012/chart">
                  <c:ext xmlns:c16="http://schemas.microsoft.com/office/drawing/2014/chart" uri="{C3380CC4-5D6E-409C-BE32-E72D297353CC}">
                    <c16:uniqueId val="{00000006-8B52-4DEB-BD49-B8C4AB02A9B6}"/>
                  </c:ext>
                </c:extLst>
              </c15:ser>
            </c15:filteredLineSeries>
            <c15:filteredLineSeries>
              <c15:ser>
                <c:idx val="3"/>
                <c:order val="3"/>
                <c:tx>
                  <c:strRef>
                    <c:extLst xmlns:c15="http://schemas.microsoft.com/office/drawing/2012/chart">
                      <c:ext xmlns:c15="http://schemas.microsoft.com/office/drawing/2012/chart" uri="{02D57815-91ED-43cb-92C2-25804820EDAC}">
                        <c15:formulaRef>
                          <c15:sqref>OZE_wykr!$A$73</c15:sqref>
                        </c15:formulaRef>
                      </c:ext>
                    </c:extLst>
                    <c:strCache>
                      <c:ptCount val="1"/>
                      <c:pt idx="0">
                        <c:v>Udział energii ze źródeł odnawialnych w zużyciu końcowym energii brutto</c:v>
                      </c:pt>
                    </c:strCache>
                  </c:strRef>
                </c:tx>
                <c:spPr>
                  <a:ln w="28575" cap="rnd">
                    <a:solidFill>
                      <a:srgbClr val="006600"/>
                    </a:solidFill>
                    <a:round/>
                  </a:ln>
                  <a:effectLst/>
                </c:spPr>
                <c:marker>
                  <c:symbol val="circle"/>
                  <c:size val="5"/>
                  <c:spPr>
                    <a:solidFill>
                      <a:srgbClr val="006600"/>
                    </a:solidFill>
                    <a:ln w="9525">
                      <a:noFill/>
                    </a:ln>
                    <a:effectLst/>
                  </c:spPr>
                </c:marker>
                <c:cat>
                  <c:numRef>
                    <c:extLst xmlns:c15="http://schemas.microsoft.com/office/drawing/2012/chart">
                      <c:ext xmlns:c15="http://schemas.microsoft.com/office/drawing/2012/chart" uri="{02D57815-91ED-43cb-92C2-25804820EDAC}">
                        <c15:formulaRef>
                          <c15:sqref>OZE_wykr!$Q$69:$AA$69</c15:sqref>
                        </c15:formulaRef>
                      </c:ext>
                    </c:extLst>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extLst xmlns:c15="http://schemas.microsoft.com/office/drawing/2012/chart">
                      <c:ext xmlns:c15="http://schemas.microsoft.com/office/drawing/2012/chart" uri="{02D57815-91ED-43cb-92C2-25804820EDAC}">
                        <c15:formulaRef>
                          <c15:sqref>OZE_wykr!$Q$73:$AA$73</c15:sqref>
                        </c15:formulaRef>
                      </c:ext>
                    </c:extLst>
                    <c:numCache>
                      <c:formatCode>0.0%</c:formatCode>
                      <c:ptCount val="11"/>
                      <c:pt idx="0">
                        <c:v>0.161</c:v>
                      </c:pt>
                      <c:pt idx="1">
                        <c:v>0.16398918627583325</c:v>
                      </c:pt>
                      <c:pt idx="2">
                        <c:v>0.17638571342840342</c:v>
                      </c:pt>
                      <c:pt idx="3">
                        <c:v>0.19147107340541203</c:v>
                      </c:pt>
                      <c:pt idx="4">
                        <c:v>0.20559840838998275</c:v>
                      </c:pt>
                      <c:pt idx="5">
                        <c:v>0.21742132378773088</c:v>
                      </c:pt>
                      <c:pt idx="6">
                        <c:v>0.23771665245745657</c:v>
                      </c:pt>
                      <c:pt idx="7">
                        <c:v>0.2588567582404056</c:v>
                      </c:pt>
                      <c:pt idx="8">
                        <c:v>0.28171099344621081</c:v>
                      </c:pt>
                      <c:pt idx="9">
                        <c:v>0.30109541080520008</c:v>
                      </c:pt>
                      <c:pt idx="10">
                        <c:v>0.32616956938884933</c:v>
                      </c:pt>
                    </c:numCache>
                  </c:numRef>
                </c:val>
                <c:smooth val="0"/>
                <c:extLst xmlns:c15="http://schemas.microsoft.com/office/drawing/2012/chart">
                  <c:ext xmlns:c16="http://schemas.microsoft.com/office/drawing/2014/chart" uri="{C3380CC4-5D6E-409C-BE32-E72D297353CC}">
                    <c16:uniqueId val="{00000007-8B52-4DEB-BD49-B8C4AB02A9B6}"/>
                  </c:ext>
                </c:extLst>
              </c15:ser>
            </c15:filteredLineSeries>
          </c:ext>
        </c:extLst>
      </c:lineChart>
      <c:catAx>
        <c:axId val="18706467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1012317695"/>
        <c:crosses val="autoZero"/>
        <c:auto val="1"/>
        <c:lblAlgn val="ctr"/>
        <c:lblOffset val="100"/>
        <c:noMultiLvlLbl val="0"/>
      </c:catAx>
      <c:valAx>
        <c:axId val="1012317695"/>
        <c:scaling>
          <c:orientation val="minMax"/>
        </c:scaling>
        <c:delete val="0"/>
        <c:axPos val="l"/>
        <c:numFmt formatCode="0%" sourceLinked="0"/>
        <c:majorTickMark val="none"/>
        <c:minorTickMark val="none"/>
        <c:tickLblPos val="nextTo"/>
        <c:spPr>
          <a:noFill/>
          <a:ln>
            <a:solidFill>
              <a:schemeClr val="bg1">
                <a:lumMod val="85000"/>
              </a:schemeClr>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1870646704"/>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pl-PL"/>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stacked"/>
        <c:varyColors val="0"/>
        <c:ser>
          <c:idx val="0"/>
          <c:order val="0"/>
          <c:tx>
            <c:strRef>
              <c:f>'En.el (2)'!$H$72</c:f>
              <c:strCache>
                <c:ptCount val="1"/>
                <c:pt idx="0">
                  <c:v>węgiel</c:v>
                </c:pt>
              </c:strCache>
            </c:strRef>
          </c:tx>
          <c:spPr>
            <a:solidFill>
              <a:schemeClr val="tx1"/>
            </a:solidFill>
            <a:ln>
              <a:noFill/>
            </a:ln>
            <a:effectLst/>
          </c:spPr>
          <c:invertIfNegative val="0"/>
          <c:cat>
            <c:numRef>
              <c:f>'En.el (2)'!$I$71:$M$71</c:f>
              <c:numCache>
                <c:formatCode>0</c:formatCode>
                <c:ptCount val="5"/>
                <c:pt idx="0">
                  <c:v>2020</c:v>
                </c:pt>
                <c:pt idx="1">
                  <c:v>2025</c:v>
                </c:pt>
                <c:pt idx="2">
                  <c:v>2030</c:v>
                </c:pt>
                <c:pt idx="3">
                  <c:v>2035</c:v>
                </c:pt>
                <c:pt idx="4">
                  <c:v>2040</c:v>
                </c:pt>
              </c:numCache>
            </c:numRef>
          </c:cat>
          <c:val>
            <c:numRef>
              <c:f>'En.el (2)'!$I$72:$M$72</c:f>
              <c:numCache>
                <c:formatCode>#\ ##0.0</c:formatCode>
                <c:ptCount val="5"/>
                <c:pt idx="0">
                  <c:v>225.85360999999997</c:v>
                </c:pt>
                <c:pt idx="1">
                  <c:v>181.67503279697004</c:v>
                </c:pt>
                <c:pt idx="2">
                  <c:v>114.14029009174256</c:v>
                </c:pt>
                <c:pt idx="3">
                  <c:v>60.253949164126986</c:v>
                </c:pt>
                <c:pt idx="4">
                  <c:v>1.9216661113639282</c:v>
                </c:pt>
              </c:numCache>
            </c:numRef>
          </c:val>
          <c:extLst>
            <c:ext xmlns:c16="http://schemas.microsoft.com/office/drawing/2014/chart" uri="{C3380CC4-5D6E-409C-BE32-E72D297353CC}">
              <c16:uniqueId val="{00000000-7D9A-478A-9710-884BBD063C05}"/>
            </c:ext>
          </c:extLst>
        </c:ser>
        <c:ser>
          <c:idx val="1"/>
          <c:order val="1"/>
          <c:tx>
            <c:strRef>
              <c:f>'En.el (2)'!$H$73</c:f>
              <c:strCache>
                <c:ptCount val="1"/>
                <c:pt idx="0">
                  <c:v>gaz ziemny</c:v>
                </c:pt>
              </c:strCache>
            </c:strRef>
          </c:tx>
          <c:spPr>
            <a:solidFill>
              <a:schemeClr val="accent2"/>
            </a:solidFill>
            <a:ln>
              <a:noFill/>
            </a:ln>
            <a:effectLst/>
          </c:spPr>
          <c:invertIfNegative val="0"/>
          <c:cat>
            <c:numRef>
              <c:f>'En.el (2)'!$I$71:$M$71</c:f>
              <c:numCache>
                <c:formatCode>0</c:formatCode>
                <c:ptCount val="5"/>
                <c:pt idx="0">
                  <c:v>2020</c:v>
                </c:pt>
                <c:pt idx="1">
                  <c:v>2025</c:v>
                </c:pt>
                <c:pt idx="2">
                  <c:v>2030</c:v>
                </c:pt>
                <c:pt idx="3">
                  <c:v>2035</c:v>
                </c:pt>
                <c:pt idx="4">
                  <c:v>2040</c:v>
                </c:pt>
              </c:numCache>
            </c:numRef>
          </c:cat>
          <c:val>
            <c:numRef>
              <c:f>'En.el (2)'!$I$73:$M$73</c:f>
              <c:numCache>
                <c:formatCode>#\ ##0.0</c:formatCode>
                <c:ptCount val="5"/>
                <c:pt idx="0">
                  <c:v>29.843008999999999</c:v>
                </c:pt>
                <c:pt idx="1">
                  <c:v>54.857421415187794</c:v>
                </c:pt>
                <c:pt idx="2">
                  <c:v>78.668324180607172</c:v>
                </c:pt>
                <c:pt idx="3">
                  <c:v>76.660457459120764</c:v>
                </c:pt>
                <c:pt idx="4">
                  <c:v>45.681788140000002</c:v>
                </c:pt>
              </c:numCache>
            </c:numRef>
          </c:val>
          <c:extLst>
            <c:ext xmlns:c16="http://schemas.microsoft.com/office/drawing/2014/chart" uri="{C3380CC4-5D6E-409C-BE32-E72D297353CC}">
              <c16:uniqueId val="{00000001-7D9A-478A-9710-884BBD063C05}"/>
            </c:ext>
          </c:extLst>
        </c:ser>
        <c:ser>
          <c:idx val="2"/>
          <c:order val="2"/>
          <c:tx>
            <c:strRef>
              <c:f>'En.el (2)'!$H$74</c:f>
              <c:strCache>
                <c:ptCount val="1"/>
                <c:pt idx="0">
                  <c:v>olej</c:v>
                </c:pt>
              </c:strCache>
            </c:strRef>
          </c:tx>
          <c:spPr>
            <a:solidFill>
              <a:schemeClr val="accent4"/>
            </a:solidFill>
            <a:ln>
              <a:noFill/>
            </a:ln>
            <a:effectLst/>
          </c:spPr>
          <c:invertIfNegative val="0"/>
          <c:cat>
            <c:numRef>
              <c:f>'En.el (2)'!$I$71:$M$71</c:f>
              <c:numCache>
                <c:formatCode>0</c:formatCode>
                <c:ptCount val="5"/>
                <c:pt idx="0">
                  <c:v>2020</c:v>
                </c:pt>
                <c:pt idx="1">
                  <c:v>2025</c:v>
                </c:pt>
                <c:pt idx="2">
                  <c:v>2030</c:v>
                </c:pt>
                <c:pt idx="3">
                  <c:v>2035</c:v>
                </c:pt>
                <c:pt idx="4">
                  <c:v>2040</c:v>
                </c:pt>
              </c:numCache>
            </c:numRef>
          </c:cat>
          <c:val>
            <c:numRef>
              <c:f>'En.el (2)'!$I$74:$M$74</c:f>
              <c:numCache>
                <c:formatCode>#\ ##0.0</c:formatCode>
                <c:ptCount val="5"/>
                <c:pt idx="0">
                  <c:v>3.3362280000000002</c:v>
                </c:pt>
                <c:pt idx="1">
                  <c:v>3.4503415189486915</c:v>
                </c:pt>
                <c:pt idx="2">
                  <c:v>2.3165659347418024</c:v>
                </c:pt>
                <c:pt idx="3">
                  <c:v>1.6621896378864212</c:v>
                </c:pt>
                <c:pt idx="4">
                  <c:v>2.0169212195405906</c:v>
                </c:pt>
              </c:numCache>
            </c:numRef>
          </c:val>
          <c:extLst>
            <c:ext xmlns:c16="http://schemas.microsoft.com/office/drawing/2014/chart" uri="{C3380CC4-5D6E-409C-BE32-E72D297353CC}">
              <c16:uniqueId val="{00000002-7D9A-478A-9710-884BBD063C05}"/>
            </c:ext>
          </c:extLst>
        </c:ser>
        <c:ser>
          <c:idx val="3"/>
          <c:order val="3"/>
          <c:tx>
            <c:strRef>
              <c:f>'En.el (2)'!$H$75</c:f>
              <c:strCache>
                <c:ptCount val="1"/>
                <c:pt idx="0">
                  <c:v>biomasa</c:v>
                </c:pt>
              </c:strCache>
            </c:strRef>
          </c:tx>
          <c:spPr>
            <a:solidFill>
              <a:srgbClr val="006600"/>
            </a:solidFill>
            <a:ln>
              <a:noFill/>
            </a:ln>
            <a:effectLst/>
          </c:spPr>
          <c:invertIfNegative val="0"/>
          <c:cat>
            <c:numRef>
              <c:f>'En.el (2)'!$I$71:$M$71</c:f>
              <c:numCache>
                <c:formatCode>0</c:formatCode>
                <c:ptCount val="5"/>
                <c:pt idx="0">
                  <c:v>2020</c:v>
                </c:pt>
                <c:pt idx="1">
                  <c:v>2025</c:v>
                </c:pt>
                <c:pt idx="2">
                  <c:v>2030</c:v>
                </c:pt>
                <c:pt idx="3">
                  <c:v>2035</c:v>
                </c:pt>
                <c:pt idx="4">
                  <c:v>2040</c:v>
                </c:pt>
              </c:numCache>
            </c:numRef>
          </c:cat>
          <c:val>
            <c:numRef>
              <c:f>'En.el (2)'!$I$75:$M$75</c:f>
              <c:numCache>
                <c:formatCode>#\ ##0.0</c:formatCode>
                <c:ptCount val="5"/>
                <c:pt idx="0">
                  <c:v>19.86775957489845</c:v>
                </c:pt>
                <c:pt idx="1">
                  <c:v>21.401312511666735</c:v>
                </c:pt>
                <c:pt idx="2">
                  <c:v>24.656406309958239</c:v>
                </c:pt>
                <c:pt idx="3">
                  <c:v>26.514021368388931</c:v>
                </c:pt>
                <c:pt idx="4">
                  <c:v>26.546856761259402</c:v>
                </c:pt>
              </c:numCache>
            </c:numRef>
          </c:val>
          <c:extLst>
            <c:ext xmlns:c16="http://schemas.microsoft.com/office/drawing/2014/chart" uri="{C3380CC4-5D6E-409C-BE32-E72D297353CC}">
              <c16:uniqueId val="{00000003-7D9A-478A-9710-884BBD063C05}"/>
            </c:ext>
          </c:extLst>
        </c:ser>
        <c:ser>
          <c:idx val="4"/>
          <c:order val="4"/>
          <c:tx>
            <c:strRef>
              <c:f>'En.el (2)'!$H$76</c:f>
              <c:strCache>
                <c:ptCount val="1"/>
                <c:pt idx="0">
                  <c:v>biogaz</c:v>
                </c:pt>
              </c:strCache>
            </c:strRef>
          </c:tx>
          <c:spPr>
            <a:solidFill>
              <a:srgbClr val="009900"/>
            </a:solidFill>
            <a:ln>
              <a:noFill/>
            </a:ln>
            <a:effectLst/>
          </c:spPr>
          <c:invertIfNegative val="0"/>
          <c:cat>
            <c:numRef>
              <c:f>'En.el (2)'!$I$71:$M$71</c:f>
              <c:numCache>
                <c:formatCode>0</c:formatCode>
                <c:ptCount val="5"/>
                <c:pt idx="0">
                  <c:v>2020</c:v>
                </c:pt>
                <c:pt idx="1">
                  <c:v>2025</c:v>
                </c:pt>
                <c:pt idx="2">
                  <c:v>2030</c:v>
                </c:pt>
                <c:pt idx="3">
                  <c:v>2035</c:v>
                </c:pt>
                <c:pt idx="4">
                  <c:v>2040</c:v>
                </c:pt>
              </c:numCache>
            </c:numRef>
          </c:cat>
          <c:val>
            <c:numRef>
              <c:f>'En.el (2)'!$I$76:$M$76</c:f>
              <c:numCache>
                <c:formatCode>#\ ##0.0</c:formatCode>
                <c:ptCount val="5"/>
                <c:pt idx="0">
                  <c:v>0.83507327999999992</c:v>
                </c:pt>
                <c:pt idx="1">
                  <c:v>2.56356144</c:v>
                </c:pt>
                <c:pt idx="2">
                  <c:v>5.2892179200000005</c:v>
                </c:pt>
                <c:pt idx="3">
                  <c:v>8.3803766399999997</c:v>
                </c:pt>
                <c:pt idx="4">
                  <c:v>14.607475200000001</c:v>
                </c:pt>
              </c:numCache>
            </c:numRef>
          </c:val>
          <c:extLst>
            <c:ext xmlns:c16="http://schemas.microsoft.com/office/drawing/2014/chart" uri="{C3380CC4-5D6E-409C-BE32-E72D297353CC}">
              <c16:uniqueId val="{00000004-7D9A-478A-9710-884BBD063C05}"/>
            </c:ext>
          </c:extLst>
        </c:ser>
        <c:ser>
          <c:idx val="5"/>
          <c:order val="5"/>
          <c:tx>
            <c:strRef>
              <c:f>'En.el (2)'!$H$77</c:f>
              <c:strCache>
                <c:ptCount val="1"/>
                <c:pt idx="0">
                  <c:v>geotermia</c:v>
                </c:pt>
              </c:strCache>
            </c:strRef>
          </c:tx>
          <c:spPr>
            <a:solidFill>
              <a:srgbClr val="8FC36B"/>
            </a:solidFill>
            <a:ln>
              <a:noFill/>
            </a:ln>
            <a:effectLst/>
          </c:spPr>
          <c:invertIfNegative val="0"/>
          <c:cat>
            <c:numRef>
              <c:f>'En.el (2)'!$I$71:$M$71</c:f>
              <c:numCache>
                <c:formatCode>0</c:formatCode>
                <c:ptCount val="5"/>
                <c:pt idx="0">
                  <c:v>2020</c:v>
                </c:pt>
                <c:pt idx="1">
                  <c:v>2025</c:v>
                </c:pt>
                <c:pt idx="2">
                  <c:v>2030</c:v>
                </c:pt>
                <c:pt idx="3">
                  <c:v>2035</c:v>
                </c:pt>
                <c:pt idx="4">
                  <c:v>2040</c:v>
                </c:pt>
              </c:numCache>
            </c:numRef>
          </c:cat>
          <c:val>
            <c:numRef>
              <c:f>'En.el (2)'!$I$77:$M$77</c:f>
              <c:numCache>
                <c:formatCode>#\ ##0.0</c:formatCode>
                <c:ptCount val="5"/>
                <c:pt idx="0">
                  <c:v>0.71239823999999996</c:v>
                </c:pt>
                <c:pt idx="1">
                  <c:v>1.4153356799999999</c:v>
                </c:pt>
                <c:pt idx="2">
                  <c:v>2.1141734400000001</c:v>
                </c:pt>
                <c:pt idx="3">
                  <c:v>2.7073655999999997</c:v>
                </c:pt>
                <c:pt idx="4">
                  <c:v>4.0082255999999994</c:v>
                </c:pt>
              </c:numCache>
            </c:numRef>
          </c:val>
          <c:extLst>
            <c:ext xmlns:c16="http://schemas.microsoft.com/office/drawing/2014/chart" uri="{C3380CC4-5D6E-409C-BE32-E72D297353CC}">
              <c16:uniqueId val="{00000005-7D9A-478A-9710-884BBD063C05}"/>
            </c:ext>
          </c:extLst>
        </c:ser>
        <c:ser>
          <c:idx val="6"/>
          <c:order val="6"/>
          <c:tx>
            <c:strRef>
              <c:f>'En.el (2)'!$H$78</c:f>
              <c:strCache>
                <c:ptCount val="1"/>
                <c:pt idx="0">
                  <c:v>kolektory słoneczne</c:v>
                </c:pt>
              </c:strCache>
            </c:strRef>
          </c:tx>
          <c:spPr>
            <a:solidFill>
              <a:srgbClr val="AFD498"/>
            </a:solidFill>
            <a:ln>
              <a:noFill/>
            </a:ln>
            <a:effectLst/>
          </c:spPr>
          <c:invertIfNegative val="0"/>
          <c:cat>
            <c:numRef>
              <c:f>'En.el (2)'!$I$71:$M$71</c:f>
              <c:numCache>
                <c:formatCode>0</c:formatCode>
                <c:ptCount val="5"/>
                <c:pt idx="0">
                  <c:v>2020</c:v>
                </c:pt>
                <c:pt idx="1">
                  <c:v>2025</c:v>
                </c:pt>
                <c:pt idx="2">
                  <c:v>2030</c:v>
                </c:pt>
                <c:pt idx="3">
                  <c:v>2035</c:v>
                </c:pt>
                <c:pt idx="4">
                  <c:v>2040</c:v>
                </c:pt>
              </c:numCache>
            </c:numRef>
          </c:cat>
          <c:val>
            <c:numRef>
              <c:f>'En.el (2)'!$I$78:$M$78</c:f>
              <c:numCache>
                <c:formatCode>#\ ##0.0</c:formatCode>
                <c:ptCount val="5"/>
                <c:pt idx="0">
                  <c:v>0</c:v>
                </c:pt>
                <c:pt idx="1">
                  <c:v>0</c:v>
                </c:pt>
                <c:pt idx="2">
                  <c:v>0.30842207999999999</c:v>
                </c:pt>
                <c:pt idx="3">
                  <c:v>1.3134744</c:v>
                </c:pt>
                <c:pt idx="4">
                  <c:v>1.91644272</c:v>
                </c:pt>
              </c:numCache>
            </c:numRef>
          </c:val>
          <c:extLst>
            <c:ext xmlns:c16="http://schemas.microsoft.com/office/drawing/2014/chart" uri="{C3380CC4-5D6E-409C-BE32-E72D297353CC}">
              <c16:uniqueId val="{00000006-7D9A-478A-9710-884BBD063C05}"/>
            </c:ext>
          </c:extLst>
        </c:ser>
        <c:ser>
          <c:idx val="7"/>
          <c:order val="7"/>
          <c:tx>
            <c:strRef>
              <c:f>'En.el (2)'!$H$79</c:f>
              <c:strCache>
                <c:ptCount val="1"/>
                <c:pt idx="0">
                  <c:v>odpady</c:v>
                </c:pt>
              </c:strCache>
            </c:strRef>
          </c:tx>
          <c:spPr>
            <a:solidFill>
              <a:schemeClr val="accent3"/>
            </a:solidFill>
            <a:ln>
              <a:noFill/>
            </a:ln>
            <a:effectLst/>
          </c:spPr>
          <c:invertIfNegative val="0"/>
          <c:cat>
            <c:numRef>
              <c:f>'En.el (2)'!$I$71:$M$71</c:f>
              <c:numCache>
                <c:formatCode>0</c:formatCode>
                <c:ptCount val="5"/>
                <c:pt idx="0">
                  <c:v>2020</c:v>
                </c:pt>
                <c:pt idx="1">
                  <c:v>2025</c:v>
                </c:pt>
                <c:pt idx="2">
                  <c:v>2030</c:v>
                </c:pt>
                <c:pt idx="3">
                  <c:v>2035</c:v>
                </c:pt>
                <c:pt idx="4">
                  <c:v>2040</c:v>
                </c:pt>
              </c:numCache>
            </c:numRef>
          </c:cat>
          <c:val>
            <c:numRef>
              <c:f>'En.el (2)'!$I$79:$M$79</c:f>
              <c:numCache>
                <c:formatCode>#\ ##0.0</c:formatCode>
                <c:ptCount val="5"/>
                <c:pt idx="0">
                  <c:v>4.8525241911732291</c:v>
                </c:pt>
                <c:pt idx="1">
                  <c:v>7.23827831722675</c:v>
                </c:pt>
                <c:pt idx="2">
                  <c:v>8.6368150829502248</c:v>
                </c:pt>
                <c:pt idx="3">
                  <c:v>8.0010255704768909</c:v>
                </c:pt>
                <c:pt idx="4">
                  <c:v>6.6902543078361001</c:v>
                </c:pt>
              </c:numCache>
            </c:numRef>
          </c:val>
          <c:extLst>
            <c:ext xmlns:c16="http://schemas.microsoft.com/office/drawing/2014/chart" uri="{C3380CC4-5D6E-409C-BE32-E72D297353CC}">
              <c16:uniqueId val="{00000007-7D9A-478A-9710-884BBD063C05}"/>
            </c:ext>
          </c:extLst>
        </c:ser>
        <c:ser>
          <c:idx val="8"/>
          <c:order val="8"/>
          <c:tx>
            <c:strRef>
              <c:f>'En.el (2)'!$H$80</c:f>
              <c:strCache>
                <c:ptCount val="1"/>
                <c:pt idx="0">
                  <c:v>kotły elektrodowe</c:v>
                </c:pt>
              </c:strCache>
            </c:strRef>
          </c:tx>
          <c:spPr>
            <a:solidFill>
              <a:schemeClr val="accent5"/>
            </a:solidFill>
            <a:ln>
              <a:noFill/>
            </a:ln>
            <a:effectLst/>
          </c:spPr>
          <c:invertIfNegative val="0"/>
          <c:cat>
            <c:numRef>
              <c:f>'En.el (2)'!$I$71:$M$71</c:f>
              <c:numCache>
                <c:formatCode>0</c:formatCode>
                <c:ptCount val="5"/>
                <c:pt idx="0">
                  <c:v>2020</c:v>
                </c:pt>
                <c:pt idx="1">
                  <c:v>2025</c:v>
                </c:pt>
                <c:pt idx="2">
                  <c:v>2030</c:v>
                </c:pt>
                <c:pt idx="3">
                  <c:v>2035</c:v>
                </c:pt>
                <c:pt idx="4">
                  <c:v>2040</c:v>
                </c:pt>
              </c:numCache>
            </c:numRef>
          </c:cat>
          <c:val>
            <c:numRef>
              <c:f>'En.el (2)'!$I$80:$M$80</c:f>
              <c:numCache>
                <c:formatCode>#\ ##0.0</c:formatCode>
                <c:ptCount val="5"/>
                <c:pt idx="0">
                  <c:v>0</c:v>
                </c:pt>
                <c:pt idx="1">
                  <c:v>1.750248</c:v>
                </c:pt>
                <c:pt idx="2">
                  <c:v>5.5720958400000002</c:v>
                </c:pt>
                <c:pt idx="3">
                  <c:v>13.95468</c:v>
                </c:pt>
                <c:pt idx="4">
                  <c:v>24.59808</c:v>
                </c:pt>
              </c:numCache>
            </c:numRef>
          </c:val>
          <c:extLst>
            <c:ext xmlns:c16="http://schemas.microsoft.com/office/drawing/2014/chart" uri="{C3380CC4-5D6E-409C-BE32-E72D297353CC}">
              <c16:uniqueId val="{00000008-7D9A-478A-9710-884BBD063C05}"/>
            </c:ext>
          </c:extLst>
        </c:ser>
        <c:ser>
          <c:idx val="9"/>
          <c:order val="9"/>
          <c:tx>
            <c:strRef>
              <c:f>'En.el (2)'!$H$81</c:f>
              <c:strCache>
                <c:ptCount val="1"/>
                <c:pt idx="0">
                  <c:v>pompy ciepła</c:v>
                </c:pt>
              </c:strCache>
            </c:strRef>
          </c:tx>
          <c:spPr>
            <a:solidFill>
              <a:srgbClr val="0070C0"/>
            </a:solidFill>
            <a:ln>
              <a:noFill/>
            </a:ln>
            <a:effectLst/>
          </c:spPr>
          <c:invertIfNegative val="0"/>
          <c:cat>
            <c:numRef>
              <c:f>'En.el (2)'!$I$71:$M$71</c:f>
              <c:numCache>
                <c:formatCode>0</c:formatCode>
                <c:ptCount val="5"/>
                <c:pt idx="0">
                  <c:v>2020</c:v>
                </c:pt>
                <c:pt idx="1">
                  <c:v>2025</c:v>
                </c:pt>
                <c:pt idx="2">
                  <c:v>2030</c:v>
                </c:pt>
                <c:pt idx="3">
                  <c:v>2035</c:v>
                </c:pt>
                <c:pt idx="4">
                  <c:v>2040</c:v>
                </c:pt>
              </c:numCache>
            </c:numRef>
          </c:cat>
          <c:val>
            <c:numRef>
              <c:f>'En.el (2)'!$I$81:$M$81</c:f>
              <c:numCache>
                <c:formatCode>#\ ##0.0</c:formatCode>
                <c:ptCount val="5"/>
                <c:pt idx="0">
                  <c:v>0</c:v>
                </c:pt>
                <c:pt idx="1">
                  <c:v>0.40839119999999995</c:v>
                </c:pt>
                <c:pt idx="2">
                  <c:v>4.3267391999999996</c:v>
                </c:pt>
                <c:pt idx="3">
                  <c:v>18.6756192</c:v>
                </c:pt>
                <c:pt idx="4">
                  <c:v>41.302699199999999</c:v>
                </c:pt>
              </c:numCache>
            </c:numRef>
          </c:val>
          <c:extLst>
            <c:ext xmlns:c16="http://schemas.microsoft.com/office/drawing/2014/chart" uri="{C3380CC4-5D6E-409C-BE32-E72D297353CC}">
              <c16:uniqueId val="{00000009-7D9A-478A-9710-884BBD063C05}"/>
            </c:ext>
          </c:extLst>
        </c:ser>
        <c:ser>
          <c:idx val="10"/>
          <c:order val="10"/>
          <c:tx>
            <c:strRef>
              <c:f>'En.el (2)'!$H$82</c:f>
              <c:strCache>
                <c:ptCount val="1"/>
                <c:pt idx="0">
                  <c:v>wodór</c:v>
                </c:pt>
              </c:strCache>
            </c:strRef>
          </c:tx>
          <c:spPr>
            <a:solidFill>
              <a:schemeClr val="accent2">
                <a:lumMod val="75000"/>
              </a:schemeClr>
            </a:solidFill>
            <a:ln>
              <a:noFill/>
            </a:ln>
            <a:effectLst/>
          </c:spPr>
          <c:invertIfNegative val="0"/>
          <c:cat>
            <c:numRef>
              <c:f>'En.el (2)'!$I$71:$M$71</c:f>
              <c:numCache>
                <c:formatCode>0</c:formatCode>
                <c:ptCount val="5"/>
                <c:pt idx="0">
                  <c:v>2020</c:v>
                </c:pt>
                <c:pt idx="1">
                  <c:v>2025</c:v>
                </c:pt>
                <c:pt idx="2">
                  <c:v>2030</c:v>
                </c:pt>
                <c:pt idx="3">
                  <c:v>2035</c:v>
                </c:pt>
                <c:pt idx="4">
                  <c:v>2040</c:v>
                </c:pt>
              </c:numCache>
            </c:numRef>
          </c:cat>
          <c:val>
            <c:numRef>
              <c:f>'En.el (2)'!$I$82:$M$82</c:f>
              <c:numCache>
                <c:formatCode>#\ ##0.0</c:formatCode>
                <c:ptCount val="5"/>
                <c:pt idx="0">
                  <c:v>0</c:v>
                </c:pt>
                <c:pt idx="1">
                  <c:v>0</c:v>
                </c:pt>
                <c:pt idx="2">
                  <c:v>0</c:v>
                </c:pt>
                <c:pt idx="3">
                  <c:v>0</c:v>
                </c:pt>
                <c:pt idx="4">
                  <c:v>33.63282864</c:v>
                </c:pt>
              </c:numCache>
            </c:numRef>
          </c:val>
          <c:extLst>
            <c:ext xmlns:c16="http://schemas.microsoft.com/office/drawing/2014/chart" uri="{C3380CC4-5D6E-409C-BE32-E72D297353CC}">
              <c16:uniqueId val="{0000000A-7D9A-478A-9710-884BBD063C05}"/>
            </c:ext>
          </c:extLst>
        </c:ser>
        <c:ser>
          <c:idx val="11"/>
          <c:order val="11"/>
          <c:tx>
            <c:strRef>
              <c:f>'En.el (2)'!$H$83</c:f>
              <c:strCache>
                <c:ptCount val="1"/>
                <c:pt idx="0">
                  <c:v>ciepło odpadowe</c:v>
                </c:pt>
              </c:strCache>
            </c:strRef>
          </c:tx>
          <c:spPr>
            <a:solidFill>
              <a:srgbClr val="D60093"/>
            </a:solidFill>
            <a:ln>
              <a:noFill/>
            </a:ln>
            <a:effectLst/>
          </c:spPr>
          <c:invertIfNegative val="0"/>
          <c:cat>
            <c:numRef>
              <c:f>'En.el (2)'!$I$71:$M$71</c:f>
              <c:numCache>
                <c:formatCode>0</c:formatCode>
                <c:ptCount val="5"/>
                <c:pt idx="0">
                  <c:v>2020</c:v>
                </c:pt>
                <c:pt idx="1">
                  <c:v>2025</c:v>
                </c:pt>
                <c:pt idx="2">
                  <c:v>2030</c:v>
                </c:pt>
                <c:pt idx="3">
                  <c:v>2035</c:v>
                </c:pt>
                <c:pt idx="4">
                  <c:v>2040</c:v>
                </c:pt>
              </c:numCache>
            </c:numRef>
          </c:cat>
          <c:val>
            <c:numRef>
              <c:f>'En.el (2)'!$I$83:$M$83</c:f>
              <c:numCache>
                <c:formatCode>#\ ##0.0</c:formatCode>
                <c:ptCount val="5"/>
                <c:pt idx="0">
                  <c:v>0.64100000000000001</c:v>
                </c:pt>
                <c:pt idx="1">
                  <c:v>1.2614400000000001</c:v>
                </c:pt>
                <c:pt idx="2">
                  <c:v>1.5768</c:v>
                </c:pt>
                <c:pt idx="3">
                  <c:v>7.78560768</c:v>
                </c:pt>
                <c:pt idx="4">
                  <c:v>15.64974</c:v>
                </c:pt>
              </c:numCache>
            </c:numRef>
          </c:val>
          <c:extLst>
            <c:ext xmlns:c16="http://schemas.microsoft.com/office/drawing/2014/chart" uri="{C3380CC4-5D6E-409C-BE32-E72D297353CC}">
              <c16:uniqueId val="{0000000B-7D9A-478A-9710-884BBD063C05}"/>
            </c:ext>
          </c:extLst>
        </c:ser>
        <c:dLbls>
          <c:showLegendKey val="0"/>
          <c:showVal val="0"/>
          <c:showCatName val="0"/>
          <c:showSerName val="0"/>
          <c:showPercent val="0"/>
          <c:showBubbleSize val="0"/>
        </c:dLbls>
        <c:gapWidth val="150"/>
        <c:overlap val="100"/>
        <c:axId val="1099436384"/>
        <c:axId val="1099441664"/>
      </c:barChart>
      <c:lineChart>
        <c:grouping val="standard"/>
        <c:varyColors val="0"/>
        <c:ser>
          <c:idx val="12"/>
          <c:order val="12"/>
          <c:tx>
            <c:strRef>
              <c:f>'En.el (2)'!$H$84</c:f>
              <c:strCache>
                <c:ptCount val="1"/>
                <c:pt idx="0">
                  <c:v>suma</c:v>
                </c:pt>
              </c:strCache>
            </c:strRef>
          </c:tx>
          <c:spPr>
            <a:ln w="28575" cap="rnd">
              <a:no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'En.el (2)'!$I$71:$M$71</c:f>
              <c:numCache>
                <c:formatCode>0</c:formatCode>
                <c:ptCount val="5"/>
                <c:pt idx="0">
                  <c:v>2020</c:v>
                </c:pt>
                <c:pt idx="1">
                  <c:v>2025</c:v>
                </c:pt>
                <c:pt idx="2">
                  <c:v>2030</c:v>
                </c:pt>
                <c:pt idx="3">
                  <c:v>2035</c:v>
                </c:pt>
                <c:pt idx="4">
                  <c:v>2040</c:v>
                </c:pt>
              </c:numCache>
            </c:numRef>
          </c:cat>
          <c:val>
            <c:numRef>
              <c:f>'En.el (2)'!$I$84:$M$84</c:f>
              <c:numCache>
                <c:formatCode>#,##0</c:formatCode>
                <c:ptCount val="5"/>
                <c:pt idx="0">
                  <c:v>285.94160228607166</c:v>
                </c:pt>
                <c:pt idx="1">
                  <c:v>276.02136288000008</c:v>
                </c:pt>
                <c:pt idx="2">
                  <c:v>247.60585008000001</c:v>
                </c:pt>
                <c:pt idx="3">
                  <c:v>225.90876671999999</c:v>
                </c:pt>
                <c:pt idx="4">
                  <c:v>218.57297790000001</c:v>
                </c:pt>
              </c:numCache>
            </c:numRef>
          </c:val>
          <c:smooth val="0"/>
          <c:extLst>
            <c:ext xmlns:c16="http://schemas.microsoft.com/office/drawing/2014/chart" uri="{C3380CC4-5D6E-409C-BE32-E72D297353CC}">
              <c16:uniqueId val="{0000000C-7D9A-478A-9710-884BBD063C05}"/>
            </c:ext>
          </c:extLst>
        </c:ser>
        <c:dLbls>
          <c:showLegendKey val="0"/>
          <c:showVal val="0"/>
          <c:showCatName val="0"/>
          <c:showSerName val="0"/>
          <c:showPercent val="0"/>
          <c:showBubbleSize val="0"/>
        </c:dLbls>
        <c:marker val="1"/>
        <c:smooth val="0"/>
        <c:axId val="1099436384"/>
        <c:axId val="1099441664"/>
      </c:lineChart>
      <c:catAx>
        <c:axId val="1099436384"/>
        <c:scaling>
          <c:orientation val="minMax"/>
        </c:scaling>
        <c:delete val="0"/>
        <c:axPos val="b"/>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1099441664"/>
        <c:crosses val="autoZero"/>
        <c:auto val="1"/>
        <c:lblAlgn val="ctr"/>
        <c:lblOffset val="100"/>
        <c:noMultiLvlLbl val="0"/>
      </c:catAx>
      <c:valAx>
        <c:axId val="1099441664"/>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pl-PL"/>
                  <a:t>[PJ]</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pl-PL"/>
            </a:p>
          </c:txPr>
        </c:title>
        <c:numFmt formatCode="#,##0" sourceLinked="0"/>
        <c:majorTickMark val="none"/>
        <c:minorTickMark val="none"/>
        <c:tickLblPos val="nextTo"/>
        <c:spPr>
          <a:noFill/>
          <a:ln>
            <a:solidFill>
              <a:schemeClr val="bg1">
                <a:lumMod val="85000"/>
              </a:schemeClr>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1099436384"/>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pl-PL"/>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1"/>
          <c:tx>
            <c:strRef>
              <c:f>OZE_wykr!$A$71</c:f>
              <c:strCache>
                <c:ptCount val="1"/>
                <c:pt idx="0">
                  <c:v>Udział OZE w ciepłownictwie i chłodnictwie </c:v>
                </c:pt>
              </c:strCache>
            </c:strRef>
          </c:tx>
          <c:spPr>
            <a:ln w="25400" cap="rnd">
              <a:solidFill>
                <a:schemeClr val="accent6"/>
              </a:solidFill>
              <a:round/>
            </a:ln>
            <a:effectLst/>
          </c:spPr>
          <c:marker>
            <c:symbol val="circle"/>
            <c:size val="5"/>
            <c:spPr>
              <a:solidFill>
                <a:schemeClr val="accent6"/>
              </a:solidFill>
              <a:ln w="9525">
                <a:noFill/>
              </a:ln>
              <a:effectLst/>
            </c:spPr>
          </c:marker>
          <c:dLbls>
            <c:dLbl>
              <c:idx val="2"/>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F2E-4CE0-8363-D611B3279C92}"/>
                </c:ext>
              </c:extLst>
            </c:dLbl>
            <c:dLbl>
              <c:idx val="5"/>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F2E-4CE0-8363-D611B3279C92}"/>
                </c:ext>
              </c:extLst>
            </c:dLbl>
            <c:dLbl>
              <c:idx val="7"/>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F2E-4CE0-8363-D611B3279C92}"/>
                </c:ext>
              </c:extLst>
            </c:dLbl>
            <c:dLbl>
              <c:idx val="10"/>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F2E-4CE0-8363-D611B3279C92}"/>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t"/>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OZE_wykr!$Q$69:$AA$69</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extLst/>
            </c:numRef>
          </c:cat>
          <c:val>
            <c:numRef>
              <c:f>OZE_wykr!$Q$71:$AA$71</c:f>
              <c:numCache>
                <c:formatCode>0.0%</c:formatCode>
                <c:ptCount val="11"/>
                <c:pt idx="0">
                  <c:v>0.221</c:v>
                </c:pt>
                <c:pt idx="1">
                  <c:v>0.24097997372778543</c:v>
                </c:pt>
                <c:pt idx="2">
                  <c:v>0.24833867946549257</c:v>
                </c:pt>
                <c:pt idx="3">
                  <c:v>0.25819766849944897</c:v>
                </c:pt>
                <c:pt idx="4">
                  <c:v>0.26145196795476072</c:v>
                </c:pt>
                <c:pt idx="5">
                  <c:v>0.26804525644257748</c:v>
                </c:pt>
                <c:pt idx="6">
                  <c:v>0.28767580034344459</c:v>
                </c:pt>
                <c:pt idx="7">
                  <c:v>0.30425682130287235</c:v>
                </c:pt>
                <c:pt idx="8">
                  <c:v>0.32119562849798278</c:v>
                </c:pt>
                <c:pt idx="9">
                  <c:v>0.33726919731523131</c:v>
                </c:pt>
                <c:pt idx="10">
                  <c:v>0.35422091442995879</c:v>
                </c:pt>
              </c:numCache>
              <c:extLst/>
            </c:numRef>
          </c:val>
          <c:smooth val="0"/>
          <c:extLst>
            <c:ext xmlns:c16="http://schemas.microsoft.com/office/drawing/2014/chart" uri="{C3380CC4-5D6E-409C-BE32-E72D297353CC}">
              <c16:uniqueId val="{00000004-3F2E-4CE0-8363-D611B3279C92}"/>
            </c:ext>
          </c:extLst>
        </c:ser>
        <c:dLbls>
          <c:showLegendKey val="0"/>
          <c:showVal val="0"/>
          <c:showCatName val="0"/>
          <c:showSerName val="0"/>
          <c:showPercent val="0"/>
          <c:showBubbleSize val="0"/>
        </c:dLbls>
        <c:marker val="1"/>
        <c:smooth val="0"/>
        <c:axId val="1870646704"/>
        <c:axId val="1012317695"/>
        <c:extLst>
          <c:ext xmlns:c15="http://schemas.microsoft.com/office/drawing/2012/chart" uri="{02D57815-91ED-43cb-92C2-25804820EDAC}">
            <c15:filteredLineSeries>
              <c15:ser>
                <c:idx val="0"/>
                <c:order val="0"/>
                <c:tx>
                  <c:strRef>
                    <c:extLst>
                      <c:ext uri="{02D57815-91ED-43cb-92C2-25804820EDAC}">
                        <c15:formulaRef>
                          <c15:sqref>OZE_wykr!$A$70</c15:sqref>
                        </c15:formulaRef>
                      </c:ext>
                    </c:extLst>
                    <c:strCache>
                      <c:ptCount val="1"/>
                      <c:pt idx="0">
                        <c:v>Udział OZE w elektroenergetyce</c:v>
                      </c:pt>
                    </c:strCache>
                  </c:strRef>
                </c:tx>
                <c:spPr>
                  <a:ln w="25400" cap="rnd">
                    <a:solidFill>
                      <a:schemeClr val="accent6">
                        <a:lumMod val="60000"/>
                        <a:lumOff val="40000"/>
                      </a:schemeClr>
                    </a:solidFill>
                    <a:round/>
                  </a:ln>
                  <a:effectLst/>
                </c:spPr>
                <c:marker>
                  <c:symbol val="circle"/>
                  <c:size val="5"/>
                  <c:spPr>
                    <a:solidFill>
                      <a:srgbClr val="92D050"/>
                    </a:solidFill>
                    <a:ln w="9525">
                      <a:noFill/>
                    </a:ln>
                    <a:effectLst/>
                  </c:spPr>
                </c:marker>
                <c:cat>
                  <c:numRef>
                    <c:extLst>
                      <c:ext uri="{02D57815-91ED-43cb-92C2-25804820EDAC}">
                        <c15:formulaRef>
                          <c15:sqref>OZE_wykr!$Q$69:$AA$69</c15:sqref>
                        </c15:formulaRef>
                      </c:ext>
                    </c:extLst>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extLst>
                      <c:ext uri="{02D57815-91ED-43cb-92C2-25804820EDAC}">
                        <c15:formulaRef>
                          <c15:sqref>OZE_wykr!$Q$70:$AA$70</c15:sqref>
                        </c15:formulaRef>
                      </c:ext>
                    </c:extLst>
                    <c:numCache>
                      <c:formatCode>0.0%</c:formatCode>
                      <c:ptCount val="11"/>
                      <c:pt idx="0">
                        <c:v>0.16200000000000001</c:v>
                      </c:pt>
                      <c:pt idx="1">
                        <c:v>0.169444802621012</c:v>
                      </c:pt>
                      <c:pt idx="2">
                        <c:v>0.21218723107953694</c:v>
                      </c:pt>
                      <c:pt idx="3">
                        <c:v>0.25154038826198755</c:v>
                      </c:pt>
                      <c:pt idx="4">
                        <c:v>0.28133511369171227</c:v>
                      </c:pt>
                      <c:pt idx="5">
                        <c:v>0.30994762647872315</c:v>
                      </c:pt>
                      <c:pt idx="6">
                        <c:v>0.35888965585276827</c:v>
                      </c:pt>
                      <c:pt idx="7">
                        <c:v>0.40990171133637876</c:v>
                      </c:pt>
                      <c:pt idx="8">
                        <c:v>0.46496365636437181</c:v>
                      </c:pt>
                      <c:pt idx="9">
                        <c:v>0.50925002566152555</c:v>
                      </c:pt>
                      <c:pt idx="10">
                        <c:v>0.56123395144511201</c:v>
                      </c:pt>
                    </c:numCache>
                  </c:numRef>
                </c:val>
                <c:smooth val="0"/>
                <c:extLst>
                  <c:ext xmlns:c16="http://schemas.microsoft.com/office/drawing/2014/chart" uri="{C3380CC4-5D6E-409C-BE32-E72D297353CC}">
                    <c16:uniqueId val="{00000005-3F2E-4CE0-8363-D611B3279C92}"/>
                  </c:ext>
                </c:extLst>
              </c15:ser>
            </c15:filteredLineSeries>
            <c15:filteredLineSeries>
              <c15:ser>
                <c:idx val="2"/>
                <c:order val="2"/>
                <c:tx>
                  <c:strRef>
                    <c:extLst xmlns:c15="http://schemas.microsoft.com/office/drawing/2012/chart">
                      <c:ext xmlns:c15="http://schemas.microsoft.com/office/drawing/2012/chart" uri="{02D57815-91ED-43cb-92C2-25804820EDAC}">
                        <c15:formulaRef>
                          <c15:sqref>OZE_wykr!$A$72</c15:sqref>
                        </c15:formulaRef>
                      </c:ext>
                    </c:extLst>
                    <c:strCache>
                      <c:ptCount val="1"/>
                      <c:pt idx="0">
                        <c:v>Udział OZE w transporcie </c:v>
                      </c:pt>
                    </c:strCache>
                  </c:strRef>
                </c:tx>
                <c:spPr>
                  <a:ln w="25400" cap="rnd">
                    <a:solidFill>
                      <a:srgbClr val="008000"/>
                    </a:solidFill>
                    <a:round/>
                  </a:ln>
                  <a:effectLst/>
                </c:spPr>
                <c:marker>
                  <c:symbol val="circle"/>
                  <c:size val="5"/>
                  <c:spPr>
                    <a:solidFill>
                      <a:srgbClr val="008000"/>
                    </a:solidFill>
                    <a:ln w="9525">
                      <a:noFill/>
                    </a:ln>
                    <a:effectLst/>
                  </c:spPr>
                </c:marker>
                <c:cat>
                  <c:numRef>
                    <c:extLst xmlns:c15="http://schemas.microsoft.com/office/drawing/2012/chart">
                      <c:ext xmlns:c15="http://schemas.microsoft.com/office/drawing/2012/chart" uri="{02D57815-91ED-43cb-92C2-25804820EDAC}">
                        <c15:formulaRef>
                          <c15:sqref>OZE_wykr!$Q$69:$AA$69</c15:sqref>
                        </c15:formulaRef>
                      </c:ext>
                    </c:extLst>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extLst xmlns:c15="http://schemas.microsoft.com/office/drawing/2012/chart">
                      <c:ext xmlns:c15="http://schemas.microsoft.com/office/drawing/2012/chart" uri="{02D57815-91ED-43cb-92C2-25804820EDAC}">
                        <c15:formulaRef>
                          <c15:sqref>OZE_wykr!$Q$72:$AA$72</c15:sqref>
                        </c15:formulaRef>
                      </c:ext>
                    </c:extLst>
                    <c:numCache>
                      <c:formatCode>0.0%</c:formatCode>
                      <c:ptCount val="11"/>
                      <c:pt idx="0">
                        <c:v>6.6000000000000003E-2</c:v>
                      </c:pt>
                      <c:pt idx="1">
                        <c:v>5.1281240755371077E-2</c:v>
                      </c:pt>
                      <c:pt idx="2">
                        <c:v>5.6964244829358586E-2</c:v>
                      </c:pt>
                      <c:pt idx="3">
                        <c:v>6.0210426174544508E-2</c:v>
                      </c:pt>
                      <c:pt idx="4">
                        <c:v>8.7327380523821607E-2</c:v>
                      </c:pt>
                      <c:pt idx="5">
                        <c:v>0.10112409599430945</c:v>
                      </c:pt>
                      <c:pt idx="6">
                        <c:v>0.11372579110839955</c:v>
                      </c:pt>
                      <c:pt idx="7">
                        <c:v>0.12937981682837529</c:v>
                      </c:pt>
                      <c:pt idx="8">
                        <c:v>0.14192769093154176</c:v>
                      </c:pt>
                      <c:pt idx="9">
                        <c:v>0.1575552886807324</c:v>
                      </c:pt>
                      <c:pt idx="10">
                        <c:v>0.17703352607235451</c:v>
                      </c:pt>
                    </c:numCache>
                  </c:numRef>
                </c:val>
                <c:smooth val="0"/>
                <c:extLst xmlns:c15="http://schemas.microsoft.com/office/drawing/2012/chart">
                  <c:ext xmlns:c16="http://schemas.microsoft.com/office/drawing/2014/chart" uri="{C3380CC4-5D6E-409C-BE32-E72D297353CC}">
                    <c16:uniqueId val="{00000006-3F2E-4CE0-8363-D611B3279C92}"/>
                  </c:ext>
                </c:extLst>
              </c15:ser>
            </c15:filteredLineSeries>
            <c15:filteredLineSeries>
              <c15:ser>
                <c:idx val="3"/>
                <c:order val="3"/>
                <c:tx>
                  <c:strRef>
                    <c:extLst xmlns:c15="http://schemas.microsoft.com/office/drawing/2012/chart">
                      <c:ext xmlns:c15="http://schemas.microsoft.com/office/drawing/2012/chart" uri="{02D57815-91ED-43cb-92C2-25804820EDAC}">
                        <c15:formulaRef>
                          <c15:sqref>OZE_wykr!$A$73</c15:sqref>
                        </c15:formulaRef>
                      </c:ext>
                    </c:extLst>
                    <c:strCache>
                      <c:ptCount val="1"/>
                      <c:pt idx="0">
                        <c:v>Udział energii ze źródeł odnawialnych w zużyciu końcowym energii brutto</c:v>
                      </c:pt>
                    </c:strCache>
                  </c:strRef>
                </c:tx>
                <c:spPr>
                  <a:ln w="28575" cap="rnd">
                    <a:solidFill>
                      <a:srgbClr val="006600"/>
                    </a:solidFill>
                    <a:round/>
                  </a:ln>
                  <a:effectLst/>
                </c:spPr>
                <c:marker>
                  <c:symbol val="circle"/>
                  <c:size val="5"/>
                  <c:spPr>
                    <a:solidFill>
                      <a:srgbClr val="006600"/>
                    </a:solidFill>
                    <a:ln w="9525">
                      <a:noFill/>
                    </a:ln>
                    <a:effectLst/>
                  </c:spPr>
                </c:marker>
                <c:cat>
                  <c:numRef>
                    <c:extLst xmlns:c15="http://schemas.microsoft.com/office/drawing/2012/chart">
                      <c:ext xmlns:c15="http://schemas.microsoft.com/office/drawing/2012/chart" uri="{02D57815-91ED-43cb-92C2-25804820EDAC}">
                        <c15:formulaRef>
                          <c15:sqref>OZE_wykr!$Q$69:$AA$69</c15:sqref>
                        </c15:formulaRef>
                      </c:ext>
                    </c:extLst>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extLst xmlns:c15="http://schemas.microsoft.com/office/drawing/2012/chart">
                      <c:ext xmlns:c15="http://schemas.microsoft.com/office/drawing/2012/chart" uri="{02D57815-91ED-43cb-92C2-25804820EDAC}">
                        <c15:formulaRef>
                          <c15:sqref>OZE_wykr!$Q$73:$AA$73</c15:sqref>
                        </c15:formulaRef>
                      </c:ext>
                    </c:extLst>
                    <c:numCache>
                      <c:formatCode>0.0%</c:formatCode>
                      <c:ptCount val="11"/>
                      <c:pt idx="0">
                        <c:v>0.161</c:v>
                      </c:pt>
                      <c:pt idx="1">
                        <c:v>0.16398918627583325</c:v>
                      </c:pt>
                      <c:pt idx="2">
                        <c:v>0.17638571342840342</c:v>
                      </c:pt>
                      <c:pt idx="3">
                        <c:v>0.19147107340541203</c:v>
                      </c:pt>
                      <c:pt idx="4">
                        <c:v>0.20559840838998275</c:v>
                      </c:pt>
                      <c:pt idx="5">
                        <c:v>0.21742132378773088</c:v>
                      </c:pt>
                      <c:pt idx="6">
                        <c:v>0.23771665245745657</c:v>
                      </c:pt>
                      <c:pt idx="7">
                        <c:v>0.2588567582404056</c:v>
                      </c:pt>
                      <c:pt idx="8">
                        <c:v>0.28171099344621081</c:v>
                      </c:pt>
                      <c:pt idx="9">
                        <c:v>0.30109541080520008</c:v>
                      </c:pt>
                      <c:pt idx="10">
                        <c:v>0.32616956938884933</c:v>
                      </c:pt>
                    </c:numCache>
                  </c:numRef>
                </c:val>
                <c:smooth val="0"/>
                <c:extLst xmlns:c15="http://schemas.microsoft.com/office/drawing/2012/chart">
                  <c:ext xmlns:c16="http://schemas.microsoft.com/office/drawing/2014/chart" uri="{C3380CC4-5D6E-409C-BE32-E72D297353CC}">
                    <c16:uniqueId val="{00000007-3F2E-4CE0-8363-D611B3279C92}"/>
                  </c:ext>
                </c:extLst>
              </c15:ser>
            </c15:filteredLineSeries>
          </c:ext>
        </c:extLst>
      </c:lineChart>
      <c:catAx>
        <c:axId val="18706467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1012317695"/>
        <c:crosses val="autoZero"/>
        <c:auto val="1"/>
        <c:lblAlgn val="ctr"/>
        <c:lblOffset val="100"/>
        <c:noMultiLvlLbl val="0"/>
      </c:catAx>
      <c:valAx>
        <c:axId val="1012317695"/>
        <c:scaling>
          <c:orientation val="minMax"/>
          <c:max val="0.4"/>
        </c:scaling>
        <c:delete val="0"/>
        <c:axPos val="l"/>
        <c:numFmt formatCode="0%" sourceLinked="0"/>
        <c:majorTickMark val="none"/>
        <c:minorTickMark val="none"/>
        <c:tickLblPos val="nextTo"/>
        <c:spPr>
          <a:noFill/>
          <a:ln>
            <a:solidFill>
              <a:schemeClr val="bg1">
                <a:lumMod val="85000"/>
              </a:schemeClr>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1870646704"/>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pl-PL"/>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2"/>
          <c:order val="2"/>
          <c:tx>
            <c:strRef>
              <c:f>OZE_wykr!$A$72</c:f>
              <c:strCache>
                <c:ptCount val="1"/>
                <c:pt idx="0">
                  <c:v>Udział OZE w transporcie </c:v>
                </c:pt>
              </c:strCache>
            </c:strRef>
          </c:tx>
          <c:spPr>
            <a:ln w="25400" cap="rnd">
              <a:solidFill>
                <a:srgbClr val="008000"/>
              </a:solidFill>
              <a:round/>
            </a:ln>
            <a:effectLst/>
          </c:spPr>
          <c:marker>
            <c:symbol val="circle"/>
            <c:size val="5"/>
            <c:spPr>
              <a:solidFill>
                <a:srgbClr val="008000"/>
              </a:solidFill>
              <a:ln w="9525">
                <a:noFill/>
              </a:ln>
              <a:effectLst/>
            </c:spPr>
          </c:marker>
          <c:dLbls>
            <c:dLbl>
              <c:idx val="2"/>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F10-4CD8-8C87-B9F26C2393B5}"/>
                </c:ext>
              </c:extLst>
            </c:dLbl>
            <c:dLbl>
              <c:idx val="5"/>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F10-4CD8-8C87-B9F26C2393B5}"/>
                </c:ext>
              </c:extLst>
            </c:dLbl>
            <c:dLbl>
              <c:idx val="7"/>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F10-4CD8-8C87-B9F26C2393B5}"/>
                </c:ext>
              </c:extLst>
            </c:dLbl>
            <c:dLbl>
              <c:idx val="10"/>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F10-4CD8-8C87-B9F26C2393B5}"/>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Lato" panose="020F0502020204030203" pitchFamily="34" charset="-18"/>
                    <a:ea typeface="+mn-ea"/>
                    <a:cs typeface="+mn-cs"/>
                  </a:defRPr>
                </a:pPr>
                <a:endParaRPr lang="pl-PL"/>
              </a:p>
            </c:txPr>
            <c:dLblPos val="t"/>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OZE_wykr!$Q$69:$AA$69</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extLst/>
            </c:numRef>
          </c:cat>
          <c:val>
            <c:numRef>
              <c:f>OZE_wykr!$Q$72:$AA$72</c:f>
              <c:numCache>
                <c:formatCode>0.0%</c:formatCode>
                <c:ptCount val="11"/>
                <c:pt idx="0">
                  <c:v>6.6000000000000003E-2</c:v>
                </c:pt>
                <c:pt idx="1">
                  <c:v>5.1281240755371077E-2</c:v>
                </c:pt>
                <c:pt idx="2">
                  <c:v>5.6964244829358586E-2</c:v>
                </c:pt>
                <c:pt idx="3">
                  <c:v>6.0210426174544508E-2</c:v>
                </c:pt>
                <c:pt idx="4">
                  <c:v>8.7327380523821607E-2</c:v>
                </c:pt>
                <c:pt idx="5">
                  <c:v>0.10112409599430945</c:v>
                </c:pt>
                <c:pt idx="6">
                  <c:v>0.11372579110839955</c:v>
                </c:pt>
                <c:pt idx="7">
                  <c:v>0.12937981682837529</c:v>
                </c:pt>
                <c:pt idx="8">
                  <c:v>0.14192769093154176</c:v>
                </c:pt>
                <c:pt idx="9">
                  <c:v>0.1575552886807324</c:v>
                </c:pt>
                <c:pt idx="10">
                  <c:v>0.17703352607235451</c:v>
                </c:pt>
              </c:numCache>
              <c:extLst/>
            </c:numRef>
          </c:val>
          <c:smooth val="0"/>
          <c:extLst>
            <c:ext xmlns:c16="http://schemas.microsoft.com/office/drawing/2014/chart" uri="{C3380CC4-5D6E-409C-BE32-E72D297353CC}">
              <c16:uniqueId val="{00000004-6F10-4CD8-8C87-B9F26C2393B5}"/>
            </c:ext>
          </c:extLst>
        </c:ser>
        <c:dLbls>
          <c:showLegendKey val="0"/>
          <c:showVal val="0"/>
          <c:showCatName val="0"/>
          <c:showSerName val="0"/>
          <c:showPercent val="0"/>
          <c:showBubbleSize val="0"/>
        </c:dLbls>
        <c:marker val="1"/>
        <c:smooth val="0"/>
        <c:axId val="1870646704"/>
        <c:axId val="1012317695"/>
        <c:extLst>
          <c:ext xmlns:c15="http://schemas.microsoft.com/office/drawing/2012/chart" uri="{02D57815-91ED-43cb-92C2-25804820EDAC}">
            <c15:filteredLineSeries>
              <c15:ser>
                <c:idx val="0"/>
                <c:order val="0"/>
                <c:tx>
                  <c:strRef>
                    <c:extLst>
                      <c:ext uri="{02D57815-91ED-43cb-92C2-25804820EDAC}">
                        <c15:formulaRef>
                          <c15:sqref>OZE_wykr!$A$70</c15:sqref>
                        </c15:formulaRef>
                      </c:ext>
                    </c:extLst>
                    <c:strCache>
                      <c:ptCount val="1"/>
                      <c:pt idx="0">
                        <c:v>Udział OZE w elektroenergetyce</c:v>
                      </c:pt>
                    </c:strCache>
                  </c:strRef>
                </c:tx>
                <c:spPr>
                  <a:ln w="25400" cap="rnd">
                    <a:solidFill>
                      <a:schemeClr val="accent6">
                        <a:lumMod val="60000"/>
                        <a:lumOff val="40000"/>
                      </a:schemeClr>
                    </a:solidFill>
                    <a:round/>
                  </a:ln>
                  <a:effectLst/>
                </c:spPr>
                <c:marker>
                  <c:symbol val="circle"/>
                  <c:size val="5"/>
                  <c:spPr>
                    <a:solidFill>
                      <a:srgbClr val="92D050"/>
                    </a:solidFill>
                    <a:ln w="9525">
                      <a:noFill/>
                    </a:ln>
                    <a:effectLst/>
                  </c:spPr>
                </c:marker>
                <c:cat>
                  <c:numRef>
                    <c:extLst>
                      <c:ext uri="{02D57815-91ED-43cb-92C2-25804820EDAC}">
                        <c15:formulaRef>
                          <c15:sqref>OZE_wykr!$Q$69:$AA$69</c15:sqref>
                        </c15:formulaRef>
                      </c:ext>
                    </c:extLst>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extLst>
                      <c:ext uri="{02D57815-91ED-43cb-92C2-25804820EDAC}">
                        <c15:formulaRef>
                          <c15:sqref>OZE_wykr!$Q$70:$AA$70</c15:sqref>
                        </c15:formulaRef>
                      </c:ext>
                    </c:extLst>
                    <c:numCache>
                      <c:formatCode>0.0%</c:formatCode>
                      <c:ptCount val="11"/>
                      <c:pt idx="0">
                        <c:v>0.16200000000000001</c:v>
                      </c:pt>
                      <c:pt idx="1">
                        <c:v>0.169444802621012</c:v>
                      </c:pt>
                      <c:pt idx="2">
                        <c:v>0.21218723107953694</c:v>
                      </c:pt>
                      <c:pt idx="3">
                        <c:v>0.25154038826198755</c:v>
                      </c:pt>
                      <c:pt idx="4">
                        <c:v>0.28133511369171227</c:v>
                      </c:pt>
                      <c:pt idx="5">
                        <c:v>0.30994762647872315</c:v>
                      </c:pt>
                      <c:pt idx="6">
                        <c:v>0.35888965585276827</c:v>
                      </c:pt>
                      <c:pt idx="7">
                        <c:v>0.40990171133637876</c:v>
                      </c:pt>
                      <c:pt idx="8">
                        <c:v>0.46496365636437181</c:v>
                      </c:pt>
                      <c:pt idx="9">
                        <c:v>0.50925002566152555</c:v>
                      </c:pt>
                      <c:pt idx="10">
                        <c:v>0.56123395144511201</c:v>
                      </c:pt>
                    </c:numCache>
                  </c:numRef>
                </c:val>
                <c:smooth val="0"/>
                <c:extLst>
                  <c:ext xmlns:c16="http://schemas.microsoft.com/office/drawing/2014/chart" uri="{C3380CC4-5D6E-409C-BE32-E72D297353CC}">
                    <c16:uniqueId val="{00000005-6F10-4CD8-8C87-B9F26C2393B5}"/>
                  </c:ext>
                </c:extLst>
              </c15:ser>
            </c15:filteredLineSeries>
            <c15:filteredLineSeries>
              <c15:ser>
                <c:idx val="1"/>
                <c:order val="1"/>
                <c:tx>
                  <c:strRef>
                    <c:extLst xmlns:c15="http://schemas.microsoft.com/office/drawing/2012/chart">
                      <c:ext xmlns:c15="http://schemas.microsoft.com/office/drawing/2012/chart" uri="{02D57815-91ED-43cb-92C2-25804820EDAC}">
                        <c15:formulaRef>
                          <c15:sqref>OZE_wykr!$A$71</c15:sqref>
                        </c15:formulaRef>
                      </c:ext>
                    </c:extLst>
                    <c:strCache>
                      <c:ptCount val="1"/>
                      <c:pt idx="0">
                        <c:v>Udział OZE w ciepłownictwie i chłodnictwie </c:v>
                      </c:pt>
                    </c:strCache>
                  </c:strRef>
                </c:tx>
                <c:spPr>
                  <a:ln w="25400" cap="rnd">
                    <a:solidFill>
                      <a:schemeClr val="accent6"/>
                    </a:solidFill>
                    <a:round/>
                  </a:ln>
                  <a:effectLst/>
                </c:spPr>
                <c:marker>
                  <c:symbol val="circle"/>
                  <c:size val="5"/>
                  <c:spPr>
                    <a:solidFill>
                      <a:schemeClr val="accent6"/>
                    </a:solidFill>
                    <a:ln w="9525">
                      <a:noFill/>
                    </a:ln>
                    <a:effectLst/>
                  </c:spPr>
                </c:marker>
                <c:cat>
                  <c:numRef>
                    <c:extLst xmlns:c15="http://schemas.microsoft.com/office/drawing/2012/chart">
                      <c:ext xmlns:c15="http://schemas.microsoft.com/office/drawing/2012/chart" uri="{02D57815-91ED-43cb-92C2-25804820EDAC}">
                        <c15:formulaRef>
                          <c15:sqref>OZE_wykr!$Q$69:$AA$69</c15:sqref>
                        </c15:formulaRef>
                      </c:ext>
                    </c:extLst>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extLst xmlns:c15="http://schemas.microsoft.com/office/drawing/2012/chart">
                      <c:ext xmlns:c15="http://schemas.microsoft.com/office/drawing/2012/chart" uri="{02D57815-91ED-43cb-92C2-25804820EDAC}">
                        <c15:formulaRef>
                          <c15:sqref>OZE_wykr!$Q$71:$AA$71</c15:sqref>
                        </c15:formulaRef>
                      </c:ext>
                    </c:extLst>
                    <c:numCache>
                      <c:formatCode>0.0%</c:formatCode>
                      <c:ptCount val="11"/>
                      <c:pt idx="0">
                        <c:v>0.221</c:v>
                      </c:pt>
                      <c:pt idx="1">
                        <c:v>0.24097997372778543</c:v>
                      </c:pt>
                      <c:pt idx="2">
                        <c:v>0.24833867946549257</c:v>
                      </c:pt>
                      <c:pt idx="3">
                        <c:v>0.25819766849944897</c:v>
                      </c:pt>
                      <c:pt idx="4">
                        <c:v>0.26145196795476072</c:v>
                      </c:pt>
                      <c:pt idx="5">
                        <c:v>0.26804525644257748</c:v>
                      </c:pt>
                      <c:pt idx="6">
                        <c:v>0.28767580034344459</c:v>
                      </c:pt>
                      <c:pt idx="7">
                        <c:v>0.30425682130287235</c:v>
                      </c:pt>
                      <c:pt idx="8">
                        <c:v>0.32119562849798278</c:v>
                      </c:pt>
                      <c:pt idx="9">
                        <c:v>0.33726919731523131</c:v>
                      </c:pt>
                      <c:pt idx="10">
                        <c:v>0.35422091442995879</c:v>
                      </c:pt>
                    </c:numCache>
                  </c:numRef>
                </c:val>
                <c:smooth val="0"/>
                <c:extLst xmlns:c15="http://schemas.microsoft.com/office/drawing/2012/chart">
                  <c:ext xmlns:c16="http://schemas.microsoft.com/office/drawing/2014/chart" uri="{C3380CC4-5D6E-409C-BE32-E72D297353CC}">
                    <c16:uniqueId val="{00000006-6F10-4CD8-8C87-B9F26C2393B5}"/>
                  </c:ext>
                </c:extLst>
              </c15:ser>
            </c15:filteredLineSeries>
            <c15:filteredLineSeries>
              <c15:ser>
                <c:idx val="3"/>
                <c:order val="3"/>
                <c:tx>
                  <c:strRef>
                    <c:extLst xmlns:c15="http://schemas.microsoft.com/office/drawing/2012/chart">
                      <c:ext xmlns:c15="http://schemas.microsoft.com/office/drawing/2012/chart" uri="{02D57815-91ED-43cb-92C2-25804820EDAC}">
                        <c15:formulaRef>
                          <c15:sqref>OZE_wykr!$A$73</c15:sqref>
                        </c15:formulaRef>
                      </c:ext>
                    </c:extLst>
                    <c:strCache>
                      <c:ptCount val="1"/>
                      <c:pt idx="0">
                        <c:v>Udział energii ze źródeł odnawialnych w zużyciu końcowym energii brutto</c:v>
                      </c:pt>
                    </c:strCache>
                  </c:strRef>
                </c:tx>
                <c:spPr>
                  <a:ln w="28575" cap="rnd">
                    <a:solidFill>
                      <a:srgbClr val="006600"/>
                    </a:solidFill>
                    <a:round/>
                  </a:ln>
                  <a:effectLst/>
                </c:spPr>
                <c:marker>
                  <c:symbol val="circle"/>
                  <c:size val="5"/>
                  <c:spPr>
                    <a:solidFill>
                      <a:srgbClr val="006600"/>
                    </a:solidFill>
                    <a:ln w="9525">
                      <a:noFill/>
                    </a:ln>
                    <a:effectLst/>
                  </c:spPr>
                </c:marker>
                <c:cat>
                  <c:numRef>
                    <c:extLst xmlns:c15="http://schemas.microsoft.com/office/drawing/2012/chart">
                      <c:ext xmlns:c15="http://schemas.microsoft.com/office/drawing/2012/chart" uri="{02D57815-91ED-43cb-92C2-25804820EDAC}">
                        <c15:formulaRef>
                          <c15:sqref>OZE_wykr!$Q$69:$AA$69</c15:sqref>
                        </c15:formulaRef>
                      </c:ext>
                    </c:extLst>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extLst xmlns:c15="http://schemas.microsoft.com/office/drawing/2012/chart">
                      <c:ext xmlns:c15="http://schemas.microsoft.com/office/drawing/2012/chart" uri="{02D57815-91ED-43cb-92C2-25804820EDAC}">
                        <c15:formulaRef>
                          <c15:sqref>OZE_wykr!$Q$73:$AA$73</c15:sqref>
                        </c15:formulaRef>
                      </c:ext>
                    </c:extLst>
                    <c:numCache>
                      <c:formatCode>0.0%</c:formatCode>
                      <c:ptCount val="11"/>
                      <c:pt idx="0">
                        <c:v>0.161</c:v>
                      </c:pt>
                      <c:pt idx="1">
                        <c:v>0.16398918627583325</c:v>
                      </c:pt>
                      <c:pt idx="2">
                        <c:v>0.17638571342840342</c:v>
                      </c:pt>
                      <c:pt idx="3">
                        <c:v>0.19147107340541203</c:v>
                      </c:pt>
                      <c:pt idx="4">
                        <c:v>0.20559840838998275</c:v>
                      </c:pt>
                      <c:pt idx="5">
                        <c:v>0.21742132378773088</c:v>
                      </c:pt>
                      <c:pt idx="6">
                        <c:v>0.23771665245745657</c:v>
                      </c:pt>
                      <c:pt idx="7">
                        <c:v>0.2588567582404056</c:v>
                      </c:pt>
                      <c:pt idx="8">
                        <c:v>0.28171099344621081</c:v>
                      </c:pt>
                      <c:pt idx="9">
                        <c:v>0.30109541080520008</c:v>
                      </c:pt>
                      <c:pt idx="10">
                        <c:v>0.32616956938884933</c:v>
                      </c:pt>
                    </c:numCache>
                  </c:numRef>
                </c:val>
                <c:smooth val="0"/>
                <c:extLst xmlns:c15="http://schemas.microsoft.com/office/drawing/2012/chart">
                  <c:ext xmlns:c16="http://schemas.microsoft.com/office/drawing/2014/chart" uri="{C3380CC4-5D6E-409C-BE32-E72D297353CC}">
                    <c16:uniqueId val="{00000007-6F10-4CD8-8C87-B9F26C2393B5}"/>
                  </c:ext>
                </c:extLst>
              </c15:ser>
            </c15:filteredLineSeries>
          </c:ext>
        </c:extLst>
      </c:lineChart>
      <c:catAx>
        <c:axId val="18706467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Lato" panose="020F0502020204030203" pitchFamily="34" charset="-18"/>
                <a:ea typeface="+mn-ea"/>
                <a:cs typeface="+mn-cs"/>
              </a:defRPr>
            </a:pPr>
            <a:endParaRPr lang="pl-PL"/>
          </a:p>
        </c:txPr>
        <c:crossAx val="1012317695"/>
        <c:crosses val="autoZero"/>
        <c:auto val="1"/>
        <c:lblAlgn val="ctr"/>
        <c:lblOffset val="100"/>
        <c:noMultiLvlLbl val="0"/>
      </c:catAx>
      <c:valAx>
        <c:axId val="1012317695"/>
        <c:scaling>
          <c:orientation val="minMax"/>
        </c:scaling>
        <c:delete val="0"/>
        <c:axPos val="l"/>
        <c:numFmt formatCode="0%" sourceLinked="0"/>
        <c:majorTickMark val="none"/>
        <c:minorTickMark val="none"/>
        <c:tickLblPos val="nextTo"/>
        <c:spPr>
          <a:noFill/>
          <a:ln>
            <a:solidFill>
              <a:schemeClr val="bg1">
                <a:lumMod val="85000"/>
              </a:schemeClr>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Lato" panose="020F0502020204030203" pitchFamily="34" charset="-18"/>
                <a:ea typeface="+mn-ea"/>
                <a:cs typeface="+mn-cs"/>
              </a:defRPr>
            </a:pPr>
            <a:endParaRPr lang="pl-PL"/>
          </a:p>
        </c:txPr>
        <c:crossAx val="1870646704"/>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latin typeface="Lato" panose="020F0502020204030203" pitchFamily="34" charset="-18"/>
        </a:defRPr>
      </a:pPr>
      <a:endParaRPr lang="pl-PL"/>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Lato" panose="020F0502020204030203" pitchFamily="34" charset="-18"/>
                <a:ea typeface="+mn-ea"/>
                <a:cs typeface="+mn-cs"/>
              </a:defRPr>
            </a:pPr>
            <a:r>
              <a:rPr lang="en-US" sz="1000"/>
              <a:t>Em</a:t>
            </a:r>
            <a:r>
              <a:rPr lang="pl-PL" sz="1000"/>
              <a:t>isje GC w przemyśle</a:t>
            </a:r>
            <a:br>
              <a:rPr lang="pl-PL" sz="1000"/>
            </a:br>
            <a:r>
              <a:rPr lang="pl-PL" sz="1000"/>
              <a:t> [mln t ekw. CO</a:t>
            </a:r>
            <a:r>
              <a:rPr lang="pl-PL" sz="1000" baseline="-25000"/>
              <a:t>2</a:t>
            </a:r>
            <a:r>
              <a:rPr lang="pl-PL" sz="1000"/>
              <a:t>]</a:t>
            </a:r>
            <a:endParaRPr lang="en-US" sz="100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Lato" panose="020F0502020204030203" pitchFamily="34" charset="-18"/>
              <a:ea typeface="+mn-ea"/>
              <a:cs typeface="+mn-cs"/>
            </a:defRPr>
          </a:pPr>
          <a:endParaRPr lang="pl-PL"/>
        </a:p>
      </c:txPr>
    </c:title>
    <c:autoTitleDeleted val="0"/>
    <c:plotArea>
      <c:layout/>
      <c:barChart>
        <c:barDir val="col"/>
        <c:grouping val="clustered"/>
        <c:varyColors val="0"/>
        <c:ser>
          <c:idx val="1"/>
          <c:order val="0"/>
          <c:tx>
            <c:strRef>
              <c:f>Emisje!$B$48</c:f>
              <c:strCache>
                <c:ptCount val="1"/>
                <c:pt idx="0">
                  <c:v>Scen. WEM</c:v>
                </c:pt>
              </c:strCache>
            </c:strRef>
          </c:tx>
          <c:spPr>
            <a:solidFill>
              <a:schemeClr val="accent1"/>
            </a:solidFill>
            <a:ln>
              <a:noFill/>
            </a:ln>
            <a:effectLst/>
          </c:spPr>
          <c:invertIfNegative val="0"/>
          <c:dPt>
            <c:idx val="0"/>
            <c:invertIfNegative val="0"/>
            <c:bubble3D val="0"/>
            <c:spPr>
              <a:solidFill>
                <a:schemeClr val="accent3"/>
              </a:solidFill>
              <a:ln>
                <a:noFill/>
              </a:ln>
              <a:effectLst/>
            </c:spPr>
            <c:extLst>
              <c:ext xmlns:c16="http://schemas.microsoft.com/office/drawing/2014/chart" uri="{C3380CC4-5D6E-409C-BE32-E72D297353CC}">
                <c16:uniqueId val="{00000001-D818-4646-B8D5-BC53CCC31109}"/>
              </c:ext>
            </c:extLst>
          </c:dPt>
          <c:dPt>
            <c:idx val="1"/>
            <c:invertIfNegative val="0"/>
            <c:bubble3D val="0"/>
            <c:spPr>
              <a:solidFill>
                <a:schemeClr val="accent3"/>
              </a:solidFill>
              <a:ln>
                <a:noFill/>
              </a:ln>
              <a:effectLst/>
            </c:spPr>
            <c:extLst>
              <c:ext xmlns:c16="http://schemas.microsoft.com/office/drawing/2014/chart" uri="{C3380CC4-5D6E-409C-BE32-E72D297353CC}">
                <c16:uniqueId val="{00000003-D818-4646-B8D5-BC53CCC31109}"/>
              </c:ext>
            </c:extLst>
          </c:dPt>
          <c:dLbls>
            <c:numFmt formatCode="#,##0.0" sourceLinked="0"/>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Lato" panose="020F0502020204030203" pitchFamily="34" charset="-18"/>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Emisje!$C$4:$F$4</c:f>
              <c:numCache>
                <c:formatCode>General</c:formatCode>
                <c:ptCount val="4"/>
                <c:pt idx="0" formatCode="0">
                  <c:v>1990</c:v>
                </c:pt>
                <c:pt idx="1">
                  <c:v>2021</c:v>
                </c:pt>
                <c:pt idx="2">
                  <c:v>2030</c:v>
                </c:pt>
                <c:pt idx="3">
                  <c:v>2040</c:v>
                </c:pt>
              </c:numCache>
            </c:numRef>
          </c:cat>
          <c:val>
            <c:numRef>
              <c:f>Emisje!$C$52:$F$52</c:f>
              <c:numCache>
                <c:formatCode>#,##0</c:formatCode>
                <c:ptCount val="4"/>
                <c:pt idx="0">
                  <c:v>21.971957985021021</c:v>
                </c:pt>
                <c:pt idx="1">
                  <c:v>24.557988821688202</c:v>
                </c:pt>
                <c:pt idx="2">
                  <c:v>24.03887109938216</c:v>
                </c:pt>
                <c:pt idx="3">
                  <c:v>24.177299395400357</c:v>
                </c:pt>
              </c:numCache>
            </c:numRef>
          </c:val>
          <c:extLst>
            <c:ext xmlns:c16="http://schemas.microsoft.com/office/drawing/2014/chart" uri="{C3380CC4-5D6E-409C-BE32-E72D297353CC}">
              <c16:uniqueId val="{00000004-D818-4646-B8D5-BC53CCC31109}"/>
            </c:ext>
          </c:extLst>
        </c:ser>
        <c:ser>
          <c:idx val="0"/>
          <c:order val="1"/>
          <c:tx>
            <c:strRef>
              <c:f>Emisje!$B$2</c:f>
              <c:strCache>
                <c:ptCount val="1"/>
                <c:pt idx="0">
                  <c:v>Scen. WAM</c:v>
                </c:pt>
              </c:strCache>
            </c:strRef>
          </c:tx>
          <c:spPr>
            <a:solidFill>
              <a:schemeClr val="accent6"/>
            </a:solidFill>
            <a:ln>
              <a:noFill/>
            </a:ln>
            <a:effectLst/>
          </c:spPr>
          <c:invertIfNegative val="0"/>
          <c:dPt>
            <c:idx val="0"/>
            <c:invertIfNegative val="0"/>
            <c:bubble3D val="0"/>
            <c:spPr>
              <a:noFill/>
              <a:ln>
                <a:noFill/>
              </a:ln>
              <a:effectLst/>
            </c:spPr>
            <c:extLst>
              <c:ext xmlns:c16="http://schemas.microsoft.com/office/drawing/2014/chart" uri="{C3380CC4-5D6E-409C-BE32-E72D297353CC}">
                <c16:uniqueId val="{00000006-D818-4646-B8D5-BC53CCC31109}"/>
              </c:ext>
            </c:extLst>
          </c:dPt>
          <c:dPt>
            <c:idx val="1"/>
            <c:invertIfNegative val="0"/>
            <c:bubble3D val="0"/>
            <c:spPr>
              <a:noFill/>
              <a:ln>
                <a:noFill/>
              </a:ln>
              <a:effectLst/>
            </c:spPr>
            <c:extLst>
              <c:ext xmlns:c16="http://schemas.microsoft.com/office/drawing/2014/chart" uri="{C3380CC4-5D6E-409C-BE32-E72D297353CC}">
                <c16:uniqueId val="{00000008-D818-4646-B8D5-BC53CCC31109}"/>
              </c:ext>
            </c:extLst>
          </c:dPt>
          <c:dLbls>
            <c:dLbl>
              <c:idx val="0"/>
              <c:delete val="1"/>
              <c:extLst>
                <c:ext xmlns:c15="http://schemas.microsoft.com/office/drawing/2012/chart" uri="{CE6537A1-D6FC-4f65-9D91-7224C49458BB}"/>
                <c:ext xmlns:c16="http://schemas.microsoft.com/office/drawing/2014/chart" uri="{C3380CC4-5D6E-409C-BE32-E72D297353CC}">
                  <c16:uniqueId val="{00000006-D818-4646-B8D5-BC53CCC31109}"/>
                </c:ext>
              </c:extLst>
            </c:dLbl>
            <c:dLbl>
              <c:idx val="1"/>
              <c:delete val="1"/>
              <c:extLst>
                <c:ext xmlns:c15="http://schemas.microsoft.com/office/drawing/2012/chart" uri="{CE6537A1-D6FC-4f65-9D91-7224C49458BB}"/>
                <c:ext xmlns:c16="http://schemas.microsoft.com/office/drawing/2014/chart" uri="{C3380CC4-5D6E-409C-BE32-E72D297353CC}">
                  <c16:uniqueId val="{00000008-D818-4646-B8D5-BC53CCC31109}"/>
                </c:ext>
              </c:extLst>
            </c:dLbl>
            <c:dLbl>
              <c:idx val="2"/>
              <c:layout>
                <c:manualLayout>
                  <c:x val="4.4150110375275938E-3"/>
                  <c:y val="1.190121987503719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D818-4646-B8D5-BC53CCC31109}"/>
                </c:ext>
              </c:extLst>
            </c:dLbl>
            <c:dLbl>
              <c:idx val="3"/>
              <c:layout>
                <c:manualLayout>
                  <c:x val="1.7660044150110375E-2"/>
                  <c:y val="5.9506099375185957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D818-4646-B8D5-BC53CCC31109}"/>
                </c:ext>
              </c:extLst>
            </c:dLbl>
            <c:numFmt formatCode="#,##0.0" sourceLinked="0"/>
            <c:spPr>
              <a:noFill/>
              <a:ln>
                <a:noFill/>
              </a:ln>
              <a:effectLst/>
            </c:spPr>
            <c:txPr>
              <a:bodyPr rot="0" spcFirstLastPara="1" vertOverflow="ellipsis" vert="horz" wrap="square" anchor="ctr" anchorCtr="1"/>
              <a:lstStyle/>
              <a:p>
                <a:pPr>
                  <a:defRPr sz="900" b="1" i="0" u="none" strike="noStrike" kern="1200" baseline="0">
                    <a:solidFill>
                      <a:schemeClr val="tx1">
                        <a:lumMod val="75000"/>
                        <a:lumOff val="25000"/>
                      </a:schemeClr>
                    </a:solidFill>
                    <a:latin typeface="Lato" panose="020F0502020204030203" pitchFamily="34" charset="-18"/>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Emisje!$C$4:$F$4</c:f>
              <c:numCache>
                <c:formatCode>General</c:formatCode>
                <c:ptCount val="4"/>
                <c:pt idx="0" formatCode="0">
                  <c:v>1990</c:v>
                </c:pt>
                <c:pt idx="1">
                  <c:v>2021</c:v>
                </c:pt>
                <c:pt idx="2">
                  <c:v>2030</c:v>
                </c:pt>
                <c:pt idx="3">
                  <c:v>2040</c:v>
                </c:pt>
              </c:numCache>
            </c:numRef>
          </c:cat>
          <c:val>
            <c:numRef>
              <c:f>Emisje!$C$6:$F$6</c:f>
              <c:numCache>
                <c:formatCode>#,##0</c:formatCode>
                <c:ptCount val="4"/>
                <c:pt idx="0">
                  <c:v>21.971957985021021</c:v>
                </c:pt>
                <c:pt idx="1">
                  <c:v>24.557988821688202</c:v>
                </c:pt>
                <c:pt idx="2">
                  <c:v>23.526810042691228</c:v>
                </c:pt>
                <c:pt idx="3">
                  <c:v>22.650889010045461</c:v>
                </c:pt>
              </c:numCache>
            </c:numRef>
          </c:val>
          <c:extLst>
            <c:ext xmlns:c16="http://schemas.microsoft.com/office/drawing/2014/chart" uri="{C3380CC4-5D6E-409C-BE32-E72D297353CC}">
              <c16:uniqueId val="{00000009-D818-4646-B8D5-BC53CCC31109}"/>
            </c:ext>
          </c:extLst>
        </c:ser>
        <c:dLbls>
          <c:showLegendKey val="0"/>
          <c:showVal val="0"/>
          <c:showCatName val="0"/>
          <c:showSerName val="0"/>
          <c:showPercent val="0"/>
          <c:showBubbleSize val="0"/>
        </c:dLbls>
        <c:gapWidth val="174"/>
        <c:axId val="849330863"/>
        <c:axId val="1162781599"/>
      </c:barChart>
      <c:lineChart>
        <c:grouping val="standard"/>
        <c:varyColors val="0"/>
        <c:ser>
          <c:idx val="2"/>
          <c:order val="2"/>
          <c:spPr>
            <a:ln w="28575" cap="rnd">
              <a:solidFill>
                <a:schemeClr val="accent3"/>
              </a:solidFill>
              <a:round/>
            </a:ln>
            <a:effectLst/>
          </c:spPr>
          <c:marker>
            <c:symbol val="none"/>
          </c:marker>
          <c:val>
            <c:numRef>
              <c:f>Emisje!$C$60:$F$60</c:f>
              <c:numCache>
                <c:formatCode>#,##0</c:formatCode>
                <c:ptCount val="4"/>
                <c:pt idx="0">
                  <c:v>21.971957985021021</c:v>
                </c:pt>
                <c:pt idx="1">
                  <c:v>21.971957985021021</c:v>
                </c:pt>
                <c:pt idx="2">
                  <c:v>21.971957985021021</c:v>
                </c:pt>
                <c:pt idx="3">
                  <c:v>21.971957985021021</c:v>
                </c:pt>
              </c:numCache>
            </c:numRef>
          </c:val>
          <c:smooth val="0"/>
          <c:extLst>
            <c:ext xmlns:c16="http://schemas.microsoft.com/office/drawing/2014/chart" uri="{C3380CC4-5D6E-409C-BE32-E72D297353CC}">
              <c16:uniqueId val="{0000000A-D818-4646-B8D5-BC53CCC31109}"/>
            </c:ext>
          </c:extLst>
        </c:ser>
        <c:dLbls>
          <c:showLegendKey val="0"/>
          <c:showVal val="0"/>
          <c:showCatName val="0"/>
          <c:showSerName val="0"/>
          <c:showPercent val="0"/>
          <c:showBubbleSize val="0"/>
        </c:dLbls>
        <c:marker val="1"/>
        <c:smooth val="0"/>
        <c:axId val="849330863"/>
        <c:axId val="1162781599"/>
      </c:lineChart>
      <c:catAx>
        <c:axId val="849330863"/>
        <c:scaling>
          <c:orientation val="minMax"/>
        </c:scaling>
        <c:delete val="0"/>
        <c:axPos val="b"/>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Lato" panose="020F0502020204030203" pitchFamily="34" charset="-18"/>
                <a:ea typeface="+mn-ea"/>
                <a:cs typeface="+mn-cs"/>
              </a:defRPr>
            </a:pPr>
            <a:endParaRPr lang="pl-PL"/>
          </a:p>
        </c:txPr>
        <c:crossAx val="1162781599"/>
        <c:crosses val="autoZero"/>
        <c:auto val="1"/>
        <c:lblAlgn val="ctr"/>
        <c:lblOffset val="100"/>
        <c:noMultiLvlLbl val="0"/>
      </c:catAx>
      <c:valAx>
        <c:axId val="1162781599"/>
        <c:scaling>
          <c:orientation val="minMax"/>
        </c:scaling>
        <c:delete val="0"/>
        <c:axPos val="l"/>
        <c:numFmt formatCode="#,##0" sourceLinked="1"/>
        <c:majorTickMark val="none"/>
        <c:minorTickMark val="none"/>
        <c:tickLblPos val="nextTo"/>
        <c:spPr>
          <a:noFill/>
          <a:ln>
            <a:solidFill>
              <a:schemeClr val="bg1">
                <a:lumMod val="85000"/>
              </a:schemeClr>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Lato" panose="020F0502020204030203" pitchFamily="34" charset="-18"/>
                <a:ea typeface="+mn-ea"/>
                <a:cs typeface="+mn-cs"/>
              </a:defRPr>
            </a:pPr>
            <a:endParaRPr lang="pl-PL"/>
          </a:p>
        </c:txPr>
        <c:crossAx val="849330863"/>
        <c:crosses val="autoZero"/>
        <c:crossBetween val="between"/>
      </c:valAx>
      <c:spPr>
        <a:noFill/>
        <a:ln>
          <a:noFill/>
        </a:ln>
        <a:effectLst/>
      </c:spPr>
    </c:plotArea>
    <c:legend>
      <c:legendPos val="b"/>
      <c:legendEntry>
        <c:idx val="2"/>
        <c:delete val="1"/>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Lato" panose="020F0502020204030203" pitchFamily="34" charset="-18"/>
              <a:ea typeface="+mn-ea"/>
              <a:cs typeface="+mn-cs"/>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Lato" panose="020F0502020204030203" pitchFamily="34" charset="-18"/>
        </a:defRPr>
      </a:pPr>
      <a:endParaRPr lang="pl-PL"/>
    </a:p>
  </c:txPr>
  <c:externalData r:id="rId3">
    <c:autoUpdate val="0"/>
  </c:externalData>
  <c:userShapes r:id="rId4"/>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100"/>
              <a:t>Em</a:t>
            </a:r>
            <a:r>
              <a:rPr lang="pl-PL" sz="1100"/>
              <a:t>isje GC w rolnictwie </a:t>
            </a:r>
            <a:br>
              <a:rPr lang="pl-PL" sz="1100"/>
            </a:br>
            <a:r>
              <a:rPr lang="pl-PL" sz="1100"/>
              <a:t>[mln t ekw. CO</a:t>
            </a:r>
            <a:r>
              <a:rPr lang="pl-PL" sz="1100" baseline="-25000"/>
              <a:t>2</a:t>
            </a:r>
            <a:r>
              <a:rPr lang="pl-PL" sz="1100"/>
              <a:t>]</a:t>
            </a:r>
            <a:endParaRPr lang="en-US" sz="110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pl-PL"/>
        </a:p>
      </c:txPr>
    </c:title>
    <c:autoTitleDeleted val="0"/>
    <c:plotArea>
      <c:layout/>
      <c:barChart>
        <c:barDir val="col"/>
        <c:grouping val="clustered"/>
        <c:varyColors val="0"/>
        <c:ser>
          <c:idx val="1"/>
          <c:order val="0"/>
          <c:tx>
            <c:strRef>
              <c:f>Emisje!$B$48</c:f>
              <c:strCache>
                <c:ptCount val="1"/>
                <c:pt idx="0">
                  <c:v>Scen. WEM</c:v>
                </c:pt>
              </c:strCache>
            </c:strRef>
          </c:tx>
          <c:spPr>
            <a:solidFill>
              <a:schemeClr val="accent1"/>
            </a:solidFill>
            <a:ln>
              <a:noFill/>
            </a:ln>
            <a:effectLst/>
          </c:spPr>
          <c:invertIfNegative val="0"/>
          <c:dPt>
            <c:idx val="0"/>
            <c:invertIfNegative val="0"/>
            <c:bubble3D val="0"/>
            <c:spPr>
              <a:solidFill>
                <a:schemeClr val="accent3"/>
              </a:solidFill>
              <a:ln>
                <a:noFill/>
              </a:ln>
              <a:effectLst/>
            </c:spPr>
            <c:extLst>
              <c:ext xmlns:c16="http://schemas.microsoft.com/office/drawing/2014/chart" uri="{C3380CC4-5D6E-409C-BE32-E72D297353CC}">
                <c16:uniqueId val="{00000001-28D6-4F13-B088-45EC4BD7070B}"/>
              </c:ext>
            </c:extLst>
          </c:dPt>
          <c:dPt>
            <c:idx val="1"/>
            <c:invertIfNegative val="0"/>
            <c:bubble3D val="0"/>
            <c:spPr>
              <a:solidFill>
                <a:schemeClr val="accent3"/>
              </a:solidFill>
              <a:ln>
                <a:noFill/>
              </a:ln>
              <a:effectLst/>
            </c:spPr>
            <c:extLst>
              <c:ext xmlns:c16="http://schemas.microsoft.com/office/drawing/2014/chart" uri="{C3380CC4-5D6E-409C-BE32-E72D297353CC}">
                <c16:uniqueId val="{00000003-28D6-4F13-B088-45EC4BD7070B}"/>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Emisje!$C$4:$F$4</c:f>
              <c:numCache>
                <c:formatCode>General</c:formatCode>
                <c:ptCount val="4"/>
                <c:pt idx="0" formatCode="0">
                  <c:v>1990</c:v>
                </c:pt>
                <c:pt idx="1">
                  <c:v>2021</c:v>
                </c:pt>
                <c:pt idx="2">
                  <c:v>2030</c:v>
                </c:pt>
                <c:pt idx="3">
                  <c:v>2040</c:v>
                </c:pt>
              </c:numCache>
            </c:numRef>
          </c:cat>
          <c:val>
            <c:numRef>
              <c:f>Emisje!$C$53:$F$53</c:f>
              <c:numCache>
                <c:formatCode>#,##0</c:formatCode>
                <c:ptCount val="4"/>
                <c:pt idx="0">
                  <c:v>49.29134267963196</c:v>
                </c:pt>
                <c:pt idx="1">
                  <c:v>34.035260211382585</c:v>
                </c:pt>
                <c:pt idx="2">
                  <c:v>34.650271024482784</c:v>
                </c:pt>
                <c:pt idx="3">
                  <c:v>34.519845151911305</c:v>
                </c:pt>
              </c:numCache>
            </c:numRef>
          </c:val>
          <c:extLst>
            <c:ext xmlns:c16="http://schemas.microsoft.com/office/drawing/2014/chart" uri="{C3380CC4-5D6E-409C-BE32-E72D297353CC}">
              <c16:uniqueId val="{00000004-28D6-4F13-B088-45EC4BD7070B}"/>
            </c:ext>
          </c:extLst>
        </c:ser>
        <c:ser>
          <c:idx val="0"/>
          <c:order val="1"/>
          <c:tx>
            <c:strRef>
              <c:f>Emisje!$B$2</c:f>
              <c:strCache>
                <c:ptCount val="1"/>
                <c:pt idx="0">
                  <c:v>Scen. WAM</c:v>
                </c:pt>
              </c:strCache>
            </c:strRef>
          </c:tx>
          <c:spPr>
            <a:solidFill>
              <a:schemeClr val="accent6"/>
            </a:solidFill>
            <a:ln>
              <a:noFill/>
            </a:ln>
            <a:effectLst/>
          </c:spPr>
          <c:invertIfNegative val="0"/>
          <c:dPt>
            <c:idx val="0"/>
            <c:invertIfNegative val="0"/>
            <c:bubble3D val="0"/>
            <c:spPr>
              <a:noFill/>
              <a:ln>
                <a:noFill/>
              </a:ln>
              <a:effectLst/>
            </c:spPr>
            <c:extLst>
              <c:ext xmlns:c16="http://schemas.microsoft.com/office/drawing/2014/chart" uri="{C3380CC4-5D6E-409C-BE32-E72D297353CC}">
                <c16:uniqueId val="{00000006-28D6-4F13-B088-45EC4BD7070B}"/>
              </c:ext>
            </c:extLst>
          </c:dPt>
          <c:dPt>
            <c:idx val="1"/>
            <c:invertIfNegative val="0"/>
            <c:bubble3D val="0"/>
            <c:spPr>
              <a:noFill/>
              <a:ln>
                <a:noFill/>
              </a:ln>
              <a:effectLst/>
            </c:spPr>
            <c:extLst>
              <c:ext xmlns:c16="http://schemas.microsoft.com/office/drawing/2014/chart" uri="{C3380CC4-5D6E-409C-BE32-E72D297353CC}">
                <c16:uniqueId val="{00000008-28D6-4F13-B088-45EC4BD7070B}"/>
              </c:ext>
            </c:extLst>
          </c:dPt>
          <c:dLbls>
            <c:dLbl>
              <c:idx val="0"/>
              <c:delete val="1"/>
              <c:extLst>
                <c:ext xmlns:c15="http://schemas.microsoft.com/office/drawing/2012/chart" uri="{CE6537A1-D6FC-4f65-9D91-7224C49458BB}"/>
                <c:ext xmlns:c16="http://schemas.microsoft.com/office/drawing/2014/chart" uri="{C3380CC4-5D6E-409C-BE32-E72D297353CC}">
                  <c16:uniqueId val="{00000006-28D6-4F13-B088-45EC4BD7070B}"/>
                </c:ext>
              </c:extLst>
            </c:dLbl>
            <c:dLbl>
              <c:idx val="1"/>
              <c:delete val="1"/>
              <c:extLst>
                <c:ext xmlns:c15="http://schemas.microsoft.com/office/drawing/2012/chart" uri="{CE6537A1-D6FC-4f65-9D91-7224C49458BB}"/>
                <c:ext xmlns:c16="http://schemas.microsoft.com/office/drawing/2014/chart" uri="{C3380CC4-5D6E-409C-BE32-E72D297353CC}">
                  <c16:uniqueId val="{00000008-28D6-4F13-B088-45EC4BD7070B}"/>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Emisje!$C$4:$F$4</c:f>
              <c:numCache>
                <c:formatCode>General</c:formatCode>
                <c:ptCount val="4"/>
                <c:pt idx="0" formatCode="0">
                  <c:v>1990</c:v>
                </c:pt>
                <c:pt idx="1">
                  <c:v>2021</c:v>
                </c:pt>
                <c:pt idx="2">
                  <c:v>2030</c:v>
                </c:pt>
                <c:pt idx="3">
                  <c:v>2040</c:v>
                </c:pt>
              </c:numCache>
            </c:numRef>
          </c:cat>
          <c:val>
            <c:numRef>
              <c:f>Emisje!$C$7:$F$7</c:f>
              <c:numCache>
                <c:formatCode>#,##0</c:formatCode>
                <c:ptCount val="4"/>
                <c:pt idx="0">
                  <c:v>49.29134267963196</c:v>
                </c:pt>
                <c:pt idx="1">
                  <c:v>34.035260211382585</c:v>
                </c:pt>
                <c:pt idx="2">
                  <c:v>32.093927666188648</c:v>
                </c:pt>
                <c:pt idx="3">
                  <c:v>30.483546825222188</c:v>
                </c:pt>
              </c:numCache>
            </c:numRef>
          </c:val>
          <c:extLst>
            <c:ext xmlns:c16="http://schemas.microsoft.com/office/drawing/2014/chart" uri="{C3380CC4-5D6E-409C-BE32-E72D297353CC}">
              <c16:uniqueId val="{00000009-28D6-4F13-B088-45EC4BD7070B}"/>
            </c:ext>
          </c:extLst>
        </c:ser>
        <c:dLbls>
          <c:showLegendKey val="0"/>
          <c:showVal val="0"/>
          <c:showCatName val="0"/>
          <c:showSerName val="0"/>
          <c:showPercent val="0"/>
          <c:showBubbleSize val="0"/>
        </c:dLbls>
        <c:gapWidth val="150"/>
        <c:axId val="849330863"/>
        <c:axId val="1162781599"/>
      </c:barChart>
      <c:lineChart>
        <c:grouping val="standard"/>
        <c:varyColors val="0"/>
        <c:ser>
          <c:idx val="2"/>
          <c:order val="2"/>
          <c:spPr>
            <a:ln w="28575" cap="rnd">
              <a:solidFill>
                <a:schemeClr val="accent3"/>
              </a:solidFill>
              <a:round/>
            </a:ln>
            <a:effectLst/>
          </c:spPr>
          <c:marker>
            <c:symbol val="none"/>
          </c:marker>
          <c:val>
            <c:numRef>
              <c:f>Emisje!$C$61:$F$61</c:f>
              <c:numCache>
                <c:formatCode>#,##0</c:formatCode>
                <c:ptCount val="4"/>
                <c:pt idx="0">
                  <c:v>49.29134267963196</c:v>
                </c:pt>
                <c:pt idx="1">
                  <c:v>49.29134267963196</c:v>
                </c:pt>
                <c:pt idx="2">
                  <c:v>49.29134267963196</c:v>
                </c:pt>
                <c:pt idx="3">
                  <c:v>49.29134267963196</c:v>
                </c:pt>
              </c:numCache>
            </c:numRef>
          </c:val>
          <c:smooth val="0"/>
          <c:extLst>
            <c:ext xmlns:c16="http://schemas.microsoft.com/office/drawing/2014/chart" uri="{C3380CC4-5D6E-409C-BE32-E72D297353CC}">
              <c16:uniqueId val="{0000000A-28D6-4F13-B088-45EC4BD7070B}"/>
            </c:ext>
          </c:extLst>
        </c:ser>
        <c:dLbls>
          <c:showLegendKey val="0"/>
          <c:showVal val="0"/>
          <c:showCatName val="0"/>
          <c:showSerName val="0"/>
          <c:showPercent val="0"/>
          <c:showBubbleSize val="0"/>
        </c:dLbls>
        <c:marker val="1"/>
        <c:smooth val="0"/>
        <c:axId val="849330863"/>
        <c:axId val="1162781599"/>
      </c:lineChart>
      <c:catAx>
        <c:axId val="849330863"/>
        <c:scaling>
          <c:orientation val="minMax"/>
        </c:scaling>
        <c:delete val="0"/>
        <c:axPos val="b"/>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1162781599"/>
        <c:crosses val="autoZero"/>
        <c:auto val="1"/>
        <c:lblAlgn val="ctr"/>
        <c:lblOffset val="100"/>
        <c:noMultiLvlLbl val="0"/>
      </c:catAx>
      <c:valAx>
        <c:axId val="1162781599"/>
        <c:scaling>
          <c:orientation val="minMax"/>
        </c:scaling>
        <c:delete val="0"/>
        <c:axPos val="l"/>
        <c:numFmt formatCode="#,##0" sourceLinked="1"/>
        <c:majorTickMark val="none"/>
        <c:minorTickMark val="none"/>
        <c:tickLblPos val="nextTo"/>
        <c:spPr>
          <a:noFill/>
          <a:ln>
            <a:solidFill>
              <a:schemeClr val="bg1">
                <a:lumMod val="85000"/>
              </a:schemeClr>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849330863"/>
        <c:crosses val="autoZero"/>
        <c:crossBetween val="between"/>
      </c:valAx>
      <c:spPr>
        <a:noFill/>
        <a:ln>
          <a:noFill/>
        </a:ln>
        <a:effectLst/>
      </c:spPr>
    </c:plotArea>
    <c:legend>
      <c:legendPos val="b"/>
      <c:legendEntry>
        <c:idx val="2"/>
        <c:delete val="1"/>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4">
    <c:autoUpdate val="0"/>
  </c:externalData>
  <c:userShapes r:id="rId5"/>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0747905152433593E-2"/>
          <c:y val="6.1580753822776189E-2"/>
          <c:w val="0.91548320026212704"/>
          <c:h val="0.71309998193545654"/>
        </c:manualLayout>
      </c:layout>
      <c:lineChart>
        <c:grouping val="standard"/>
        <c:varyColors val="0"/>
        <c:ser>
          <c:idx val="0"/>
          <c:order val="0"/>
          <c:tx>
            <c:strRef>
              <c:f>'Ef_en-wykr'!$B$7</c:f>
              <c:strCache>
                <c:ptCount val="1"/>
                <c:pt idx="0">
                  <c:v>Zużycie energii pierwotnej – KPEiK</c:v>
                </c:pt>
              </c:strCache>
            </c:strRef>
          </c:tx>
          <c:spPr>
            <a:ln w="28575" cap="rnd">
              <a:solidFill>
                <a:schemeClr val="accent1"/>
              </a:solidFill>
              <a:round/>
            </a:ln>
            <a:effectLst/>
          </c:spPr>
          <c:marker>
            <c:symbol val="diamond"/>
            <c:size val="6"/>
            <c:spPr>
              <a:solidFill>
                <a:schemeClr val="accent1"/>
              </a:solidFill>
              <a:ln w="9525">
                <a:solidFill>
                  <a:schemeClr val="accent1"/>
                </a:solidFill>
              </a:ln>
              <a:effectLst/>
            </c:spPr>
          </c:marker>
          <c:dPt>
            <c:idx val="5"/>
            <c:marker>
              <c:symbol val="diamond"/>
              <c:size val="8"/>
              <c:spPr>
                <a:solidFill>
                  <a:schemeClr val="accent1"/>
                </a:solidFill>
                <a:ln w="9525">
                  <a:solidFill>
                    <a:schemeClr val="accent1"/>
                  </a:solidFill>
                </a:ln>
                <a:effectLst/>
              </c:spPr>
            </c:marker>
            <c:bubble3D val="0"/>
            <c:extLst>
              <c:ext xmlns:c16="http://schemas.microsoft.com/office/drawing/2014/chart" uri="{C3380CC4-5D6E-409C-BE32-E72D297353CC}">
                <c16:uniqueId val="{00000000-A8B7-4C76-BE31-18264014A5C5}"/>
              </c:ext>
            </c:extLst>
          </c:dPt>
          <c:cat>
            <c:numRef>
              <c:f>'Ef_en-wykr'!$C$6:$H$6</c:f>
              <c:numCache>
                <c:formatCode>0</c:formatCode>
                <c:ptCount val="6"/>
                <c:pt idx="0">
                  <c:v>2005</c:v>
                </c:pt>
                <c:pt idx="1">
                  <c:v>2010</c:v>
                </c:pt>
                <c:pt idx="2">
                  <c:v>2015</c:v>
                </c:pt>
                <c:pt idx="3">
                  <c:v>2020</c:v>
                </c:pt>
                <c:pt idx="4">
                  <c:v>2025</c:v>
                </c:pt>
                <c:pt idx="5">
                  <c:v>2030</c:v>
                </c:pt>
              </c:numCache>
            </c:numRef>
          </c:cat>
          <c:val>
            <c:numRef>
              <c:f>'Ef_en-wykr'!$C$7:$H$7</c:f>
              <c:numCache>
                <c:formatCode>#,##0</c:formatCode>
                <c:ptCount val="6"/>
                <c:pt idx="0">
                  <c:v>87973.963404031718</c:v>
                </c:pt>
                <c:pt idx="1">
                  <c:v>96589.833555842182</c:v>
                </c:pt>
                <c:pt idx="2">
                  <c:v>90075.110899207022</c:v>
                </c:pt>
                <c:pt idx="3">
                  <c:v>96859.153000000006</c:v>
                </c:pt>
                <c:pt idx="4">
                  <c:v>94081.085508365024</c:v>
                </c:pt>
                <c:pt idx="5">
                  <c:v>80635.339174121007</c:v>
                </c:pt>
              </c:numCache>
            </c:numRef>
          </c:val>
          <c:smooth val="0"/>
          <c:extLst>
            <c:ext xmlns:c16="http://schemas.microsoft.com/office/drawing/2014/chart" uri="{C3380CC4-5D6E-409C-BE32-E72D297353CC}">
              <c16:uniqueId val="{00000001-A8B7-4C76-BE31-18264014A5C5}"/>
            </c:ext>
          </c:extLst>
        </c:ser>
        <c:ser>
          <c:idx val="1"/>
          <c:order val="1"/>
          <c:tx>
            <c:strRef>
              <c:f>'Ef_en-wykr'!$B$8</c:f>
              <c:strCache>
                <c:ptCount val="1"/>
                <c:pt idx="0">
                  <c:v>Finalne zużycie energii – KPEiK</c:v>
                </c:pt>
              </c:strCache>
            </c:strRef>
          </c:tx>
          <c:spPr>
            <a:ln w="28575" cap="rnd">
              <a:solidFill>
                <a:srgbClr val="006600"/>
              </a:solidFill>
              <a:round/>
            </a:ln>
            <a:effectLst/>
          </c:spPr>
          <c:marker>
            <c:symbol val="diamond"/>
            <c:size val="6"/>
            <c:spPr>
              <a:solidFill>
                <a:srgbClr val="006600"/>
              </a:solidFill>
              <a:ln w="9525">
                <a:noFill/>
              </a:ln>
              <a:effectLst/>
            </c:spPr>
          </c:marker>
          <c:cat>
            <c:numRef>
              <c:f>'Ef_en-wykr'!$C$6:$H$6</c:f>
              <c:numCache>
                <c:formatCode>0</c:formatCode>
                <c:ptCount val="6"/>
                <c:pt idx="0">
                  <c:v>2005</c:v>
                </c:pt>
                <c:pt idx="1">
                  <c:v>2010</c:v>
                </c:pt>
                <c:pt idx="2">
                  <c:v>2015</c:v>
                </c:pt>
                <c:pt idx="3">
                  <c:v>2020</c:v>
                </c:pt>
                <c:pt idx="4">
                  <c:v>2025</c:v>
                </c:pt>
                <c:pt idx="5">
                  <c:v>2030</c:v>
                </c:pt>
              </c:numCache>
            </c:numRef>
          </c:cat>
          <c:val>
            <c:numRef>
              <c:f>'Ef_en-wykr'!$C$8:$H$8</c:f>
              <c:numCache>
                <c:formatCode>#,##0</c:formatCode>
                <c:ptCount val="6"/>
                <c:pt idx="0">
                  <c:v>58487</c:v>
                </c:pt>
                <c:pt idx="1">
                  <c:v>66282.8</c:v>
                </c:pt>
                <c:pt idx="2">
                  <c:v>62299</c:v>
                </c:pt>
                <c:pt idx="3">
                  <c:v>71144.608999999997</c:v>
                </c:pt>
                <c:pt idx="4">
                  <c:v>70257.191834770623</c:v>
                </c:pt>
                <c:pt idx="5">
                  <c:v>64061.003756086073</c:v>
                </c:pt>
              </c:numCache>
            </c:numRef>
          </c:val>
          <c:smooth val="0"/>
          <c:extLst>
            <c:ext xmlns:c16="http://schemas.microsoft.com/office/drawing/2014/chart" uri="{C3380CC4-5D6E-409C-BE32-E72D297353CC}">
              <c16:uniqueId val="{00000002-A8B7-4C76-BE31-18264014A5C5}"/>
            </c:ext>
          </c:extLst>
        </c:ser>
        <c:ser>
          <c:idx val="2"/>
          <c:order val="2"/>
          <c:tx>
            <c:strRef>
              <c:f>'Ef_en-wykr'!$B$9</c:f>
              <c:strCache>
                <c:ptCount val="1"/>
                <c:pt idx="0">
                  <c:v>Zużycie energii pierwotnej PRIMES 2007</c:v>
                </c:pt>
              </c:strCache>
            </c:strRef>
          </c:tx>
          <c:spPr>
            <a:ln w="28575" cap="rnd">
              <a:solidFill>
                <a:schemeClr val="accent5"/>
              </a:solidFill>
              <a:prstDash val="sysDot"/>
              <a:round/>
            </a:ln>
            <a:effectLst/>
          </c:spPr>
          <c:marker>
            <c:symbol val="none"/>
          </c:marker>
          <c:cat>
            <c:numRef>
              <c:f>'Ef_en-wykr'!$C$6:$H$6</c:f>
              <c:numCache>
                <c:formatCode>0</c:formatCode>
                <c:ptCount val="6"/>
                <c:pt idx="0">
                  <c:v>2005</c:v>
                </c:pt>
                <c:pt idx="1">
                  <c:v>2010</c:v>
                </c:pt>
                <c:pt idx="2">
                  <c:v>2015</c:v>
                </c:pt>
                <c:pt idx="3">
                  <c:v>2020</c:v>
                </c:pt>
                <c:pt idx="4">
                  <c:v>2025</c:v>
                </c:pt>
                <c:pt idx="5">
                  <c:v>2030</c:v>
                </c:pt>
              </c:numCache>
            </c:numRef>
          </c:cat>
          <c:val>
            <c:numRef>
              <c:f>'Ef_en-wykr'!$C$9:$H$9</c:f>
              <c:numCache>
                <c:formatCode>#,##0</c:formatCode>
                <c:ptCount val="6"/>
                <c:pt idx="0">
                  <c:v>89581</c:v>
                </c:pt>
                <c:pt idx="1">
                  <c:v>95611</c:v>
                </c:pt>
                <c:pt idx="2">
                  <c:v>104804</c:v>
                </c:pt>
                <c:pt idx="3">
                  <c:v>109829</c:v>
                </c:pt>
                <c:pt idx="4">
                  <c:v>115057</c:v>
                </c:pt>
                <c:pt idx="5">
                  <c:v>118583</c:v>
                </c:pt>
              </c:numCache>
            </c:numRef>
          </c:val>
          <c:smooth val="0"/>
          <c:extLst>
            <c:ext xmlns:c16="http://schemas.microsoft.com/office/drawing/2014/chart" uri="{C3380CC4-5D6E-409C-BE32-E72D297353CC}">
              <c16:uniqueId val="{00000003-A8B7-4C76-BE31-18264014A5C5}"/>
            </c:ext>
          </c:extLst>
        </c:ser>
        <c:ser>
          <c:idx val="3"/>
          <c:order val="3"/>
          <c:tx>
            <c:strRef>
              <c:f>'Ef_en-wykr'!$B$10</c:f>
              <c:strCache>
                <c:ptCount val="1"/>
                <c:pt idx="0">
                  <c:v>Finalne zużycie energii PRIMES 2007</c:v>
                </c:pt>
              </c:strCache>
            </c:strRef>
          </c:tx>
          <c:spPr>
            <a:ln w="28575" cap="rnd">
              <a:solidFill>
                <a:schemeClr val="accent6"/>
              </a:solidFill>
              <a:prstDash val="sysDot"/>
              <a:round/>
            </a:ln>
            <a:effectLst/>
          </c:spPr>
          <c:marker>
            <c:symbol val="none"/>
          </c:marker>
          <c:cat>
            <c:numRef>
              <c:f>'Ef_en-wykr'!$C$6:$H$6</c:f>
              <c:numCache>
                <c:formatCode>0</c:formatCode>
                <c:ptCount val="6"/>
                <c:pt idx="0">
                  <c:v>2005</c:v>
                </c:pt>
                <c:pt idx="1">
                  <c:v>2010</c:v>
                </c:pt>
                <c:pt idx="2">
                  <c:v>2015</c:v>
                </c:pt>
                <c:pt idx="3">
                  <c:v>2020</c:v>
                </c:pt>
                <c:pt idx="4">
                  <c:v>2025</c:v>
                </c:pt>
                <c:pt idx="5">
                  <c:v>2030</c:v>
                </c:pt>
              </c:numCache>
            </c:numRef>
          </c:cat>
          <c:val>
            <c:numRef>
              <c:f>'Ef_en-wykr'!$C$10:$H$10</c:f>
              <c:numCache>
                <c:formatCode>#,##0</c:formatCode>
                <c:ptCount val="6"/>
                <c:pt idx="0">
                  <c:v>57169</c:v>
                </c:pt>
                <c:pt idx="1">
                  <c:v>63712</c:v>
                </c:pt>
                <c:pt idx="2">
                  <c:v>71246</c:v>
                </c:pt>
                <c:pt idx="3">
                  <c:v>77448</c:v>
                </c:pt>
                <c:pt idx="4">
                  <c:v>82174</c:v>
                </c:pt>
                <c:pt idx="5">
                  <c:v>85467</c:v>
                </c:pt>
              </c:numCache>
            </c:numRef>
          </c:val>
          <c:smooth val="0"/>
          <c:extLst>
            <c:ext xmlns:c16="http://schemas.microsoft.com/office/drawing/2014/chart" uri="{C3380CC4-5D6E-409C-BE32-E72D297353CC}">
              <c16:uniqueId val="{00000004-A8B7-4C76-BE31-18264014A5C5}"/>
            </c:ext>
          </c:extLst>
        </c:ser>
        <c:ser>
          <c:idx val="4"/>
          <c:order val="4"/>
          <c:tx>
            <c:strRef>
              <c:f>'Ef_en-wykr'!$B$11</c:f>
              <c:strCache>
                <c:ptCount val="1"/>
                <c:pt idx="0">
                  <c:v>Zużycie energii pierwotnej PRIMES 2020</c:v>
                </c:pt>
              </c:strCache>
            </c:strRef>
          </c:tx>
          <c:spPr>
            <a:ln w="28575" cap="rnd">
              <a:solidFill>
                <a:schemeClr val="accent5"/>
              </a:solidFill>
              <a:prstDash val="sysDash"/>
              <a:round/>
            </a:ln>
            <a:effectLst/>
          </c:spPr>
          <c:marker>
            <c:symbol val="circle"/>
            <c:size val="4"/>
            <c:spPr>
              <a:solidFill>
                <a:schemeClr val="accent5"/>
              </a:solidFill>
              <a:ln w="9525">
                <a:noFill/>
              </a:ln>
              <a:effectLst/>
            </c:spPr>
          </c:marker>
          <c:cat>
            <c:numRef>
              <c:f>'Ef_en-wykr'!$C$6:$H$6</c:f>
              <c:numCache>
                <c:formatCode>0</c:formatCode>
                <c:ptCount val="6"/>
                <c:pt idx="0">
                  <c:v>2005</c:v>
                </c:pt>
                <c:pt idx="1">
                  <c:v>2010</c:v>
                </c:pt>
                <c:pt idx="2">
                  <c:v>2015</c:v>
                </c:pt>
                <c:pt idx="3">
                  <c:v>2020</c:v>
                </c:pt>
                <c:pt idx="4">
                  <c:v>2025</c:v>
                </c:pt>
                <c:pt idx="5">
                  <c:v>2030</c:v>
                </c:pt>
              </c:numCache>
            </c:numRef>
          </c:cat>
          <c:val>
            <c:numRef>
              <c:f>'Ef_en-wykr'!$C$11:$H$11</c:f>
              <c:numCache>
                <c:formatCode>#,##0</c:formatCode>
                <c:ptCount val="6"/>
                <c:pt idx="0">
                  <c:v>87959.651573411407</c:v>
                </c:pt>
                <c:pt idx="1">
                  <c:v>96568.513431158601</c:v>
                </c:pt>
                <c:pt idx="2">
                  <c:v>90535.239922401102</c:v>
                </c:pt>
                <c:pt idx="3">
                  <c:v>85700</c:v>
                </c:pt>
                <c:pt idx="4">
                  <c:v>91300</c:v>
                </c:pt>
                <c:pt idx="5">
                  <c:v>93327</c:v>
                </c:pt>
              </c:numCache>
            </c:numRef>
          </c:val>
          <c:smooth val="0"/>
          <c:extLst>
            <c:ext xmlns:c16="http://schemas.microsoft.com/office/drawing/2014/chart" uri="{C3380CC4-5D6E-409C-BE32-E72D297353CC}">
              <c16:uniqueId val="{00000005-A8B7-4C76-BE31-18264014A5C5}"/>
            </c:ext>
          </c:extLst>
        </c:ser>
        <c:ser>
          <c:idx val="5"/>
          <c:order val="5"/>
          <c:tx>
            <c:strRef>
              <c:f>'Ef_en-wykr'!$B$12</c:f>
              <c:strCache>
                <c:ptCount val="1"/>
                <c:pt idx="0">
                  <c:v>Finalne zużycie energii PRIMES 2020</c:v>
                </c:pt>
              </c:strCache>
            </c:strRef>
          </c:tx>
          <c:spPr>
            <a:ln w="28575" cap="rnd">
              <a:solidFill>
                <a:schemeClr val="accent6"/>
              </a:solidFill>
              <a:prstDash val="sysDash"/>
              <a:round/>
            </a:ln>
            <a:effectLst/>
          </c:spPr>
          <c:marker>
            <c:symbol val="circle"/>
            <c:size val="4"/>
            <c:spPr>
              <a:solidFill>
                <a:schemeClr val="accent6"/>
              </a:solidFill>
              <a:ln w="9525">
                <a:noFill/>
              </a:ln>
              <a:effectLst/>
            </c:spPr>
          </c:marker>
          <c:dPt>
            <c:idx val="5"/>
            <c:marker>
              <c:symbol val="circle"/>
              <c:size val="6"/>
              <c:spPr>
                <a:solidFill>
                  <a:schemeClr val="accent6"/>
                </a:solidFill>
                <a:ln w="9525">
                  <a:noFill/>
                </a:ln>
                <a:effectLst/>
              </c:spPr>
            </c:marker>
            <c:bubble3D val="0"/>
            <c:extLst>
              <c:ext xmlns:c16="http://schemas.microsoft.com/office/drawing/2014/chart" uri="{C3380CC4-5D6E-409C-BE32-E72D297353CC}">
                <c16:uniqueId val="{00000006-A8B7-4C76-BE31-18264014A5C5}"/>
              </c:ext>
            </c:extLst>
          </c:dPt>
          <c:cat>
            <c:numRef>
              <c:f>'Ef_en-wykr'!$C$6:$H$6</c:f>
              <c:numCache>
                <c:formatCode>0</c:formatCode>
                <c:ptCount val="6"/>
                <c:pt idx="0">
                  <c:v>2005</c:v>
                </c:pt>
                <c:pt idx="1">
                  <c:v>2010</c:v>
                </c:pt>
                <c:pt idx="2">
                  <c:v>2015</c:v>
                </c:pt>
                <c:pt idx="3">
                  <c:v>2020</c:v>
                </c:pt>
                <c:pt idx="4">
                  <c:v>2025</c:v>
                </c:pt>
                <c:pt idx="5">
                  <c:v>2030</c:v>
                </c:pt>
              </c:numCache>
            </c:numRef>
          </c:cat>
          <c:val>
            <c:numRef>
              <c:f>'Ef_en-wykr'!$C$12:$H$12</c:f>
              <c:numCache>
                <c:formatCode>#,##0</c:formatCode>
                <c:ptCount val="6"/>
                <c:pt idx="0">
                  <c:v>58487</c:v>
                </c:pt>
                <c:pt idx="1">
                  <c:v>66282.8</c:v>
                </c:pt>
                <c:pt idx="2">
                  <c:v>62299</c:v>
                </c:pt>
                <c:pt idx="3">
                  <c:v>62700</c:v>
                </c:pt>
                <c:pt idx="4">
                  <c:v>67900</c:v>
                </c:pt>
                <c:pt idx="5">
                  <c:v>67161</c:v>
                </c:pt>
              </c:numCache>
            </c:numRef>
          </c:val>
          <c:smooth val="0"/>
          <c:extLst>
            <c:ext xmlns:c16="http://schemas.microsoft.com/office/drawing/2014/chart" uri="{C3380CC4-5D6E-409C-BE32-E72D297353CC}">
              <c16:uniqueId val="{00000007-A8B7-4C76-BE31-18264014A5C5}"/>
            </c:ext>
          </c:extLst>
        </c:ser>
        <c:ser>
          <c:idx val="6"/>
          <c:order val="6"/>
          <c:tx>
            <c:strRef>
              <c:f>'Ef_en-wykr'!$B$15</c:f>
              <c:strCache>
                <c:ptCount val="1"/>
                <c:pt idx="0">
                  <c:v>Oczekiwane zużycie energii pierwotnej wg formuły</c:v>
                </c:pt>
              </c:strCache>
            </c:strRef>
          </c:tx>
          <c:spPr>
            <a:ln w="28575" cap="rnd">
              <a:noFill/>
              <a:round/>
            </a:ln>
            <a:effectLst/>
          </c:spPr>
          <c:marker>
            <c:symbol val="circle"/>
            <c:size val="9"/>
            <c:spPr>
              <a:solidFill>
                <a:srgbClr val="002060"/>
              </a:solidFill>
              <a:ln w="9525">
                <a:noFill/>
              </a:ln>
              <a:effectLst/>
            </c:spPr>
          </c:marker>
          <c:dPt>
            <c:idx val="0"/>
            <c:marker>
              <c:symbol val="circle"/>
              <c:size val="9"/>
              <c:spPr>
                <a:noFill/>
                <a:ln w="9525">
                  <a:noFill/>
                </a:ln>
                <a:effectLst/>
              </c:spPr>
            </c:marker>
            <c:bubble3D val="0"/>
            <c:extLst>
              <c:ext xmlns:c16="http://schemas.microsoft.com/office/drawing/2014/chart" uri="{C3380CC4-5D6E-409C-BE32-E72D297353CC}">
                <c16:uniqueId val="{00000008-A8B7-4C76-BE31-18264014A5C5}"/>
              </c:ext>
            </c:extLst>
          </c:dPt>
          <c:dPt>
            <c:idx val="1"/>
            <c:marker>
              <c:symbol val="circle"/>
              <c:size val="9"/>
              <c:spPr>
                <a:noFill/>
                <a:ln w="9525">
                  <a:noFill/>
                </a:ln>
                <a:effectLst/>
              </c:spPr>
            </c:marker>
            <c:bubble3D val="0"/>
            <c:extLst>
              <c:ext xmlns:c16="http://schemas.microsoft.com/office/drawing/2014/chart" uri="{C3380CC4-5D6E-409C-BE32-E72D297353CC}">
                <c16:uniqueId val="{00000009-A8B7-4C76-BE31-18264014A5C5}"/>
              </c:ext>
            </c:extLst>
          </c:dPt>
          <c:dPt>
            <c:idx val="2"/>
            <c:marker>
              <c:symbol val="circle"/>
              <c:size val="9"/>
              <c:spPr>
                <a:noFill/>
                <a:ln w="9525">
                  <a:noFill/>
                </a:ln>
                <a:effectLst/>
              </c:spPr>
            </c:marker>
            <c:bubble3D val="0"/>
            <c:extLst>
              <c:ext xmlns:c16="http://schemas.microsoft.com/office/drawing/2014/chart" uri="{C3380CC4-5D6E-409C-BE32-E72D297353CC}">
                <c16:uniqueId val="{0000000A-A8B7-4C76-BE31-18264014A5C5}"/>
              </c:ext>
            </c:extLst>
          </c:dPt>
          <c:cat>
            <c:numRef>
              <c:f>'Ef_en-wykr'!$C$6:$H$6</c:f>
              <c:numCache>
                <c:formatCode>0</c:formatCode>
                <c:ptCount val="6"/>
                <c:pt idx="0">
                  <c:v>2005</c:v>
                </c:pt>
                <c:pt idx="1">
                  <c:v>2010</c:v>
                </c:pt>
                <c:pt idx="2">
                  <c:v>2015</c:v>
                </c:pt>
                <c:pt idx="3">
                  <c:v>2020</c:v>
                </c:pt>
                <c:pt idx="4">
                  <c:v>2025</c:v>
                </c:pt>
                <c:pt idx="5">
                  <c:v>2030</c:v>
                </c:pt>
              </c:numCache>
            </c:numRef>
          </c:cat>
          <c:val>
            <c:numRef>
              <c:f>'Ef_en-wykr'!$C$15:$H$15</c:f>
              <c:numCache>
                <c:formatCode>General</c:formatCode>
                <c:ptCount val="6"/>
                <c:pt idx="3" formatCode="#,##0">
                  <c:v>96859</c:v>
                </c:pt>
                <c:pt idx="4" formatCode="#,##0">
                  <c:v>103734</c:v>
                </c:pt>
                <c:pt idx="5" formatCode="#,##0">
                  <c:v>79931.871802918002</c:v>
                </c:pt>
              </c:numCache>
            </c:numRef>
          </c:val>
          <c:smooth val="0"/>
          <c:extLst>
            <c:ext xmlns:c16="http://schemas.microsoft.com/office/drawing/2014/chart" uri="{C3380CC4-5D6E-409C-BE32-E72D297353CC}">
              <c16:uniqueId val="{0000000B-A8B7-4C76-BE31-18264014A5C5}"/>
            </c:ext>
          </c:extLst>
        </c:ser>
        <c:ser>
          <c:idx val="7"/>
          <c:order val="7"/>
          <c:tx>
            <c:strRef>
              <c:f>'Ef_en-wykr'!$B$16</c:f>
              <c:strCache>
                <c:ptCount val="1"/>
                <c:pt idx="0">
                  <c:v>Oczekiwane finalne zużycie energii wg formuły</c:v>
                </c:pt>
              </c:strCache>
            </c:strRef>
          </c:tx>
          <c:spPr>
            <a:ln w="28575" cap="rnd">
              <a:noFill/>
              <a:round/>
            </a:ln>
            <a:effectLst/>
          </c:spPr>
          <c:marker>
            <c:symbol val="circle"/>
            <c:size val="8"/>
            <c:spPr>
              <a:solidFill>
                <a:schemeClr val="accent4"/>
              </a:solidFill>
              <a:ln w="9525">
                <a:noFill/>
              </a:ln>
              <a:effectLst/>
            </c:spPr>
          </c:marker>
          <c:dPt>
            <c:idx val="0"/>
            <c:marker>
              <c:symbol val="circle"/>
              <c:size val="8"/>
              <c:spPr>
                <a:noFill/>
                <a:ln w="9525">
                  <a:noFill/>
                </a:ln>
                <a:effectLst/>
              </c:spPr>
            </c:marker>
            <c:bubble3D val="0"/>
            <c:extLst>
              <c:ext xmlns:c16="http://schemas.microsoft.com/office/drawing/2014/chart" uri="{C3380CC4-5D6E-409C-BE32-E72D297353CC}">
                <c16:uniqueId val="{0000000C-A8B7-4C76-BE31-18264014A5C5}"/>
              </c:ext>
            </c:extLst>
          </c:dPt>
          <c:dPt>
            <c:idx val="1"/>
            <c:marker>
              <c:symbol val="circle"/>
              <c:size val="8"/>
              <c:spPr>
                <a:noFill/>
                <a:ln w="9525">
                  <a:noFill/>
                </a:ln>
                <a:effectLst/>
              </c:spPr>
            </c:marker>
            <c:bubble3D val="0"/>
            <c:extLst>
              <c:ext xmlns:c16="http://schemas.microsoft.com/office/drawing/2014/chart" uri="{C3380CC4-5D6E-409C-BE32-E72D297353CC}">
                <c16:uniqueId val="{0000000D-A8B7-4C76-BE31-18264014A5C5}"/>
              </c:ext>
            </c:extLst>
          </c:dPt>
          <c:dPt>
            <c:idx val="2"/>
            <c:marker>
              <c:symbol val="circle"/>
              <c:size val="8"/>
              <c:spPr>
                <a:noFill/>
                <a:ln w="9525">
                  <a:noFill/>
                </a:ln>
                <a:effectLst/>
              </c:spPr>
            </c:marker>
            <c:bubble3D val="0"/>
            <c:extLst>
              <c:ext xmlns:c16="http://schemas.microsoft.com/office/drawing/2014/chart" uri="{C3380CC4-5D6E-409C-BE32-E72D297353CC}">
                <c16:uniqueId val="{0000000E-A8B7-4C76-BE31-18264014A5C5}"/>
              </c:ext>
            </c:extLst>
          </c:dPt>
          <c:cat>
            <c:numRef>
              <c:f>'Ef_en-wykr'!$C$6:$H$6</c:f>
              <c:numCache>
                <c:formatCode>0</c:formatCode>
                <c:ptCount val="6"/>
                <c:pt idx="0">
                  <c:v>2005</c:v>
                </c:pt>
                <c:pt idx="1">
                  <c:v>2010</c:v>
                </c:pt>
                <c:pt idx="2">
                  <c:v>2015</c:v>
                </c:pt>
                <c:pt idx="3">
                  <c:v>2020</c:v>
                </c:pt>
                <c:pt idx="4">
                  <c:v>2025</c:v>
                </c:pt>
                <c:pt idx="5">
                  <c:v>2030</c:v>
                </c:pt>
              </c:numCache>
            </c:numRef>
          </c:cat>
          <c:val>
            <c:numRef>
              <c:f>'Ef_en-wykr'!$C$16:$H$16</c:f>
              <c:numCache>
                <c:formatCode>General</c:formatCode>
                <c:ptCount val="6"/>
                <c:pt idx="3" formatCode="#,##0">
                  <c:v>71145</c:v>
                </c:pt>
                <c:pt idx="4" formatCode="#,##0">
                  <c:v>75978</c:v>
                </c:pt>
                <c:pt idx="5" formatCode="#,##0">
                  <c:v>58532.040375731478</c:v>
                </c:pt>
              </c:numCache>
            </c:numRef>
          </c:val>
          <c:smooth val="0"/>
          <c:extLst>
            <c:ext xmlns:c16="http://schemas.microsoft.com/office/drawing/2014/chart" uri="{C3380CC4-5D6E-409C-BE32-E72D297353CC}">
              <c16:uniqueId val="{0000000F-A8B7-4C76-BE31-18264014A5C5}"/>
            </c:ext>
          </c:extLst>
        </c:ser>
        <c:dLbls>
          <c:showLegendKey val="0"/>
          <c:showVal val="0"/>
          <c:showCatName val="0"/>
          <c:showSerName val="0"/>
          <c:showPercent val="0"/>
          <c:showBubbleSize val="0"/>
        </c:dLbls>
        <c:marker val="1"/>
        <c:smooth val="0"/>
        <c:axId val="1451345024"/>
        <c:axId val="1893813872"/>
      </c:lineChart>
      <c:catAx>
        <c:axId val="1451345024"/>
        <c:scaling>
          <c:orientation val="minMax"/>
        </c:scaling>
        <c:delete val="0"/>
        <c:axPos val="b"/>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1893813872"/>
        <c:crosses val="autoZero"/>
        <c:auto val="1"/>
        <c:lblAlgn val="ctr"/>
        <c:lblOffset val="100"/>
        <c:noMultiLvlLbl val="0"/>
      </c:catAx>
      <c:valAx>
        <c:axId val="1893813872"/>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pl-PL"/>
                  <a:t>[ktoe]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pl-PL"/>
            </a:p>
          </c:txPr>
        </c:title>
        <c:numFmt formatCode="#,##0" sourceLinked="1"/>
        <c:majorTickMark val="none"/>
        <c:minorTickMark val="none"/>
        <c:tickLblPos val="nextTo"/>
        <c:spPr>
          <a:noFill/>
          <a:ln>
            <a:solidFill>
              <a:schemeClr val="bg1">
                <a:lumMod val="85000"/>
              </a:schemeClr>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145134502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750" b="0" i="0" u="none" strike="noStrike" kern="1200" baseline="0">
              <a:solidFill>
                <a:schemeClr val="tx1">
                  <a:lumMod val="65000"/>
                  <a:lumOff val="35000"/>
                </a:schemeClr>
              </a:solidFill>
              <a:latin typeface="+mn-lt"/>
              <a:ea typeface="+mn-ea"/>
              <a:cs typeface="+mn-cs"/>
            </a:defRPr>
          </a:pPr>
          <a:endParaRPr lang="pl-PL"/>
        </a:p>
      </c:txPr>
    </c:legend>
    <c:plotVisOnly val="1"/>
    <c:dispBlanksAs val="zero"/>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pl-PL"/>
    </a:p>
  </c:txPr>
  <c:externalData r:id="rId3">
    <c:autoUpdate val="0"/>
  </c:externalData>
  <c:userShapes r:id="rId4"/>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7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ln w="9525" cap="flat" cmpd="sng" algn="ctr">
        <a:solidFill>
          <a:schemeClr val="tx1">
            <a:lumMod val="15000"/>
            <a:lumOff val="85000"/>
          </a:schemeClr>
        </a:solidFill>
        <a:round/>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_rels/drawing2.xml.rels><?xml version="1.0" encoding="UTF-8" standalone="yes"?>
<Relationships xmlns="http://schemas.openxmlformats.org/package/2006/relationships"><Relationship Id="rId3" Type="http://schemas.openxmlformats.org/officeDocument/2006/relationships/image" Target="../media/image27.png"/><Relationship Id="rId2" Type="http://schemas.openxmlformats.org/officeDocument/2006/relationships/image" Target="../media/image26.png"/><Relationship Id="rId1" Type="http://schemas.openxmlformats.org/officeDocument/2006/relationships/image" Target="../media/image25.png"/></Relationships>
</file>

<file path=word/drawings/drawing1.xml><?xml version="1.0" encoding="utf-8"?>
<c:userShapes xmlns:c="http://schemas.openxmlformats.org/drawingml/2006/chart">
  <cdr:relSizeAnchor xmlns:cdr="http://schemas.openxmlformats.org/drawingml/2006/chartDrawing">
    <cdr:from>
      <cdr:x>0.45692</cdr:x>
      <cdr:y>0.15402</cdr:y>
    </cdr:from>
    <cdr:to>
      <cdr:x>0.56519</cdr:x>
      <cdr:y>0.2637</cdr:y>
    </cdr:to>
    <cdr:sp macro="" textlink="">
      <cdr:nvSpPr>
        <cdr:cNvPr id="4" name="pole tekstowe 8"/>
        <cdr:cNvSpPr txBox="1"/>
      </cdr:nvSpPr>
      <cdr:spPr>
        <a:xfrm xmlns:a="http://schemas.openxmlformats.org/drawingml/2006/main">
          <a:off x="2632203" y="511707"/>
          <a:ext cx="623695" cy="364392"/>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ctr"/>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r"/>
          <a:fld id="{D9B7077A-B03A-4A32-8640-2A8663BB15B0}" type="TxLink">
            <a:rPr lang="en-US" sz="1400" b="1" i="0" u="none" strike="noStrike">
              <a:solidFill>
                <a:srgbClr val="000000"/>
              </a:solidFill>
              <a:latin typeface="Lato"/>
            </a:rPr>
            <a:pPr algn="r"/>
            <a:t>-50%</a:t>
          </a:fld>
          <a:endParaRPr lang="pl-PL" sz="2400" b="1"/>
        </a:p>
      </cdr:txBody>
    </cdr:sp>
  </cdr:relSizeAnchor>
  <cdr:relSizeAnchor xmlns:cdr="http://schemas.openxmlformats.org/drawingml/2006/chartDrawing">
    <cdr:from>
      <cdr:x>0.5943</cdr:x>
      <cdr:y>0.08022</cdr:y>
    </cdr:from>
    <cdr:to>
      <cdr:x>0.61595</cdr:x>
      <cdr:y>0.50282</cdr:y>
    </cdr:to>
    <cdr:sp macro="" textlink="">
      <cdr:nvSpPr>
        <cdr:cNvPr id="5" name="Strzałka: w dół 4"/>
        <cdr:cNvSpPr/>
      </cdr:nvSpPr>
      <cdr:spPr>
        <a:xfrm xmlns:a="http://schemas.openxmlformats.org/drawingml/2006/main">
          <a:off x="3423596" y="266522"/>
          <a:ext cx="124720" cy="1404000"/>
        </a:xfrm>
        <a:prstGeom xmlns:a="http://schemas.openxmlformats.org/drawingml/2006/main" prst="downArrow">
          <a:avLst/>
        </a:prstGeom>
        <a:ln xmlns:a="http://schemas.openxmlformats.org/drawingml/2006/main">
          <a:noFill/>
        </a:ln>
      </cdr:spPr>
      <cdr:style>
        <a:lnRef xmlns:a="http://schemas.openxmlformats.org/drawingml/2006/main" idx="3">
          <a:schemeClr val="lt1"/>
        </a:lnRef>
        <a:fillRef xmlns:a="http://schemas.openxmlformats.org/drawingml/2006/main" idx="1">
          <a:schemeClr val="accent6"/>
        </a:fillRef>
        <a:effectRef xmlns:a="http://schemas.openxmlformats.org/drawingml/2006/main" idx="1">
          <a:schemeClr val="accent6"/>
        </a:effectRef>
        <a:fontRef xmlns:a="http://schemas.openxmlformats.org/drawingml/2006/main" idx="minor">
          <a:schemeClr val="lt1"/>
        </a:fontRef>
      </cdr:style>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pPr algn="l"/>
          <a:endParaRPr lang="pl-PL" sz="1100"/>
        </a:p>
      </cdr:txBody>
    </cdr:sp>
  </cdr:relSizeAnchor>
  <cdr:relSizeAnchor xmlns:cdr="http://schemas.openxmlformats.org/drawingml/2006/chartDrawing">
    <cdr:from>
      <cdr:x>0.45249</cdr:x>
      <cdr:y>0.08041</cdr:y>
    </cdr:from>
    <cdr:to>
      <cdr:x>0.47541</cdr:x>
      <cdr:y>0.38381</cdr:y>
    </cdr:to>
    <cdr:sp macro="" textlink="">
      <cdr:nvSpPr>
        <cdr:cNvPr id="6" name="Strzałka: w dół 5"/>
        <cdr:cNvSpPr/>
      </cdr:nvSpPr>
      <cdr:spPr>
        <a:xfrm xmlns:a="http://schemas.openxmlformats.org/drawingml/2006/main">
          <a:off x="2606649" y="267155"/>
          <a:ext cx="132036" cy="1008000"/>
        </a:xfrm>
        <a:prstGeom xmlns:a="http://schemas.openxmlformats.org/drawingml/2006/main" prst="downArrow">
          <a:avLst/>
        </a:prstGeom>
        <a:ln xmlns:a="http://schemas.openxmlformats.org/drawingml/2006/main">
          <a:noFill/>
        </a:ln>
      </cdr:spPr>
      <cdr:style>
        <a:lnRef xmlns:a="http://schemas.openxmlformats.org/drawingml/2006/main" idx="3">
          <a:schemeClr val="lt1"/>
        </a:lnRef>
        <a:fillRef xmlns:a="http://schemas.openxmlformats.org/drawingml/2006/main" idx="1">
          <a:schemeClr val="accent6"/>
        </a:fillRef>
        <a:effectRef xmlns:a="http://schemas.openxmlformats.org/drawingml/2006/main" idx="1">
          <a:schemeClr val="accent6"/>
        </a:effectRef>
        <a:fontRef xmlns:a="http://schemas.openxmlformats.org/drawingml/2006/main" idx="minor">
          <a:schemeClr val="lt1"/>
        </a:fontRef>
      </cdr:style>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pPr algn="l"/>
          <a:endParaRPr lang="pl-PL" sz="1100"/>
        </a:p>
      </cdr:txBody>
    </cdr:sp>
  </cdr:relSizeAnchor>
  <cdr:relSizeAnchor xmlns:cdr="http://schemas.openxmlformats.org/drawingml/2006/chartDrawing">
    <cdr:from>
      <cdr:x>0.59402</cdr:x>
      <cdr:y>0.18384</cdr:y>
    </cdr:from>
    <cdr:to>
      <cdr:x>0.69884</cdr:x>
      <cdr:y>0.24548</cdr:y>
    </cdr:to>
    <cdr:sp macro="" textlink="">
      <cdr:nvSpPr>
        <cdr:cNvPr id="7" name="pole tekstowe 8"/>
        <cdr:cNvSpPr txBox="1"/>
      </cdr:nvSpPr>
      <cdr:spPr>
        <a:xfrm xmlns:a="http://schemas.openxmlformats.org/drawingml/2006/main">
          <a:off x="3421996" y="610788"/>
          <a:ext cx="603839" cy="204788"/>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ctr"/>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r"/>
          <a:r>
            <a:rPr lang="pl-PL" sz="1200" b="1" i="0" u="none" strike="noStrike">
              <a:solidFill>
                <a:srgbClr val="000000"/>
              </a:solidFill>
              <a:latin typeface="Lato"/>
            </a:rPr>
            <a:t>-70%</a:t>
          </a:r>
          <a:endParaRPr lang="pl-PL" sz="1200" b="1"/>
        </a:p>
      </cdr:txBody>
    </cdr:sp>
  </cdr:relSizeAnchor>
</c:userShapes>
</file>

<file path=word/drawings/drawing2.xml><?xml version="1.0" encoding="utf-8"?>
<c:userShapes xmlns:c="http://schemas.openxmlformats.org/drawingml/2006/chart">
  <cdr:relSizeAnchor xmlns:cdr="http://schemas.openxmlformats.org/drawingml/2006/chartDrawing">
    <cdr:from>
      <cdr:x>0.82731</cdr:x>
      <cdr:y>0.26251</cdr:y>
    </cdr:from>
    <cdr:to>
      <cdr:x>0.86479</cdr:x>
      <cdr:y>0.31293</cdr:y>
    </cdr:to>
    <cdr:pic>
      <cdr:nvPicPr>
        <cdr:cNvPr id="2" name="Obraz 1" descr="Obraz zawierający czarne, ciemność&#10;&#10;Opis wygenerowany automatycznie"/>
        <cdr:cNvPicPr>
          <a:picLocks xmlns:a="http://schemas.openxmlformats.org/drawingml/2006/main" noChangeAspect="1"/>
        </cdr:cNvPicPr>
      </cdr:nvPicPr>
      <cdr:blipFill>
        <a:blip xmlns:a="http://schemas.openxmlformats.org/drawingml/2006/main" xmlns:r="http://schemas.openxmlformats.org/officeDocument/2006/relationships" r:embed="rId1" cstate="print">
          <a:duotone>
            <a:schemeClr val="bg2">
              <a:shade val="45000"/>
              <a:satMod val="135000"/>
            </a:schemeClr>
            <a:prstClr val="white"/>
          </a:duotone>
          <a:extLst>
            <a:ext uri="{28A0092B-C50C-407E-A947-70E740481C1C}">
              <a14:useLocalDpi xmlns:a14="http://schemas.microsoft.com/office/drawing/2010/main" val="0"/>
            </a:ext>
          </a:extLst>
        </a:blip>
        <a:srcRect xmlns:a="http://schemas.openxmlformats.org/drawingml/2006/main"/>
        <a:stretch xmlns:a="http://schemas.openxmlformats.org/drawingml/2006/main">
          <a:fillRect/>
        </a:stretch>
      </cdr:blipFill>
      <cdr:spPr bwMode="auto">
        <a:xfrm xmlns:a="http://schemas.openxmlformats.org/drawingml/2006/main">
          <a:off x="4765886" y="1203536"/>
          <a:ext cx="215900" cy="231140"/>
        </a:xfrm>
        <a:prstGeom xmlns:a="http://schemas.openxmlformats.org/drawingml/2006/main" prst="rect">
          <a:avLst/>
        </a:prstGeom>
        <a:noFill xmlns:a="http://schemas.openxmlformats.org/drawingml/2006/main"/>
      </cdr:spPr>
    </cdr:pic>
  </cdr:relSizeAnchor>
  <cdr:relSizeAnchor xmlns:cdr="http://schemas.openxmlformats.org/drawingml/2006/chartDrawing">
    <cdr:from>
      <cdr:x>0.81864</cdr:x>
      <cdr:y>0.51787</cdr:y>
    </cdr:from>
    <cdr:to>
      <cdr:x>0.86185</cdr:x>
      <cdr:y>0.57922</cdr:y>
    </cdr:to>
    <cdr:pic>
      <cdr:nvPicPr>
        <cdr:cNvPr id="3" name="Obraz 2" descr="Obraz zawierający czarne, ciemność&#10;&#10;Opis wygenerowany automatycznie"/>
        <cdr:cNvPicPr>
          <a:picLocks xmlns:a="http://schemas.openxmlformats.org/drawingml/2006/main" noChangeAspect="1"/>
        </cdr:cNvPicPr>
      </cdr:nvPicPr>
      <cdr:blipFill>
        <a:blip xmlns:a="http://schemas.openxmlformats.org/drawingml/2006/main" xmlns:r="http://schemas.openxmlformats.org/officeDocument/2006/relationships" r:embed="rId2" cstate="print">
          <a:duotone>
            <a:schemeClr val="bg2">
              <a:shade val="45000"/>
              <a:satMod val="135000"/>
            </a:schemeClr>
            <a:prstClr val="white"/>
          </a:duotone>
          <a:extLst>
            <a:ext uri="{28A0092B-C50C-407E-A947-70E740481C1C}">
              <a14:useLocalDpi xmlns:a14="http://schemas.microsoft.com/office/drawing/2010/main" val="0"/>
            </a:ext>
          </a:extLst>
        </a:blip>
        <a:srcRect xmlns:a="http://schemas.openxmlformats.org/drawingml/2006/main"/>
        <a:stretch xmlns:a="http://schemas.openxmlformats.org/drawingml/2006/main">
          <a:fillRect/>
        </a:stretch>
      </cdr:blipFill>
      <cdr:spPr bwMode="auto">
        <a:xfrm xmlns:a="http://schemas.openxmlformats.org/drawingml/2006/main">
          <a:off x="4715933" y="2374265"/>
          <a:ext cx="248920" cy="281305"/>
        </a:xfrm>
        <a:prstGeom xmlns:a="http://schemas.openxmlformats.org/drawingml/2006/main" prst="rect">
          <a:avLst/>
        </a:prstGeom>
        <a:noFill xmlns:a="http://schemas.openxmlformats.org/drawingml/2006/main"/>
      </cdr:spPr>
    </cdr:pic>
  </cdr:relSizeAnchor>
  <cdr:relSizeAnchor xmlns:cdr="http://schemas.openxmlformats.org/drawingml/2006/chartDrawing">
    <cdr:from>
      <cdr:x>0.81801</cdr:x>
      <cdr:y>0.62073</cdr:y>
    </cdr:from>
    <cdr:to>
      <cdr:x>0.86772</cdr:x>
      <cdr:y>0.69649</cdr:y>
    </cdr:to>
    <cdr:pic>
      <cdr:nvPicPr>
        <cdr:cNvPr id="4" name="Obraz 3" descr="Obraz zawierający czarne, ciemność&#10;&#10;Opis wygenerowany automatycznie"/>
        <cdr:cNvPicPr>
          <a:picLocks xmlns:a="http://schemas.openxmlformats.org/drawingml/2006/main" noChangeAspect="1"/>
        </cdr:cNvPicPr>
      </cdr:nvPicPr>
      <cdr:blipFill>
        <a:blip xmlns:a="http://schemas.openxmlformats.org/drawingml/2006/main" xmlns:r="http://schemas.openxmlformats.org/officeDocument/2006/relationships" r:embed="rId3" cstate="print">
          <a:duotone>
            <a:schemeClr val="bg2">
              <a:shade val="45000"/>
              <a:satMod val="135000"/>
            </a:schemeClr>
            <a:prstClr val="white"/>
          </a:duotone>
          <a:extLst>
            <a:ext uri="{28A0092B-C50C-407E-A947-70E740481C1C}">
              <a14:useLocalDpi xmlns:a14="http://schemas.microsoft.com/office/drawing/2010/main" val="0"/>
            </a:ext>
          </a:extLst>
        </a:blip>
        <a:srcRect xmlns:a="http://schemas.openxmlformats.org/drawingml/2006/main"/>
        <a:stretch xmlns:a="http://schemas.openxmlformats.org/drawingml/2006/main">
          <a:fillRect/>
        </a:stretch>
      </cdr:blipFill>
      <cdr:spPr bwMode="auto">
        <a:xfrm xmlns:a="http://schemas.openxmlformats.org/drawingml/2006/main" flipH="1">
          <a:off x="4712335" y="2845858"/>
          <a:ext cx="286385" cy="347345"/>
        </a:xfrm>
        <a:prstGeom xmlns:a="http://schemas.openxmlformats.org/drawingml/2006/main" prst="rect">
          <a:avLst/>
        </a:prstGeom>
        <a:noFill xmlns:a="http://schemas.openxmlformats.org/drawingml/2006/main"/>
      </cdr:spPr>
    </cdr:pic>
  </cdr:relSizeAnchor>
</c:userShapes>
</file>

<file path=word/drawings/drawing3.xml><?xml version="1.0" encoding="utf-8"?>
<c:userShapes xmlns:c="http://schemas.openxmlformats.org/drawingml/2006/chart">
  <cdr:relSizeAnchor xmlns:cdr="http://schemas.openxmlformats.org/drawingml/2006/chartDrawing">
    <cdr:from>
      <cdr:x>0.65824</cdr:x>
      <cdr:y>0.43823</cdr:y>
    </cdr:from>
    <cdr:to>
      <cdr:x>0.83125</cdr:x>
      <cdr:y>0.55079</cdr:y>
    </cdr:to>
    <cdr:sp macro="" textlink="">
      <cdr:nvSpPr>
        <cdr:cNvPr id="2" name="Pole tekstowe 1"/>
        <cdr:cNvSpPr txBox="1"/>
      </cdr:nvSpPr>
      <cdr:spPr>
        <a:xfrm xmlns:a="http://schemas.openxmlformats.org/drawingml/2006/main">
          <a:off x="1811960" y="964234"/>
          <a:ext cx="476250" cy="24765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pl-PL" sz="900">
              <a:solidFill>
                <a:schemeClr val="accent6">
                  <a:lumMod val="75000"/>
                </a:schemeClr>
              </a:solidFill>
              <a:latin typeface="+mn-lt"/>
              <a:ea typeface="Calibri" panose="020F0502020204030204" pitchFamily="34" charset="0"/>
              <a:cs typeface="Calibri" panose="020F0502020204030204" pitchFamily="34" charset="0"/>
            </a:rPr>
            <a:t>↑</a:t>
          </a:r>
          <a:r>
            <a:rPr lang="pl-PL" sz="900">
              <a:solidFill>
                <a:schemeClr val="accent6">
                  <a:lumMod val="75000"/>
                </a:schemeClr>
              </a:solidFill>
              <a:latin typeface="Lato" panose="020F0502020204030203" pitchFamily="34" charset="-18"/>
              <a:ea typeface="Calibri" panose="020F0502020204030204" pitchFamily="34" charset="0"/>
              <a:cs typeface="Calibri" panose="020F0502020204030204" pitchFamily="34" charset="0"/>
            </a:rPr>
            <a:t>7%</a:t>
          </a:r>
          <a:endParaRPr lang="pl-PL" sz="900">
            <a:solidFill>
              <a:schemeClr val="accent6">
                <a:lumMod val="75000"/>
              </a:schemeClr>
            </a:solidFill>
            <a:latin typeface="Lato" panose="020F0502020204030203" pitchFamily="34" charset="-18"/>
          </a:endParaRPr>
        </a:p>
      </cdr:txBody>
    </cdr:sp>
  </cdr:relSizeAnchor>
  <cdr:relSizeAnchor xmlns:cdr="http://schemas.openxmlformats.org/drawingml/2006/chartDrawing">
    <cdr:from>
      <cdr:x>0.82699</cdr:x>
      <cdr:y>0.4713</cdr:y>
    </cdr:from>
    <cdr:to>
      <cdr:x>1</cdr:x>
      <cdr:y>0.58385</cdr:y>
    </cdr:to>
    <cdr:sp macro="" textlink="">
      <cdr:nvSpPr>
        <cdr:cNvPr id="3" name="Pole tekstowe 1"/>
        <cdr:cNvSpPr txBox="1"/>
      </cdr:nvSpPr>
      <cdr:spPr>
        <a:xfrm xmlns:a="http://schemas.openxmlformats.org/drawingml/2006/main">
          <a:off x="2378877" y="1036979"/>
          <a:ext cx="497673" cy="247650"/>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r"/>
          <a:r>
            <a:rPr lang="pl-PL" sz="900">
              <a:solidFill>
                <a:schemeClr val="accent6">
                  <a:lumMod val="75000"/>
                </a:schemeClr>
              </a:solidFill>
              <a:latin typeface="+mn-lt"/>
              <a:ea typeface="Calibri" panose="020F0502020204030204" pitchFamily="34" charset="0"/>
              <a:cs typeface="Calibri" panose="020F0502020204030204" pitchFamily="34" charset="0"/>
            </a:rPr>
            <a:t>↑</a:t>
          </a:r>
          <a:r>
            <a:rPr lang="pl-PL" sz="900">
              <a:solidFill>
                <a:schemeClr val="accent6">
                  <a:lumMod val="75000"/>
                </a:schemeClr>
              </a:solidFill>
              <a:latin typeface="Lato" panose="020F0502020204030203" pitchFamily="34" charset="-18"/>
              <a:ea typeface="Calibri" panose="020F0502020204030204" pitchFamily="34" charset="0"/>
              <a:cs typeface="Calibri" panose="020F0502020204030204" pitchFamily="34" charset="0"/>
            </a:rPr>
            <a:t>3%</a:t>
          </a:r>
          <a:endParaRPr lang="pl-PL" sz="900">
            <a:solidFill>
              <a:schemeClr val="accent6">
                <a:lumMod val="75000"/>
              </a:schemeClr>
            </a:solidFill>
            <a:latin typeface="Lato" panose="020F0502020204030203" pitchFamily="34" charset="-18"/>
          </a:endParaRPr>
        </a:p>
      </cdr:txBody>
    </cdr:sp>
  </cdr:relSizeAnchor>
</c:userShapes>
</file>

<file path=word/drawings/drawing4.xml><?xml version="1.0" encoding="utf-8"?>
<c:userShapes xmlns:c="http://schemas.openxmlformats.org/drawingml/2006/chart">
  <cdr:relSizeAnchor xmlns:cdr="http://schemas.openxmlformats.org/drawingml/2006/chartDrawing">
    <cdr:from>
      <cdr:x>0.55402</cdr:x>
      <cdr:y>0.25984</cdr:y>
    </cdr:from>
    <cdr:to>
      <cdr:x>0.75831</cdr:x>
      <cdr:y>0.32677</cdr:y>
    </cdr:to>
    <cdr:sp macro="" textlink="">
      <cdr:nvSpPr>
        <cdr:cNvPr id="7" name="pole tekstowe 8">
          <a:extLst xmlns:a="http://schemas.openxmlformats.org/drawingml/2006/main">
            <a:ext uri="{FF2B5EF4-FFF2-40B4-BE49-F238E27FC236}">
              <a16:creationId xmlns:a16="http://schemas.microsoft.com/office/drawing/2014/main" id="{0B4D5B4E-6BB3-E097-C9F1-A1E6C8630C0F}"/>
            </a:ext>
          </a:extLst>
        </cdr:cNvPr>
        <cdr:cNvSpPr txBox="1"/>
      </cdr:nvSpPr>
      <cdr:spPr>
        <a:xfrm xmlns:a="http://schemas.openxmlformats.org/drawingml/2006/main">
          <a:off x="1524001" y="628650"/>
          <a:ext cx="561974" cy="161925"/>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ctr"/>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r"/>
          <a:r>
            <a:rPr lang="pl-PL" sz="800" b="0" i="0" u="none" strike="noStrike">
              <a:solidFill>
                <a:schemeClr val="accent6"/>
              </a:solidFill>
              <a:latin typeface="Calibri" panose="020F0502020204030204" pitchFamily="34" charset="0"/>
              <a:ea typeface="Calibri" panose="020F0502020204030204" pitchFamily="34" charset="0"/>
              <a:cs typeface="Calibri" panose="020F0502020204030204" pitchFamily="34" charset="0"/>
            </a:rPr>
            <a:t>↓</a:t>
          </a:r>
          <a:r>
            <a:rPr lang="pl-PL" sz="800" b="0" i="0" u="none" strike="noStrike">
              <a:solidFill>
                <a:schemeClr val="accent6"/>
              </a:solidFill>
              <a:latin typeface="Lato"/>
            </a:rPr>
            <a:t>35%</a:t>
          </a:r>
          <a:endParaRPr lang="pl-PL" sz="1100">
            <a:solidFill>
              <a:schemeClr val="accent6"/>
            </a:solidFill>
          </a:endParaRPr>
        </a:p>
      </cdr:txBody>
    </cdr:sp>
  </cdr:relSizeAnchor>
  <cdr:relSizeAnchor xmlns:cdr="http://schemas.openxmlformats.org/drawingml/2006/chartDrawing">
    <cdr:from>
      <cdr:x>0.73981</cdr:x>
      <cdr:y>0.24803</cdr:y>
    </cdr:from>
    <cdr:to>
      <cdr:x>0.95206</cdr:x>
      <cdr:y>0.33962</cdr:y>
    </cdr:to>
    <cdr:sp macro="" textlink="">
      <cdr:nvSpPr>
        <cdr:cNvPr id="8" name="pole tekstowe 8">
          <a:extLst xmlns:a="http://schemas.openxmlformats.org/drawingml/2006/main">
            <a:ext uri="{FF2B5EF4-FFF2-40B4-BE49-F238E27FC236}">
              <a16:creationId xmlns:a16="http://schemas.microsoft.com/office/drawing/2014/main" id="{52C20652-BC23-48BB-D482-D6AD653C7F98}"/>
            </a:ext>
          </a:extLst>
        </cdr:cNvPr>
        <cdr:cNvSpPr txBox="1"/>
      </cdr:nvSpPr>
      <cdr:spPr>
        <a:xfrm xmlns:a="http://schemas.openxmlformats.org/drawingml/2006/main">
          <a:off x="1971676" y="500850"/>
          <a:ext cx="565658" cy="184950"/>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ctr"/>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r>
            <a:rPr lang="pl-PL" sz="800" b="0" i="0" u="none" strike="noStrike">
              <a:solidFill>
                <a:schemeClr val="accent6"/>
              </a:solidFill>
              <a:latin typeface="Calibri" panose="020F0502020204030204" pitchFamily="34" charset="0"/>
              <a:ea typeface="Calibri" panose="020F0502020204030204" pitchFamily="34" charset="0"/>
              <a:cs typeface="Calibri" panose="020F0502020204030204" pitchFamily="34" charset="0"/>
            </a:rPr>
            <a:t>↓</a:t>
          </a:r>
          <a:r>
            <a:rPr lang="pl-PL" sz="800" b="0" i="0" u="none" strike="noStrike">
              <a:solidFill>
                <a:schemeClr val="accent6"/>
              </a:solidFill>
              <a:latin typeface="Lato"/>
            </a:rPr>
            <a:t>38%</a:t>
          </a:r>
          <a:endParaRPr lang="pl-PL" sz="1100">
            <a:solidFill>
              <a:schemeClr val="accent6"/>
            </a:solidFill>
          </a:endParaRPr>
        </a:p>
      </cdr:txBody>
    </cdr:sp>
  </cdr:relSizeAnchor>
</c:userShapes>
</file>

<file path=word/drawings/drawing5.xml><?xml version="1.0" encoding="utf-8"?>
<c:userShapes xmlns:c="http://schemas.openxmlformats.org/drawingml/2006/chart">
  <cdr:relSizeAnchor xmlns:cdr="http://schemas.openxmlformats.org/drawingml/2006/chartDrawing">
    <cdr:from>
      <cdr:x>0.26587</cdr:x>
      <cdr:y>0.51464</cdr:y>
    </cdr:from>
    <cdr:to>
      <cdr:x>0.84212</cdr:x>
      <cdr:y>0.56917</cdr:y>
    </cdr:to>
    <cdr:sp macro="" textlink="">
      <cdr:nvSpPr>
        <cdr:cNvPr id="2" name="Prostokąt: zaokrąglone rogi 1">
          <a:extLst xmlns:a="http://schemas.openxmlformats.org/drawingml/2006/main">
            <a:ext uri="{FF2B5EF4-FFF2-40B4-BE49-F238E27FC236}">
              <a16:creationId xmlns:a16="http://schemas.microsoft.com/office/drawing/2014/main" id="{E6A039D9-FF3F-5A71-6B72-E0A23224F0D1}"/>
            </a:ext>
          </a:extLst>
        </cdr:cNvPr>
        <cdr:cNvSpPr/>
      </cdr:nvSpPr>
      <cdr:spPr>
        <a:xfrm xmlns:a="http://schemas.openxmlformats.org/drawingml/2006/main">
          <a:off x="1531620" y="2421561"/>
          <a:ext cx="3319599" cy="256583"/>
        </a:xfrm>
        <a:prstGeom xmlns:a="http://schemas.openxmlformats.org/drawingml/2006/main" prst="roundRect">
          <a:avLst/>
        </a:prstGeom>
        <a:solidFill xmlns:a="http://schemas.openxmlformats.org/drawingml/2006/main">
          <a:schemeClr val="accent6">
            <a:lumMod val="20000"/>
            <a:lumOff val="80000"/>
          </a:schemeClr>
        </a:solidFill>
      </cdr:spPr>
      <cdr:style>
        <a:lnRef xmlns:a="http://schemas.openxmlformats.org/drawingml/2006/main" idx="1">
          <a:schemeClr val="accent6"/>
        </a:lnRef>
        <a:fillRef xmlns:a="http://schemas.openxmlformats.org/drawingml/2006/main" idx="2">
          <a:schemeClr val="accent6"/>
        </a:fillRef>
        <a:effectRef xmlns:a="http://schemas.openxmlformats.org/drawingml/2006/main" idx="1">
          <a:schemeClr val="accent6"/>
        </a:effectRef>
        <a:fontRef xmlns:a="http://schemas.openxmlformats.org/drawingml/2006/main" idx="minor">
          <a:schemeClr val="dk1"/>
        </a:fontRef>
      </cdr:style>
      <cdr:txBody>
        <a:bodyPr xmlns:a="http://schemas.openxmlformats.org/drawingml/2006/main"/>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r>
            <a:rPr lang="pl-PL" sz="1000">
              <a:latin typeface="Lato" panose="020F0502020204030203" pitchFamily="34" charset="-18"/>
            </a:rPr>
            <a:t>FEC wg</a:t>
          </a:r>
          <a:r>
            <a:rPr lang="pl-PL" sz="1000" baseline="0">
              <a:latin typeface="Lato" panose="020F0502020204030203" pitchFamily="34" charset="-18"/>
            </a:rPr>
            <a:t> prognoz: 64,1 Mtoe, -4,6</a:t>
          </a:r>
          <a:r>
            <a:rPr lang="pl-PL" sz="1000">
              <a:latin typeface="Lato" panose="020F0502020204030203" pitchFamily="34" charset="-18"/>
            </a:rPr>
            <a:t>%</a:t>
          </a:r>
          <a:r>
            <a:rPr lang="pl-PL" sz="1000" baseline="0">
              <a:latin typeface="Lato" panose="020F0502020204030203" pitchFamily="34" charset="-18"/>
            </a:rPr>
            <a:t> vs. PRIMES 2020</a:t>
          </a:r>
          <a:endParaRPr lang="pl-PL" sz="1000">
            <a:latin typeface="Lato" panose="020F0502020204030203" pitchFamily="34" charset="-18"/>
          </a:endParaRPr>
        </a:p>
      </cdr:txBody>
    </cdr:sp>
  </cdr:relSizeAnchor>
  <cdr:relSizeAnchor xmlns:cdr="http://schemas.openxmlformats.org/drawingml/2006/chartDrawing">
    <cdr:from>
      <cdr:x>0.24406</cdr:x>
      <cdr:y>0.04803</cdr:y>
    </cdr:from>
    <cdr:to>
      <cdr:x>0.82551</cdr:x>
      <cdr:y>0.09993</cdr:y>
    </cdr:to>
    <cdr:sp macro="" textlink="">
      <cdr:nvSpPr>
        <cdr:cNvPr id="5" name="Prostokąt: zaokrąglone rogi 4">
          <a:extLst xmlns:a="http://schemas.openxmlformats.org/drawingml/2006/main">
            <a:ext uri="{FF2B5EF4-FFF2-40B4-BE49-F238E27FC236}">
              <a16:creationId xmlns:a16="http://schemas.microsoft.com/office/drawing/2014/main" id="{2AAAE965-3453-49AB-E808-F0EBECD4085D}"/>
            </a:ext>
          </a:extLst>
        </cdr:cNvPr>
        <cdr:cNvSpPr/>
      </cdr:nvSpPr>
      <cdr:spPr>
        <a:xfrm xmlns:a="http://schemas.openxmlformats.org/drawingml/2006/main">
          <a:off x="1405958" y="226019"/>
          <a:ext cx="3349564" cy="244195"/>
        </a:xfrm>
        <a:prstGeom xmlns:a="http://schemas.openxmlformats.org/drawingml/2006/main" prst="roundRect">
          <a:avLst/>
        </a:prstGeom>
        <a:solidFill xmlns:a="http://schemas.openxmlformats.org/drawingml/2006/main">
          <a:schemeClr val="accent1">
            <a:lumMod val="20000"/>
            <a:lumOff val="80000"/>
          </a:schemeClr>
        </a:solidFill>
      </cdr:spPr>
      <cdr:style>
        <a:lnRef xmlns:a="http://schemas.openxmlformats.org/drawingml/2006/main" idx="1">
          <a:schemeClr val="accent1"/>
        </a:lnRef>
        <a:fillRef xmlns:a="http://schemas.openxmlformats.org/drawingml/2006/main" idx="2">
          <a:schemeClr val="accent1"/>
        </a:fillRef>
        <a:effectRef xmlns:a="http://schemas.openxmlformats.org/drawingml/2006/main" idx="1">
          <a:schemeClr val="accent1"/>
        </a:effectRef>
        <a:fontRef xmlns:a="http://schemas.openxmlformats.org/drawingml/2006/main" idx="minor">
          <a:schemeClr val="dk1"/>
        </a:fontRef>
      </cdr:style>
      <cdr:txBody>
        <a:bodyPr xmlns:a="http://schemas.openxmlformats.org/drawingml/2006/main"/>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r>
            <a:rPr lang="pl-PL" sz="1000">
              <a:latin typeface="Lato" panose="020F0502020204030203" pitchFamily="34" charset="-18"/>
            </a:rPr>
            <a:t>PEC</a:t>
          </a:r>
          <a:r>
            <a:rPr lang="pl-PL" sz="1000" baseline="0">
              <a:latin typeface="Lato" panose="020F0502020204030203" pitchFamily="34" charset="-18"/>
            </a:rPr>
            <a:t> wg </a:t>
          </a:r>
          <a:r>
            <a:rPr lang="pl-PL" sz="1000">
              <a:latin typeface="Lato" panose="020F0502020204030203" pitchFamily="34" charset="-18"/>
            </a:rPr>
            <a:t>prognoz: 80,6 Mtoe, -13,6% vs. PRIMES 2020</a:t>
          </a:r>
        </a:p>
        <a:p xmlns:a="http://schemas.openxmlformats.org/drawingml/2006/main">
          <a:pPr algn="ctr"/>
          <a:endParaRPr lang="pl-PL" sz="1000">
            <a:latin typeface="Lato" panose="020F0502020204030203" pitchFamily="34" charset="-18"/>
          </a:endParaRPr>
        </a:p>
      </cdr:txBody>
    </cdr:sp>
  </cdr:relSizeAnchor>
  <cdr:relSizeAnchor xmlns:cdr="http://schemas.openxmlformats.org/drawingml/2006/chartDrawing">
    <cdr:from>
      <cdr:x>0.21619</cdr:x>
      <cdr:y>0.6004</cdr:y>
    </cdr:from>
    <cdr:to>
      <cdr:x>0.88226</cdr:x>
      <cdr:y>0.65493</cdr:y>
    </cdr:to>
    <cdr:sp macro="" textlink="">
      <cdr:nvSpPr>
        <cdr:cNvPr id="6" name="Prostokąt: zaokrąglone rogi 5">
          <a:extLst xmlns:a="http://schemas.openxmlformats.org/drawingml/2006/main">
            <a:ext uri="{FF2B5EF4-FFF2-40B4-BE49-F238E27FC236}">
              <a16:creationId xmlns:a16="http://schemas.microsoft.com/office/drawing/2014/main" id="{ECAA5343-25A0-5A2A-81FB-AE44DE0201A6}"/>
            </a:ext>
          </a:extLst>
        </cdr:cNvPr>
        <cdr:cNvSpPr/>
      </cdr:nvSpPr>
      <cdr:spPr>
        <a:xfrm xmlns:a="http://schemas.openxmlformats.org/drawingml/2006/main">
          <a:off x="1245438" y="2825092"/>
          <a:ext cx="3837016" cy="256583"/>
        </a:xfrm>
        <a:prstGeom xmlns:a="http://schemas.openxmlformats.org/drawingml/2006/main" prst="roundRect">
          <a:avLst/>
        </a:prstGeom>
        <a:solidFill xmlns:a="http://schemas.openxmlformats.org/drawingml/2006/main">
          <a:schemeClr val="accent6">
            <a:lumMod val="40000"/>
            <a:lumOff val="60000"/>
          </a:schemeClr>
        </a:solidFill>
      </cdr:spPr>
      <cdr:style>
        <a:lnRef xmlns:a="http://schemas.openxmlformats.org/drawingml/2006/main" idx="1">
          <a:schemeClr val="accent6"/>
        </a:lnRef>
        <a:fillRef xmlns:a="http://schemas.openxmlformats.org/drawingml/2006/main" idx="2">
          <a:schemeClr val="accent6"/>
        </a:fillRef>
        <a:effectRef xmlns:a="http://schemas.openxmlformats.org/drawingml/2006/main" idx="1">
          <a:schemeClr val="accent6"/>
        </a:effectRef>
        <a:fontRef xmlns:a="http://schemas.openxmlformats.org/drawingml/2006/main" idx="minor">
          <a:schemeClr val="dk1"/>
        </a:fontRef>
      </cdr:style>
      <cdr:txBody>
        <a:bodyPr xmlns:a="http://schemas.openxmlformats.org/drawingml/2006/main"/>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r>
            <a:rPr lang="pl-PL" sz="1000">
              <a:latin typeface="Lato" panose="020F0502020204030203" pitchFamily="34" charset="-18"/>
            </a:rPr>
            <a:t>wartość oczekiwana FEC</a:t>
          </a:r>
          <a:r>
            <a:rPr lang="pl-PL" sz="1000" baseline="0">
              <a:latin typeface="Lato" panose="020F0502020204030203" pitchFamily="34" charset="-18"/>
            </a:rPr>
            <a:t>: 58,5 Mtoe, </a:t>
          </a:r>
          <a:r>
            <a:rPr lang="pl-PL" sz="1000">
              <a:latin typeface="Lato" panose="020F0502020204030203" pitchFamily="34" charset="-18"/>
            </a:rPr>
            <a:t>-12,8%</a:t>
          </a:r>
          <a:r>
            <a:rPr lang="pl-PL" sz="1000" baseline="0">
              <a:latin typeface="Lato" panose="020F0502020204030203" pitchFamily="34" charset="-18"/>
            </a:rPr>
            <a:t> vs. PRIMES 2020</a:t>
          </a:r>
          <a:endParaRPr lang="pl-PL" sz="1000">
            <a:latin typeface="Lato" panose="020F0502020204030203" pitchFamily="34" charset="-18"/>
          </a:endParaRPr>
        </a:p>
      </cdr:txBody>
    </cdr:sp>
  </cdr:relSizeAnchor>
  <cdr:relSizeAnchor xmlns:cdr="http://schemas.openxmlformats.org/drawingml/2006/chartDrawing">
    <cdr:from>
      <cdr:x>0.10913</cdr:x>
      <cdr:y>0.12219</cdr:y>
    </cdr:from>
    <cdr:to>
      <cdr:x>0.77125</cdr:x>
      <cdr:y>0.17409</cdr:y>
    </cdr:to>
    <cdr:sp macro="" textlink="">
      <cdr:nvSpPr>
        <cdr:cNvPr id="7" name="Prostokąt: zaokrąglone rogi 6">
          <a:extLst xmlns:a="http://schemas.openxmlformats.org/drawingml/2006/main">
            <a:ext uri="{FF2B5EF4-FFF2-40B4-BE49-F238E27FC236}">
              <a16:creationId xmlns:a16="http://schemas.microsoft.com/office/drawing/2014/main" id="{C0A639B7-A03F-B947-6924-A30078AACFA5}"/>
            </a:ext>
          </a:extLst>
        </cdr:cNvPr>
        <cdr:cNvSpPr/>
      </cdr:nvSpPr>
      <cdr:spPr>
        <a:xfrm xmlns:a="http://schemas.openxmlformats.org/drawingml/2006/main">
          <a:off x="628650" y="574967"/>
          <a:ext cx="3814295" cy="244183"/>
        </a:xfrm>
        <a:prstGeom xmlns:a="http://schemas.openxmlformats.org/drawingml/2006/main" prst="roundRect">
          <a:avLst/>
        </a:prstGeom>
      </cdr:spPr>
      <cdr:style>
        <a:lnRef xmlns:a="http://schemas.openxmlformats.org/drawingml/2006/main" idx="1">
          <a:schemeClr val="accent1"/>
        </a:lnRef>
        <a:fillRef xmlns:a="http://schemas.openxmlformats.org/drawingml/2006/main" idx="2">
          <a:schemeClr val="accent1"/>
        </a:fillRef>
        <a:effectRef xmlns:a="http://schemas.openxmlformats.org/drawingml/2006/main" idx="1">
          <a:schemeClr val="accent1"/>
        </a:effectRef>
        <a:fontRef xmlns:a="http://schemas.openxmlformats.org/drawingml/2006/main" idx="minor">
          <a:schemeClr val="dk1"/>
        </a:fontRef>
      </cdr:style>
      <cdr:txBody>
        <a:bodyPr xmlns:a="http://schemas.openxmlformats.org/drawingml/2006/main"/>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r>
            <a:rPr lang="pl-PL" sz="1000">
              <a:latin typeface="Lato" panose="020F0502020204030203" pitchFamily="34" charset="-18"/>
            </a:rPr>
            <a:t>wartość oczekwiana PEC: 79,9 Mtoe, -14,4% vs. PRIMES 2020</a:t>
          </a:r>
        </a:p>
        <a:p xmlns:a="http://schemas.openxmlformats.org/drawingml/2006/main">
          <a:pPr algn="ctr"/>
          <a:endParaRPr lang="pl-PL" sz="1000">
            <a:latin typeface="Lato" panose="020F0502020204030203" pitchFamily="34" charset="-18"/>
          </a:endParaRPr>
        </a:p>
      </cdr:txBody>
    </cdr:sp>
  </cdr:relSizeAnchor>
  <cdr:relSizeAnchor xmlns:cdr="http://schemas.openxmlformats.org/drawingml/2006/chartDrawing">
    <cdr:from>
      <cdr:x>0.82551</cdr:x>
      <cdr:y>0.07398</cdr:y>
    </cdr:from>
    <cdr:to>
      <cdr:x>0.92063</cdr:x>
      <cdr:y>0.34656</cdr:y>
    </cdr:to>
    <cdr:cxnSp macro="">
      <cdr:nvCxnSpPr>
        <cdr:cNvPr id="9" name="Łącznik prosty ze strzałką 8">
          <a:extLst xmlns:a="http://schemas.openxmlformats.org/drawingml/2006/main">
            <a:ext uri="{FF2B5EF4-FFF2-40B4-BE49-F238E27FC236}">
              <a16:creationId xmlns:a16="http://schemas.microsoft.com/office/drawing/2014/main" id="{5FB9DC67-75F7-DDCF-7386-8A40D0CDDFD4}"/>
            </a:ext>
          </a:extLst>
        </cdr:cNvPr>
        <cdr:cNvCxnSpPr>
          <a:stCxn xmlns:a="http://schemas.openxmlformats.org/drawingml/2006/main" id="5" idx="3"/>
        </cdr:cNvCxnSpPr>
      </cdr:nvCxnSpPr>
      <cdr:spPr>
        <a:xfrm xmlns:a="http://schemas.openxmlformats.org/drawingml/2006/main">
          <a:off x="4755522" y="348117"/>
          <a:ext cx="547998" cy="1282563"/>
        </a:xfrm>
        <a:prstGeom xmlns:a="http://schemas.openxmlformats.org/drawingml/2006/main" prst="straightConnector1">
          <a:avLst/>
        </a:prstGeom>
        <a:ln xmlns:a="http://schemas.openxmlformats.org/drawingml/2006/main">
          <a:tailEnd type="triangl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0.77125</cdr:x>
      <cdr:y>0.14814</cdr:y>
    </cdr:from>
    <cdr:to>
      <cdr:x>0.90873</cdr:x>
      <cdr:y>0.3498</cdr:y>
    </cdr:to>
    <cdr:cxnSp macro="">
      <cdr:nvCxnSpPr>
        <cdr:cNvPr id="12" name="Łącznik prosty ze strzałką 11">
          <a:extLst xmlns:a="http://schemas.openxmlformats.org/drawingml/2006/main">
            <a:ext uri="{FF2B5EF4-FFF2-40B4-BE49-F238E27FC236}">
              <a16:creationId xmlns:a16="http://schemas.microsoft.com/office/drawing/2014/main" id="{D668476C-FF40-CBE0-8373-4235019D77A8}"/>
            </a:ext>
          </a:extLst>
        </cdr:cNvPr>
        <cdr:cNvCxnSpPr>
          <a:stCxn xmlns:a="http://schemas.openxmlformats.org/drawingml/2006/main" id="7" idx="3"/>
        </cdr:cNvCxnSpPr>
      </cdr:nvCxnSpPr>
      <cdr:spPr>
        <a:xfrm xmlns:a="http://schemas.openxmlformats.org/drawingml/2006/main">
          <a:off x="4442945" y="697059"/>
          <a:ext cx="791995" cy="948861"/>
        </a:xfrm>
        <a:prstGeom xmlns:a="http://schemas.openxmlformats.org/drawingml/2006/main" prst="straightConnector1">
          <a:avLst/>
        </a:prstGeom>
        <a:ln xmlns:a="http://schemas.openxmlformats.org/drawingml/2006/main">
          <a:tailEnd type="triangl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0.88226</cdr:x>
      <cdr:y>0.49231</cdr:y>
    </cdr:from>
    <cdr:to>
      <cdr:x>0.92328</cdr:x>
      <cdr:y>0.62767</cdr:y>
    </cdr:to>
    <cdr:cxnSp macro="">
      <cdr:nvCxnSpPr>
        <cdr:cNvPr id="16" name="Łącznik prosty ze strzałką 15">
          <a:extLst xmlns:a="http://schemas.openxmlformats.org/drawingml/2006/main">
            <a:ext uri="{FF2B5EF4-FFF2-40B4-BE49-F238E27FC236}">
              <a16:creationId xmlns:a16="http://schemas.microsoft.com/office/drawing/2014/main" id="{51331157-B65C-3DC6-8596-A487703701A7}"/>
            </a:ext>
          </a:extLst>
        </cdr:cNvPr>
        <cdr:cNvCxnSpPr>
          <a:stCxn xmlns:a="http://schemas.openxmlformats.org/drawingml/2006/main" id="6" idx="3"/>
        </cdr:cNvCxnSpPr>
      </cdr:nvCxnSpPr>
      <cdr:spPr>
        <a:xfrm xmlns:a="http://schemas.openxmlformats.org/drawingml/2006/main" flipV="1">
          <a:off x="5082454" y="2316480"/>
          <a:ext cx="236306" cy="636904"/>
        </a:xfrm>
        <a:prstGeom xmlns:a="http://schemas.openxmlformats.org/drawingml/2006/main" prst="straightConnector1">
          <a:avLst/>
        </a:prstGeom>
        <a:ln xmlns:a="http://schemas.openxmlformats.org/drawingml/2006/main">
          <a:tailEnd type="triangle"/>
        </a:ln>
      </cdr:spPr>
      <cdr:style>
        <a:lnRef xmlns:a="http://schemas.openxmlformats.org/drawingml/2006/main" idx="1">
          <a:schemeClr val="accent4"/>
        </a:lnRef>
        <a:fillRef xmlns:a="http://schemas.openxmlformats.org/drawingml/2006/main" idx="0">
          <a:schemeClr val="accent4"/>
        </a:fillRef>
        <a:effectRef xmlns:a="http://schemas.openxmlformats.org/drawingml/2006/main" idx="0">
          <a:schemeClr val="accent4"/>
        </a:effectRef>
        <a:fontRef xmlns:a="http://schemas.openxmlformats.org/drawingml/2006/main" idx="minor">
          <a:schemeClr val="tx1"/>
        </a:fontRef>
      </cdr:style>
    </cdr:cxnSp>
  </cdr:relSizeAnchor>
  <cdr:relSizeAnchor xmlns:cdr="http://schemas.openxmlformats.org/drawingml/2006/chartDrawing">
    <cdr:from>
      <cdr:x>0.84254</cdr:x>
      <cdr:y>0.44049</cdr:y>
    </cdr:from>
    <cdr:to>
      <cdr:x>0.91402</cdr:x>
      <cdr:y>0.54714</cdr:y>
    </cdr:to>
    <cdr:cxnSp macro="">
      <cdr:nvCxnSpPr>
        <cdr:cNvPr id="18" name="Łącznik prosty ze strzałką 17">
          <a:extLst xmlns:a="http://schemas.openxmlformats.org/drawingml/2006/main">
            <a:ext uri="{FF2B5EF4-FFF2-40B4-BE49-F238E27FC236}">
              <a16:creationId xmlns:a16="http://schemas.microsoft.com/office/drawing/2014/main" id="{587165D0-868F-3EBF-75ED-F48E0A9ECA01}"/>
            </a:ext>
          </a:extLst>
        </cdr:cNvPr>
        <cdr:cNvCxnSpPr/>
      </cdr:nvCxnSpPr>
      <cdr:spPr>
        <a:xfrm xmlns:a="http://schemas.openxmlformats.org/drawingml/2006/main" flipV="1">
          <a:off x="4853637" y="2072640"/>
          <a:ext cx="411783" cy="501845"/>
        </a:xfrm>
        <a:prstGeom xmlns:a="http://schemas.openxmlformats.org/drawingml/2006/main" prst="straightConnector1">
          <a:avLst/>
        </a:prstGeom>
        <a:ln xmlns:a="http://schemas.openxmlformats.org/drawingml/2006/main">
          <a:tailEnd type="triangle"/>
        </a:ln>
      </cdr:spPr>
      <cdr:style>
        <a:lnRef xmlns:a="http://schemas.openxmlformats.org/drawingml/2006/main" idx="1">
          <a:schemeClr val="accent6"/>
        </a:lnRef>
        <a:fillRef xmlns:a="http://schemas.openxmlformats.org/drawingml/2006/main" idx="0">
          <a:schemeClr val="accent6"/>
        </a:fillRef>
        <a:effectRef xmlns:a="http://schemas.openxmlformats.org/drawingml/2006/main" idx="0">
          <a:schemeClr val="accent6"/>
        </a:effectRef>
        <a:fontRef xmlns:a="http://schemas.openxmlformats.org/drawingml/2006/main" idx="minor">
          <a:schemeClr val="tx1"/>
        </a:fontRef>
      </cdr:style>
    </cdr:cxnSp>
  </cdr:relSizeAnchor>
</c:userShape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Niestandardowy 5">
    <a:majorFont>
      <a:latin typeface="Lato"/>
      <a:ea typeface=""/>
      <a:cs typeface=""/>
    </a:majorFont>
    <a:minorFont>
      <a:latin typeface="Lato"/>
      <a:ea typeface=""/>
      <a:cs typeface=""/>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Niestandardowy 5">
    <a:majorFont>
      <a:latin typeface="Lato"/>
      <a:ea typeface=""/>
      <a:cs typeface=""/>
    </a:majorFont>
    <a:minorFont>
      <a:latin typeface="Lato"/>
      <a:ea typeface=""/>
      <a:cs typeface=""/>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Niestandardowy 5">
    <a:majorFont>
      <a:latin typeface="Lato"/>
      <a:ea typeface=""/>
      <a:cs typeface=""/>
    </a:majorFont>
    <a:minorFont>
      <a:latin typeface="Lato"/>
      <a:ea typeface=""/>
      <a:cs typeface=""/>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Niestandardowy 5">
    <a:majorFont>
      <a:latin typeface="Lato"/>
      <a:ea typeface=""/>
      <a:cs typeface=""/>
    </a:majorFont>
    <a:minorFont>
      <a:latin typeface="Lato"/>
      <a:ea typeface=""/>
      <a:cs typeface=""/>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Niestandardowy 5">
    <a:majorFont>
      <a:latin typeface="Lato"/>
      <a:ea typeface=""/>
      <a:cs typeface=""/>
    </a:majorFont>
    <a:minorFont>
      <a:latin typeface="Lato"/>
      <a:ea typeface=""/>
      <a:cs typeface=""/>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Niestandardowy 5">
    <a:majorFont>
      <a:latin typeface="Lato"/>
      <a:ea typeface=""/>
      <a:cs typeface=""/>
    </a:majorFont>
    <a:minorFont>
      <a:latin typeface="Lato"/>
      <a:ea typeface=""/>
      <a:cs typeface=""/>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Niestandardowy 5">
    <a:majorFont>
      <a:latin typeface="Lato"/>
      <a:ea typeface=""/>
      <a:cs typeface=""/>
    </a:majorFont>
    <a:minorFont>
      <a:latin typeface="Lato"/>
      <a:ea typeface=""/>
      <a:cs typeface=""/>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Niestandardowy 5">
    <a:majorFont>
      <a:latin typeface="Lato"/>
      <a:ea typeface=""/>
      <a:cs typeface=""/>
    </a:majorFont>
    <a:minorFont>
      <a:latin typeface="Lato"/>
      <a:ea typeface=""/>
      <a:cs typeface=""/>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Niestandardowy 5">
    <a:majorFont>
      <a:latin typeface="Lato"/>
      <a:ea typeface=""/>
      <a:cs typeface=""/>
    </a:majorFont>
    <a:minorFont>
      <a:latin typeface="Lato"/>
      <a:ea typeface=""/>
      <a:cs typeface=""/>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Niestandardowy 5">
    <a:majorFont>
      <a:latin typeface="Lato"/>
      <a:ea typeface=""/>
      <a:cs typeface=""/>
    </a:majorFont>
    <a:minorFont>
      <a:latin typeface="Lato"/>
      <a:ea typeface=""/>
      <a:cs typeface=""/>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4C9C4F-3436-4912-B6F8-A64239E238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80</Pages>
  <Words>67462</Words>
  <Characters>404776</Characters>
  <Application>Microsoft Office Word</Application>
  <DocSecurity>0</DocSecurity>
  <Lines>3373</Lines>
  <Paragraphs>942</Paragraphs>
  <ScaleCrop>false</ScaleCrop>
  <Company/>
  <LinksUpToDate>false</LinksUpToDate>
  <CharactersWithSpaces>471296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2024-10-17T11:06:00Z</dcterms:created>
  <dcterms:modified xsi:type="dcterms:W3CDTF">2024-10-17T11:06:00Z</dcterms:modified>
</cp:coreProperties>
</file>